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09720558"/>
        <w:placeholder>
          <w:docPart w:val="4CFA9320A03148E98EF733F7A917AECF"/>
        </w:placeholder>
      </w:sdtPr>
      <w:sdtEndPr/>
      <w:sdtContent>
        <w:p w14:paraId="12D0BE3D" w14:textId="14C8741A" w:rsidR="00196D31" w:rsidRDefault="006C125B" w:rsidP="00FF5DA3">
          <w:pPr>
            <w:pStyle w:val="Nzov"/>
            <w:spacing w:before="4800"/>
          </w:pPr>
          <w:r>
            <w:t xml:space="preserve">STANOVISKO </w:t>
          </w:r>
          <w:r>
            <w:br/>
            <w:t xml:space="preserve">najvyššieho kontrolného úradu sr k návrhu štátneho rozpočtu sr na rok </w:t>
          </w:r>
          <w:r w:rsidRPr="009A64E6">
            <w:t>202</w:t>
          </w:r>
          <w:r w:rsidR="00714AE1">
            <w:t>4</w:t>
          </w:r>
        </w:p>
      </w:sdtContent>
    </w:sdt>
    <w:p w14:paraId="6D1ED517" w14:textId="77777777" w:rsidR="00F539EB" w:rsidRDefault="00F539EB" w:rsidP="00FF5DA3">
      <w:pPr>
        <w:pStyle w:val="Podtitul"/>
        <w:spacing w:after="1200"/>
      </w:pPr>
    </w:p>
    <w:p w14:paraId="427B3189" w14:textId="2FD5C2A9" w:rsidR="00F071B7" w:rsidRDefault="00BF2C6E" w:rsidP="00F071B7">
      <w:pPr>
        <w:jc w:val="center"/>
        <w:rPr>
          <w:b/>
          <w:color w:val="314364" w:themeColor="text2"/>
          <w:sz w:val="32"/>
          <w:szCs w:val="32"/>
        </w:rPr>
      </w:pPr>
      <w:r>
        <w:rPr>
          <w:b/>
          <w:color w:val="314364" w:themeColor="text2"/>
          <w:sz w:val="32"/>
          <w:szCs w:val="32"/>
        </w:rPr>
        <w:t>November</w:t>
      </w:r>
      <w:r w:rsidR="00F071B7" w:rsidRPr="00FF5DA3">
        <w:rPr>
          <w:b/>
          <w:color w:val="314364" w:themeColor="text2"/>
          <w:sz w:val="32"/>
          <w:szCs w:val="32"/>
        </w:rPr>
        <w:t xml:space="preserve"> </w:t>
      </w:r>
      <w:r w:rsidR="00F071B7">
        <w:rPr>
          <w:b/>
          <w:color w:val="314364" w:themeColor="text2"/>
          <w:sz w:val="32"/>
          <w:szCs w:val="32"/>
        </w:rPr>
        <w:t>202</w:t>
      </w:r>
      <w:r w:rsidR="00714AE1">
        <w:rPr>
          <w:b/>
          <w:color w:val="314364" w:themeColor="text2"/>
          <w:sz w:val="32"/>
          <w:szCs w:val="32"/>
        </w:rPr>
        <w:t>3</w:t>
      </w:r>
    </w:p>
    <w:p w14:paraId="0B2834C2" w14:textId="77777777" w:rsidR="00F071B7" w:rsidRDefault="00F071B7" w:rsidP="00F071B7">
      <w:pPr>
        <w:jc w:val="center"/>
        <w:rPr>
          <w:b/>
          <w:color w:val="314364" w:themeColor="text2"/>
          <w:sz w:val="32"/>
          <w:szCs w:val="32"/>
        </w:rPr>
      </w:pPr>
    </w:p>
    <w:p w14:paraId="207C9DBE" w14:textId="77777777" w:rsidR="00F071B7" w:rsidRDefault="00F071B7" w:rsidP="00F071B7">
      <w:pPr>
        <w:jc w:val="center"/>
        <w:rPr>
          <w:b/>
          <w:color w:val="314364" w:themeColor="text2"/>
          <w:sz w:val="32"/>
          <w:szCs w:val="32"/>
        </w:rPr>
      </w:pPr>
    </w:p>
    <w:p w14:paraId="67BC3C64" w14:textId="77777777" w:rsidR="00F071B7" w:rsidRDefault="00F071B7" w:rsidP="00F071B7">
      <w:pPr>
        <w:jc w:val="center"/>
        <w:rPr>
          <w:b/>
          <w:color w:val="314364" w:themeColor="text2"/>
          <w:sz w:val="32"/>
          <w:szCs w:val="32"/>
        </w:rPr>
      </w:pPr>
    </w:p>
    <w:p w14:paraId="3B65B546" w14:textId="77777777" w:rsidR="00F071B7" w:rsidRDefault="00F071B7" w:rsidP="00F071B7">
      <w:pPr>
        <w:jc w:val="center"/>
        <w:rPr>
          <w:b/>
          <w:color w:val="314364" w:themeColor="text2"/>
          <w:sz w:val="32"/>
          <w:szCs w:val="32"/>
        </w:rPr>
      </w:pPr>
    </w:p>
    <w:p w14:paraId="2E9319C2" w14:textId="6E5666E2" w:rsidR="00F81151" w:rsidRDefault="00F81151" w:rsidP="00F81151">
      <w:pPr>
        <w:tabs>
          <w:tab w:val="left" w:pos="361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AE2ECA2" w14:textId="6C6FCA99" w:rsidR="00F071B7" w:rsidRPr="00F81151" w:rsidRDefault="00F81151" w:rsidP="00BB1B27">
      <w:pPr>
        <w:tabs>
          <w:tab w:val="left" w:pos="3615"/>
          <w:tab w:val="left" w:pos="4035"/>
        </w:tabs>
        <w:rPr>
          <w:sz w:val="32"/>
          <w:szCs w:val="32"/>
        </w:rPr>
        <w:sectPr w:rsidR="00F071B7" w:rsidRPr="00F81151" w:rsidSect="001951F6">
          <w:headerReference w:type="default" r:id="rId8"/>
          <w:footerReference w:type="default" r:id="rId9"/>
          <w:pgSz w:w="11906" w:h="16838"/>
          <w:pgMar w:top="1985" w:right="1418" w:bottom="1134" w:left="1418" w:header="0" w:footer="283" w:gutter="0"/>
          <w:cols w:space="708"/>
          <w:docGrid w:linePitch="360"/>
        </w:sectPr>
      </w:pPr>
      <w:r>
        <w:rPr>
          <w:sz w:val="32"/>
          <w:szCs w:val="32"/>
        </w:rPr>
        <w:tab/>
      </w:r>
      <w:r w:rsidR="00BB1B27">
        <w:rPr>
          <w:sz w:val="32"/>
          <w:szCs w:val="32"/>
        </w:rPr>
        <w:tab/>
      </w:r>
    </w:p>
    <w:sdt>
      <w:sdtPr>
        <w:rPr>
          <w:rFonts w:eastAsiaTheme="minorHAnsi" w:cstheme="minorBidi"/>
          <w:color w:val="auto"/>
          <w:sz w:val="20"/>
          <w:szCs w:val="22"/>
          <w:lang w:eastAsia="en-US"/>
        </w:rPr>
        <w:id w:val="13048238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4FE225" w14:textId="77777777" w:rsidR="00F071B7" w:rsidRDefault="00F071B7" w:rsidP="00F071B7">
          <w:pPr>
            <w:pStyle w:val="Hlavikaobsahu"/>
          </w:pPr>
          <w:r>
            <w:t>Obsah</w:t>
          </w:r>
        </w:p>
        <w:p w14:paraId="3B8269E8" w14:textId="0DB2A6BA" w:rsidR="00B333AC" w:rsidRDefault="006C125B">
          <w:pPr>
            <w:pStyle w:val="Obsah1"/>
            <w:rPr>
              <w:rFonts w:eastAsiaTheme="minorEastAsia" w:cstheme="minorBidi"/>
              <w:b w:val="0"/>
              <w:bCs w:val="0"/>
              <w:caps w:val="0"/>
              <w:color w:val="auto"/>
              <w:sz w:val="22"/>
              <w:szCs w:val="22"/>
              <w:lang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9040432" w:history="1">
            <w:r w:rsidR="00B333AC" w:rsidRPr="00663DA2">
              <w:rPr>
                <w:rStyle w:val="Hypertextovprepojenie"/>
              </w:rPr>
              <w:t>Zhrnutie</w:t>
            </w:r>
            <w:r w:rsidR="00B333AC">
              <w:rPr>
                <w:webHidden/>
              </w:rPr>
              <w:tab/>
            </w:r>
            <w:r w:rsidR="00B333AC">
              <w:rPr>
                <w:webHidden/>
              </w:rPr>
              <w:fldChar w:fldCharType="begin"/>
            </w:r>
            <w:r w:rsidR="00B333AC">
              <w:rPr>
                <w:webHidden/>
              </w:rPr>
              <w:instrText xml:space="preserve"> PAGEREF _Toc149040432 \h </w:instrText>
            </w:r>
            <w:r w:rsidR="00B333AC">
              <w:rPr>
                <w:webHidden/>
              </w:rPr>
            </w:r>
            <w:r w:rsidR="00B333AC">
              <w:rPr>
                <w:webHidden/>
              </w:rPr>
              <w:fldChar w:fldCharType="separate"/>
            </w:r>
            <w:r w:rsidR="001355D0">
              <w:rPr>
                <w:webHidden/>
              </w:rPr>
              <w:t>4</w:t>
            </w:r>
            <w:r w:rsidR="00B333AC">
              <w:rPr>
                <w:webHidden/>
              </w:rPr>
              <w:fldChar w:fldCharType="end"/>
            </w:r>
          </w:hyperlink>
        </w:p>
        <w:p w14:paraId="1525B7F5" w14:textId="535778AA" w:rsidR="00B333AC" w:rsidRDefault="009758C7" w:rsidP="009169F2">
          <w:pPr>
            <w:pStyle w:val="Obsah1"/>
            <w:rPr>
              <w:rFonts w:eastAsiaTheme="minorEastAsia" w:cstheme="minorBidi"/>
              <w:sz w:val="22"/>
              <w:szCs w:val="22"/>
              <w:lang w:eastAsia="sk-SK"/>
            </w:rPr>
          </w:pPr>
          <w:hyperlink w:anchor="_Toc149040433" w:history="1">
            <w:r w:rsidR="00B333AC" w:rsidRPr="009169F2">
              <w:rPr>
                <w:rStyle w:val="Hypertextovprepojenie"/>
              </w:rPr>
              <w:t>Odporúčanie</w:t>
            </w:r>
            <w:r w:rsidR="00B333AC">
              <w:rPr>
                <w:webHidden/>
              </w:rPr>
              <w:tab/>
            </w:r>
            <w:r w:rsidR="00B333AC">
              <w:rPr>
                <w:webHidden/>
              </w:rPr>
              <w:fldChar w:fldCharType="begin"/>
            </w:r>
            <w:r w:rsidR="00B333AC">
              <w:rPr>
                <w:webHidden/>
              </w:rPr>
              <w:instrText xml:space="preserve"> PAGEREF _Toc149040433 \h </w:instrText>
            </w:r>
            <w:r w:rsidR="00B333AC">
              <w:rPr>
                <w:webHidden/>
              </w:rPr>
            </w:r>
            <w:r w:rsidR="00B333AC">
              <w:rPr>
                <w:webHidden/>
              </w:rPr>
              <w:fldChar w:fldCharType="separate"/>
            </w:r>
            <w:r w:rsidR="001355D0">
              <w:rPr>
                <w:webHidden/>
              </w:rPr>
              <w:t>4</w:t>
            </w:r>
            <w:r w:rsidR="00B333AC">
              <w:rPr>
                <w:webHidden/>
              </w:rPr>
              <w:fldChar w:fldCharType="end"/>
            </w:r>
          </w:hyperlink>
        </w:p>
        <w:p w14:paraId="630F0134" w14:textId="334562A7" w:rsidR="00B333AC" w:rsidRDefault="009758C7">
          <w:pPr>
            <w:pStyle w:val="Obsah1"/>
            <w:rPr>
              <w:rFonts w:eastAsiaTheme="minorEastAsia" w:cstheme="minorBidi"/>
              <w:b w:val="0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49040434" w:history="1">
            <w:r w:rsidR="00B333AC" w:rsidRPr="00663DA2">
              <w:rPr>
                <w:rStyle w:val="Hypertextovprepojenie"/>
              </w:rPr>
              <w:t>1</w:t>
            </w:r>
            <w:r w:rsidR="00B333AC">
              <w:rPr>
                <w:rFonts w:eastAsiaTheme="minorEastAsia" w:cstheme="minorBidi"/>
                <w:b w:val="0"/>
                <w:bCs w:val="0"/>
                <w:caps w:val="0"/>
                <w:color w:val="auto"/>
                <w:sz w:val="22"/>
                <w:szCs w:val="22"/>
                <w:lang w:eastAsia="sk-SK"/>
              </w:rPr>
              <w:tab/>
            </w:r>
            <w:r w:rsidR="00B333AC" w:rsidRPr="00663DA2">
              <w:rPr>
                <w:rStyle w:val="Hypertextovprepojenie"/>
              </w:rPr>
              <w:t>Makroekonomické predpoklady rozpočtu</w:t>
            </w:r>
            <w:r w:rsidR="00B333AC">
              <w:rPr>
                <w:webHidden/>
              </w:rPr>
              <w:tab/>
            </w:r>
            <w:r w:rsidR="00B333AC">
              <w:rPr>
                <w:webHidden/>
              </w:rPr>
              <w:fldChar w:fldCharType="begin"/>
            </w:r>
            <w:r w:rsidR="00B333AC">
              <w:rPr>
                <w:webHidden/>
              </w:rPr>
              <w:instrText xml:space="preserve"> PAGEREF _Toc149040434 \h </w:instrText>
            </w:r>
            <w:r w:rsidR="00B333AC">
              <w:rPr>
                <w:webHidden/>
              </w:rPr>
            </w:r>
            <w:r w:rsidR="00B333AC">
              <w:rPr>
                <w:webHidden/>
              </w:rPr>
              <w:fldChar w:fldCharType="separate"/>
            </w:r>
            <w:r w:rsidR="001355D0">
              <w:rPr>
                <w:webHidden/>
              </w:rPr>
              <w:t>5</w:t>
            </w:r>
            <w:r w:rsidR="00B333AC">
              <w:rPr>
                <w:webHidden/>
              </w:rPr>
              <w:fldChar w:fldCharType="end"/>
            </w:r>
          </w:hyperlink>
        </w:p>
        <w:p w14:paraId="51AE0181" w14:textId="2DE5B6B2" w:rsidR="00B333AC" w:rsidRDefault="009758C7">
          <w:pPr>
            <w:pStyle w:val="Obsah1"/>
            <w:rPr>
              <w:rFonts w:eastAsiaTheme="minorEastAsia" w:cstheme="minorBidi"/>
              <w:b w:val="0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49040435" w:history="1">
            <w:r w:rsidR="00B333AC" w:rsidRPr="00663DA2">
              <w:rPr>
                <w:rStyle w:val="Hypertextovprepojenie"/>
              </w:rPr>
              <w:t>2</w:t>
            </w:r>
            <w:r w:rsidR="00B333AC">
              <w:rPr>
                <w:rFonts w:eastAsiaTheme="minorEastAsia" w:cstheme="minorBidi"/>
                <w:b w:val="0"/>
                <w:bCs w:val="0"/>
                <w:caps w:val="0"/>
                <w:color w:val="auto"/>
                <w:sz w:val="22"/>
                <w:szCs w:val="22"/>
                <w:lang w:eastAsia="sk-SK"/>
              </w:rPr>
              <w:tab/>
            </w:r>
            <w:r w:rsidR="00B333AC" w:rsidRPr="00663DA2">
              <w:rPr>
                <w:rStyle w:val="Hypertextovprepojenie"/>
              </w:rPr>
              <w:t>Východiskový rámec návrhu RVS</w:t>
            </w:r>
            <w:r w:rsidR="00B333AC">
              <w:rPr>
                <w:webHidden/>
              </w:rPr>
              <w:tab/>
            </w:r>
            <w:r w:rsidR="00B333AC">
              <w:rPr>
                <w:webHidden/>
              </w:rPr>
              <w:fldChar w:fldCharType="begin"/>
            </w:r>
            <w:r w:rsidR="00B333AC">
              <w:rPr>
                <w:webHidden/>
              </w:rPr>
              <w:instrText xml:space="preserve"> PAGEREF _Toc149040435 \h </w:instrText>
            </w:r>
            <w:r w:rsidR="00B333AC">
              <w:rPr>
                <w:webHidden/>
              </w:rPr>
            </w:r>
            <w:r w:rsidR="00B333AC">
              <w:rPr>
                <w:webHidden/>
              </w:rPr>
              <w:fldChar w:fldCharType="separate"/>
            </w:r>
            <w:r w:rsidR="001355D0">
              <w:rPr>
                <w:webHidden/>
              </w:rPr>
              <w:t>6</w:t>
            </w:r>
            <w:r w:rsidR="00B333AC">
              <w:rPr>
                <w:webHidden/>
              </w:rPr>
              <w:fldChar w:fldCharType="end"/>
            </w:r>
          </w:hyperlink>
        </w:p>
        <w:p w14:paraId="1B7C94FF" w14:textId="3FAF8AD5" w:rsidR="00B333AC" w:rsidRDefault="009758C7">
          <w:pPr>
            <w:pStyle w:val="Obsah2"/>
            <w:tabs>
              <w:tab w:val="left" w:pos="80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149040436" w:history="1">
            <w:r w:rsidR="00B333AC" w:rsidRPr="00663DA2">
              <w:rPr>
                <w:rStyle w:val="Hypertextovprepojenie"/>
                <w:noProof/>
              </w:rPr>
              <w:t>2.1</w:t>
            </w:r>
            <w:r w:rsidR="00B333AC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B333AC" w:rsidRPr="00663DA2">
              <w:rPr>
                <w:rStyle w:val="Hypertextovprepojenie"/>
                <w:noProof/>
              </w:rPr>
              <w:t>Fiškálny rámec návrhu RVS</w:t>
            </w:r>
            <w:r w:rsidR="00B333AC">
              <w:rPr>
                <w:noProof/>
                <w:webHidden/>
              </w:rPr>
              <w:tab/>
            </w:r>
            <w:r w:rsidR="00B333AC">
              <w:rPr>
                <w:noProof/>
                <w:webHidden/>
              </w:rPr>
              <w:fldChar w:fldCharType="begin"/>
            </w:r>
            <w:r w:rsidR="00B333AC">
              <w:rPr>
                <w:noProof/>
                <w:webHidden/>
              </w:rPr>
              <w:instrText xml:space="preserve"> PAGEREF _Toc149040436 \h </w:instrText>
            </w:r>
            <w:r w:rsidR="00B333AC">
              <w:rPr>
                <w:noProof/>
                <w:webHidden/>
              </w:rPr>
            </w:r>
            <w:r w:rsidR="00B333AC">
              <w:rPr>
                <w:noProof/>
                <w:webHidden/>
              </w:rPr>
              <w:fldChar w:fldCharType="separate"/>
            </w:r>
            <w:r w:rsidR="001355D0">
              <w:rPr>
                <w:noProof/>
                <w:webHidden/>
              </w:rPr>
              <w:t>6</w:t>
            </w:r>
            <w:r w:rsidR="00B333AC">
              <w:rPr>
                <w:noProof/>
                <w:webHidden/>
              </w:rPr>
              <w:fldChar w:fldCharType="end"/>
            </w:r>
          </w:hyperlink>
        </w:p>
        <w:p w14:paraId="156CBA07" w14:textId="2C8EC093" w:rsidR="00B333AC" w:rsidRDefault="009758C7">
          <w:pPr>
            <w:pStyle w:val="Obsah2"/>
            <w:tabs>
              <w:tab w:val="left" w:pos="80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149040437" w:history="1">
            <w:r w:rsidR="00B333AC" w:rsidRPr="00663DA2">
              <w:rPr>
                <w:rStyle w:val="Hypertextovprepojenie"/>
                <w:noProof/>
              </w:rPr>
              <w:t>2.2</w:t>
            </w:r>
            <w:r w:rsidR="00B333AC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B333AC" w:rsidRPr="00663DA2">
              <w:rPr>
                <w:rStyle w:val="Hypertextovprepojenie"/>
                <w:noProof/>
              </w:rPr>
              <w:t>Prognóza hrubého dlhu VS</w:t>
            </w:r>
            <w:r w:rsidR="00B333AC">
              <w:rPr>
                <w:noProof/>
                <w:webHidden/>
              </w:rPr>
              <w:tab/>
            </w:r>
            <w:r w:rsidR="00B333AC">
              <w:rPr>
                <w:noProof/>
                <w:webHidden/>
              </w:rPr>
              <w:fldChar w:fldCharType="begin"/>
            </w:r>
            <w:r w:rsidR="00B333AC">
              <w:rPr>
                <w:noProof/>
                <w:webHidden/>
              </w:rPr>
              <w:instrText xml:space="preserve"> PAGEREF _Toc149040437 \h </w:instrText>
            </w:r>
            <w:r w:rsidR="00B333AC">
              <w:rPr>
                <w:noProof/>
                <w:webHidden/>
              </w:rPr>
            </w:r>
            <w:r w:rsidR="00B333AC">
              <w:rPr>
                <w:noProof/>
                <w:webHidden/>
              </w:rPr>
              <w:fldChar w:fldCharType="separate"/>
            </w:r>
            <w:r w:rsidR="001355D0">
              <w:rPr>
                <w:noProof/>
                <w:webHidden/>
              </w:rPr>
              <w:t>7</w:t>
            </w:r>
            <w:r w:rsidR="00B333AC">
              <w:rPr>
                <w:noProof/>
                <w:webHidden/>
              </w:rPr>
              <w:fldChar w:fldCharType="end"/>
            </w:r>
          </w:hyperlink>
        </w:p>
        <w:p w14:paraId="07296BA6" w14:textId="3F620E38" w:rsidR="00B333AC" w:rsidRDefault="009758C7">
          <w:pPr>
            <w:pStyle w:val="Obsah2"/>
            <w:tabs>
              <w:tab w:val="left" w:pos="800"/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sk-SK"/>
            </w:rPr>
          </w:pPr>
          <w:hyperlink w:anchor="_Toc149040438" w:history="1">
            <w:r w:rsidR="00B333AC" w:rsidRPr="00663DA2">
              <w:rPr>
                <w:rStyle w:val="Hypertextovprepojenie"/>
                <w:noProof/>
              </w:rPr>
              <w:t>2.3</w:t>
            </w:r>
            <w:r w:rsidR="00B333AC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sk-SK"/>
              </w:rPr>
              <w:tab/>
            </w:r>
            <w:r w:rsidR="00B333AC" w:rsidRPr="00663DA2">
              <w:rPr>
                <w:rStyle w:val="Hypertextovprepojenie"/>
                <w:noProof/>
              </w:rPr>
              <w:t>Limit verejných výdavkov</w:t>
            </w:r>
            <w:r w:rsidR="00B333AC">
              <w:rPr>
                <w:noProof/>
                <w:webHidden/>
              </w:rPr>
              <w:tab/>
            </w:r>
            <w:r w:rsidR="00B333AC">
              <w:rPr>
                <w:noProof/>
                <w:webHidden/>
              </w:rPr>
              <w:fldChar w:fldCharType="begin"/>
            </w:r>
            <w:r w:rsidR="00B333AC">
              <w:rPr>
                <w:noProof/>
                <w:webHidden/>
              </w:rPr>
              <w:instrText xml:space="preserve"> PAGEREF _Toc149040438 \h </w:instrText>
            </w:r>
            <w:r w:rsidR="00B333AC">
              <w:rPr>
                <w:noProof/>
                <w:webHidden/>
              </w:rPr>
            </w:r>
            <w:r w:rsidR="00B333AC">
              <w:rPr>
                <w:noProof/>
                <w:webHidden/>
              </w:rPr>
              <w:fldChar w:fldCharType="separate"/>
            </w:r>
            <w:r w:rsidR="001355D0">
              <w:rPr>
                <w:noProof/>
                <w:webHidden/>
              </w:rPr>
              <w:t>7</w:t>
            </w:r>
            <w:r w:rsidR="00B333AC">
              <w:rPr>
                <w:noProof/>
                <w:webHidden/>
              </w:rPr>
              <w:fldChar w:fldCharType="end"/>
            </w:r>
          </w:hyperlink>
        </w:p>
        <w:p w14:paraId="5B136F42" w14:textId="33805EAE" w:rsidR="00B333AC" w:rsidRDefault="009758C7">
          <w:pPr>
            <w:pStyle w:val="Obsah1"/>
            <w:rPr>
              <w:rFonts w:eastAsiaTheme="minorEastAsia" w:cstheme="minorBidi"/>
              <w:b w:val="0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49040439" w:history="1">
            <w:r w:rsidR="00B333AC" w:rsidRPr="00663DA2">
              <w:rPr>
                <w:rStyle w:val="Hypertextovprepojenie"/>
              </w:rPr>
              <w:t>3</w:t>
            </w:r>
            <w:r w:rsidR="00B333AC">
              <w:rPr>
                <w:rFonts w:eastAsiaTheme="minorEastAsia" w:cstheme="minorBidi"/>
                <w:b w:val="0"/>
                <w:bCs w:val="0"/>
                <w:caps w:val="0"/>
                <w:color w:val="auto"/>
                <w:sz w:val="22"/>
                <w:szCs w:val="22"/>
                <w:lang w:eastAsia="sk-SK"/>
              </w:rPr>
              <w:tab/>
            </w:r>
            <w:r w:rsidR="00B333AC" w:rsidRPr="00663DA2">
              <w:rPr>
                <w:rStyle w:val="Hypertextovprepojenie"/>
              </w:rPr>
              <w:t>Rozpočtové vzťahy SR a EÚ</w:t>
            </w:r>
            <w:r w:rsidR="00B333AC">
              <w:rPr>
                <w:webHidden/>
              </w:rPr>
              <w:tab/>
            </w:r>
            <w:r w:rsidR="00B333AC">
              <w:rPr>
                <w:webHidden/>
              </w:rPr>
              <w:fldChar w:fldCharType="begin"/>
            </w:r>
            <w:r w:rsidR="00B333AC">
              <w:rPr>
                <w:webHidden/>
              </w:rPr>
              <w:instrText xml:space="preserve"> PAGEREF _Toc149040439 \h </w:instrText>
            </w:r>
            <w:r w:rsidR="00B333AC">
              <w:rPr>
                <w:webHidden/>
              </w:rPr>
            </w:r>
            <w:r w:rsidR="00B333AC">
              <w:rPr>
                <w:webHidden/>
              </w:rPr>
              <w:fldChar w:fldCharType="separate"/>
            </w:r>
            <w:r w:rsidR="001355D0">
              <w:rPr>
                <w:webHidden/>
              </w:rPr>
              <w:t>10</w:t>
            </w:r>
            <w:r w:rsidR="00B333AC">
              <w:rPr>
                <w:webHidden/>
              </w:rPr>
              <w:fldChar w:fldCharType="end"/>
            </w:r>
          </w:hyperlink>
        </w:p>
        <w:p w14:paraId="13A01A69" w14:textId="125D9BC4" w:rsidR="00B333AC" w:rsidRDefault="009758C7">
          <w:pPr>
            <w:pStyle w:val="Obsah1"/>
            <w:rPr>
              <w:rFonts w:eastAsiaTheme="minorEastAsia" w:cstheme="minorBidi"/>
              <w:b w:val="0"/>
              <w:bCs w:val="0"/>
              <w:caps w:val="0"/>
              <w:color w:val="auto"/>
              <w:sz w:val="22"/>
              <w:szCs w:val="22"/>
              <w:lang w:eastAsia="sk-SK"/>
            </w:rPr>
          </w:pPr>
          <w:hyperlink w:anchor="_Toc149040440" w:history="1">
            <w:r w:rsidR="00B333AC" w:rsidRPr="00663DA2">
              <w:rPr>
                <w:rStyle w:val="Hypertextovprepojenie"/>
              </w:rPr>
              <w:t>4</w:t>
            </w:r>
            <w:r w:rsidR="00B333AC">
              <w:rPr>
                <w:rFonts w:eastAsiaTheme="minorEastAsia" w:cstheme="minorBidi"/>
                <w:b w:val="0"/>
                <w:bCs w:val="0"/>
                <w:caps w:val="0"/>
                <w:color w:val="auto"/>
                <w:sz w:val="22"/>
                <w:szCs w:val="22"/>
                <w:lang w:eastAsia="sk-SK"/>
              </w:rPr>
              <w:tab/>
            </w:r>
            <w:r w:rsidR="00B333AC" w:rsidRPr="00663DA2">
              <w:rPr>
                <w:rStyle w:val="Hypertextovprepojenie"/>
              </w:rPr>
              <w:t>Súhrnné riziká návrhu ŠR na rok 2024</w:t>
            </w:r>
            <w:r w:rsidR="00B333AC">
              <w:rPr>
                <w:webHidden/>
              </w:rPr>
              <w:tab/>
            </w:r>
            <w:r w:rsidR="00B333AC">
              <w:rPr>
                <w:webHidden/>
              </w:rPr>
              <w:fldChar w:fldCharType="begin"/>
            </w:r>
            <w:r w:rsidR="00B333AC">
              <w:rPr>
                <w:webHidden/>
              </w:rPr>
              <w:instrText xml:space="preserve"> PAGEREF _Toc149040440 \h </w:instrText>
            </w:r>
            <w:r w:rsidR="00B333AC">
              <w:rPr>
                <w:webHidden/>
              </w:rPr>
            </w:r>
            <w:r w:rsidR="00B333AC">
              <w:rPr>
                <w:webHidden/>
              </w:rPr>
              <w:fldChar w:fldCharType="separate"/>
            </w:r>
            <w:r w:rsidR="001355D0">
              <w:rPr>
                <w:webHidden/>
              </w:rPr>
              <w:t>12</w:t>
            </w:r>
            <w:r w:rsidR="00B333AC">
              <w:rPr>
                <w:webHidden/>
              </w:rPr>
              <w:fldChar w:fldCharType="end"/>
            </w:r>
          </w:hyperlink>
        </w:p>
        <w:p w14:paraId="2E728DDA" w14:textId="5ED2F2AB" w:rsidR="00F071B7" w:rsidRDefault="006C125B" w:rsidP="00F071B7">
          <w:pPr>
            <w:jc w:val="center"/>
            <w:rPr>
              <w:b/>
              <w:bCs/>
            </w:rPr>
          </w:pPr>
          <w:r>
            <w:rPr>
              <w:rFonts w:asciiTheme="minorHAnsi" w:hAnsiTheme="minorHAnsi" w:cstheme="minorHAnsi"/>
              <w:b/>
              <w:bCs/>
              <w:color w:val="314364" w:themeColor="text2"/>
              <w:szCs w:val="20"/>
            </w:rPr>
            <w:fldChar w:fldCharType="end"/>
          </w:r>
          <w:r w:rsidR="00F071B7">
            <w:rPr>
              <w:b/>
              <w:bCs/>
            </w:rPr>
            <w:br w:type="page"/>
          </w:r>
        </w:p>
      </w:sdtContent>
    </w:sdt>
    <w:p w14:paraId="35FFEFF7" w14:textId="58F68100" w:rsidR="001609D9" w:rsidRDefault="001609D9" w:rsidP="001609D9">
      <w:pPr>
        <w:pStyle w:val="Zhrnutie"/>
        <w:rPr>
          <w:b w:val="0"/>
          <w:sz w:val="28"/>
        </w:rPr>
      </w:pPr>
      <w:bookmarkStart w:id="0" w:name="_Toc53475706"/>
      <w:r w:rsidRPr="003B352D">
        <w:rPr>
          <w:b w:val="0"/>
          <w:sz w:val="28"/>
        </w:rPr>
        <w:lastRenderedPageBreak/>
        <w:t>Zoznam</w:t>
      </w:r>
      <w:r w:rsidRPr="007816E8">
        <w:rPr>
          <w:b w:val="0"/>
          <w:sz w:val="28"/>
        </w:rPr>
        <w:t xml:space="preserve"> skratiek</w:t>
      </w:r>
    </w:p>
    <w:tbl>
      <w:tblPr>
        <w:tblStyle w:val="Mriekatabuky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6937"/>
      </w:tblGrid>
      <w:tr w:rsidR="00CE7ACF" w:rsidRPr="00B52236" w14:paraId="17F4B7EF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46B34FDB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DPFO</w:t>
            </w:r>
          </w:p>
        </w:tc>
        <w:tc>
          <w:tcPr>
            <w:tcW w:w="3824" w:type="pct"/>
            <w:shd w:val="clear" w:color="auto" w:fill="auto"/>
          </w:tcPr>
          <w:p w14:paraId="680B637E" w14:textId="77777777" w:rsidR="00CE7ACF" w:rsidRPr="00B52236" w:rsidRDefault="00CE7ACF" w:rsidP="00037E23">
            <w:pPr>
              <w:spacing w:after="0"/>
              <w:ind w:right="299"/>
              <w:jc w:val="left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daň z príjmov fyzických osôb</w:t>
            </w:r>
          </w:p>
        </w:tc>
      </w:tr>
      <w:tr w:rsidR="00CE7ACF" w:rsidRPr="00B52236" w14:paraId="77109F0F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22411987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DPH</w:t>
            </w:r>
          </w:p>
        </w:tc>
        <w:tc>
          <w:tcPr>
            <w:tcW w:w="3824" w:type="pct"/>
            <w:shd w:val="clear" w:color="auto" w:fill="auto"/>
          </w:tcPr>
          <w:p w14:paraId="367D1162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daň z pridanej hodnoty</w:t>
            </w:r>
          </w:p>
        </w:tc>
      </w:tr>
      <w:tr w:rsidR="00CE7ACF" w:rsidRPr="00B52236" w14:paraId="5E301449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53B30712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EK</w:t>
            </w:r>
          </w:p>
        </w:tc>
        <w:tc>
          <w:tcPr>
            <w:tcW w:w="3824" w:type="pct"/>
            <w:shd w:val="clear" w:color="auto" w:fill="auto"/>
          </w:tcPr>
          <w:p w14:paraId="16232ADD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Európska komisia</w:t>
            </w:r>
          </w:p>
        </w:tc>
      </w:tr>
      <w:tr w:rsidR="00CE7ACF" w:rsidRPr="00B52236" w14:paraId="415D27D4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7587109A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EÚ</w:t>
            </w:r>
          </w:p>
        </w:tc>
        <w:tc>
          <w:tcPr>
            <w:tcW w:w="3824" w:type="pct"/>
            <w:shd w:val="clear" w:color="auto" w:fill="auto"/>
          </w:tcPr>
          <w:p w14:paraId="5994ED36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Európska únia</w:t>
            </w:r>
          </w:p>
        </w:tc>
      </w:tr>
      <w:tr w:rsidR="00CE7ACF" w:rsidRPr="00B52236" w14:paraId="7473A75E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2DCDC97B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HDP</w:t>
            </w:r>
          </w:p>
        </w:tc>
        <w:tc>
          <w:tcPr>
            <w:tcW w:w="3824" w:type="pct"/>
            <w:shd w:val="clear" w:color="auto" w:fill="auto"/>
          </w:tcPr>
          <w:p w14:paraId="4AB748E0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hrubý domáci produkt</w:t>
            </w:r>
          </w:p>
        </w:tc>
      </w:tr>
      <w:tr w:rsidR="00CE7ACF" w:rsidRPr="00B52236" w14:paraId="48FA3A17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13E8B3DE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>
              <w:rPr>
                <w:color w:val="314364" w:themeColor="text2"/>
                <w:sz w:val="18"/>
                <w:szCs w:val="18"/>
              </w:rPr>
              <w:t>IFP</w:t>
            </w:r>
          </w:p>
        </w:tc>
        <w:tc>
          <w:tcPr>
            <w:tcW w:w="3824" w:type="pct"/>
            <w:shd w:val="clear" w:color="auto" w:fill="auto"/>
          </w:tcPr>
          <w:p w14:paraId="614902B8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AF7CF9">
              <w:rPr>
                <w:sz w:val="18"/>
                <w:szCs w:val="18"/>
              </w:rPr>
              <w:t>Inštitút finančnej politiky</w:t>
            </w:r>
          </w:p>
        </w:tc>
      </w:tr>
      <w:tr w:rsidR="00CE7ACF" w:rsidRPr="00B52236" w14:paraId="1DBAD989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429357C0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LVV</w:t>
            </w:r>
          </w:p>
        </w:tc>
        <w:tc>
          <w:tcPr>
            <w:tcW w:w="3824" w:type="pct"/>
            <w:shd w:val="clear" w:color="auto" w:fill="auto"/>
          </w:tcPr>
          <w:p w14:paraId="299A40F6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limit verejných výdavkov</w:t>
            </w:r>
          </w:p>
        </w:tc>
      </w:tr>
      <w:tr w:rsidR="00CE7ACF" w:rsidRPr="00B52236" w14:paraId="1E986758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24383124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MD SR</w:t>
            </w:r>
          </w:p>
        </w:tc>
        <w:tc>
          <w:tcPr>
            <w:tcW w:w="3824" w:type="pct"/>
            <w:shd w:val="clear" w:color="auto" w:fill="auto"/>
          </w:tcPr>
          <w:p w14:paraId="1AC1F9C9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Ministerstvo dopravy Slovenskej republiky</w:t>
            </w:r>
          </w:p>
        </w:tc>
      </w:tr>
      <w:tr w:rsidR="00CE7ACF" w:rsidRPr="00B52236" w14:paraId="425FFF42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57C14DD8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MF SR</w:t>
            </w:r>
          </w:p>
        </w:tc>
        <w:tc>
          <w:tcPr>
            <w:tcW w:w="3824" w:type="pct"/>
            <w:shd w:val="clear" w:color="auto" w:fill="auto"/>
          </w:tcPr>
          <w:p w14:paraId="2DD43E1F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Ministerstvo financií Slovenskej republiky</w:t>
            </w:r>
          </w:p>
        </w:tc>
      </w:tr>
      <w:tr w:rsidR="00CE7ACF" w:rsidRPr="00B52236" w14:paraId="1137355F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77D05234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MH SR</w:t>
            </w:r>
          </w:p>
        </w:tc>
        <w:tc>
          <w:tcPr>
            <w:tcW w:w="3824" w:type="pct"/>
            <w:shd w:val="clear" w:color="auto" w:fill="auto"/>
          </w:tcPr>
          <w:p w14:paraId="0DEE7CD2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Ministerstvo hospodárstva Slovenskej republiky</w:t>
            </w:r>
          </w:p>
        </w:tc>
      </w:tr>
      <w:tr w:rsidR="00CE7ACF" w:rsidRPr="00B52236" w14:paraId="0CD46BF1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0E073004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MIRRI SR</w:t>
            </w:r>
          </w:p>
        </w:tc>
        <w:tc>
          <w:tcPr>
            <w:tcW w:w="3824" w:type="pct"/>
            <w:shd w:val="clear" w:color="auto" w:fill="auto"/>
          </w:tcPr>
          <w:p w14:paraId="44C9CD43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Ministerstvo investícií, regionálneho rozvoja a informatizácie Slovenskej republiky</w:t>
            </w:r>
          </w:p>
        </w:tc>
      </w:tr>
      <w:tr w:rsidR="006804E0" w:rsidRPr="00B52236" w14:paraId="2FF89F2A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3B4301E3" w14:textId="34B081F4" w:rsidR="006804E0" w:rsidRPr="00B52236" w:rsidRDefault="006804E0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>
              <w:rPr>
                <w:color w:val="314364" w:themeColor="text2"/>
                <w:sz w:val="18"/>
                <w:szCs w:val="18"/>
              </w:rPr>
              <w:t>MO SR</w:t>
            </w:r>
          </w:p>
        </w:tc>
        <w:tc>
          <w:tcPr>
            <w:tcW w:w="3824" w:type="pct"/>
            <w:shd w:val="clear" w:color="auto" w:fill="auto"/>
          </w:tcPr>
          <w:p w14:paraId="14AC45A6" w14:textId="64DD9AB0" w:rsidR="006804E0" w:rsidRPr="00B52236" w:rsidRDefault="006804E0" w:rsidP="00037E2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Ministerstvo obrany Slovenskej republiky</w:t>
            </w:r>
          </w:p>
        </w:tc>
      </w:tr>
      <w:tr w:rsidR="00CE7ACF" w:rsidRPr="00B52236" w14:paraId="7DC2B571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4C3DC5E8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MPRV SR</w:t>
            </w:r>
          </w:p>
        </w:tc>
        <w:tc>
          <w:tcPr>
            <w:tcW w:w="3824" w:type="pct"/>
            <w:shd w:val="clear" w:color="auto" w:fill="auto"/>
          </w:tcPr>
          <w:p w14:paraId="78DE2873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Ministerstvo pôdohospodárstva a rozvoja vidieka Slovenskej republiky</w:t>
            </w:r>
          </w:p>
        </w:tc>
      </w:tr>
      <w:tr w:rsidR="00CE7ACF" w:rsidRPr="00B52236" w14:paraId="2E6CA9EE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31B79F05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MPSVR SR</w:t>
            </w:r>
          </w:p>
        </w:tc>
        <w:tc>
          <w:tcPr>
            <w:tcW w:w="3824" w:type="pct"/>
            <w:shd w:val="clear" w:color="auto" w:fill="auto"/>
          </w:tcPr>
          <w:p w14:paraId="6C5C5D1A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Ministerstvo práce, sociálnych vecí a rodiny Slovenskej republiky</w:t>
            </w:r>
          </w:p>
        </w:tc>
      </w:tr>
      <w:tr w:rsidR="00CE7ACF" w:rsidRPr="00B52236" w14:paraId="11C89812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19BFD020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MS SR</w:t>
            </w:r>
          </w:p>
        </w:tc>
        <w:tc>
          <w:tcPr>
            <w:tcW w:w="3824" w:type="pct"/>
            <w:shd w:val="clear" w:color="auto" w:fill="auto"/>
          </w:tcPr>
          <w:p w14:paraId="6EA02C18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Ministerstvo spravodlivosti Slovenskej republiky</w:t>
            </w:r>
          </w:p>
        </w:tc>
      </w:tr>
      <w:tr w:rsidR="00CE7ACF" w:rsidRPr="00B52236" w14:paraId="2AC0169E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577EAE0C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MŠVVaŠ SR</w:t>
            </w:r>
          </w:p>
        </w:tc>
        <w:tc>
          <w:tcPr>
            <w:tcW w:w="3824" w:type="pct"/>
            <w:shd w:val="clear" w:color="auto" w:fill="auto"/>
          </w:tcPr>
          <w:p w14:paraId="31E7F573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Ministerstvo školstva, vedy, výskumu a športu Slovenskej republiky</w:t>
            </w:r>
          </w:p>
        </w:tc>
      </w:tr>
      <w:tr w:rsidR="00CE7ACF" w:rsidRPr="00B52236" w14:paraId="49D31CB0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26307D12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MV SR</w:t>
            </w:r>
          </w:p>
        </w:tc>
        <w:tc>
          <w:tcPr>
            <w:tcW w:w="3824" w:type="pct"/>
            <w:shd w:val="clear" w:color="auto" w:fill="auto"/>
          </w:tcPr>
          <w:p w14:paraId="2D3AF4EE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Ministerstvo vnútra Slovenskej republiky</w:t>
            </w:r>
          </w:p>
        </w:tc>
      </w:tr>
      <w:tr w:rsidR="00CE7ACF" w:rsidRPr="00B52236" w14:paraId="130B9DAE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430057B1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MZ SR</w:t>
            </w:r>
          </w:p>
        </w:tc>
        <w:tc>
          <w:tcPr>
            <w:tcW w:w="3824" w:type="pct"/>
            <w:shd w:val="clear" w:color="auto" w:fill="auto"/>
          </w:tcPr>
          <w:p w14:paraId="7F30ED46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Ministerstvo zdravotníctva Slovenskej republiky</w:t>
            </w:r>
          </w:p>
        </w:tc>
      </w:tr>
      <w:tr w:rsidR="00CE7ACF" w:rsidRPr="00B52236" w14:paraId="26E799B7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3FACCA71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MŽP SR</w:t>
            </w:r>
          </w:p>
        </w:tc>
        <w:tc>
          <w:tcPr>
            <w:tcW w:w="3824" w:type="pct"/>
            <w:shd w:val="clear" w:color="auto" w:fill="auto"/>
          </w:tcPr>
          <w:p w14:paraId="62DF2DA9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Ministerstvo životného prostredia Slovenskej republiky</w:t>
            </w:r>
          </w:p>
        </w:tc>
      </w:tr>
      <w:tr w:rsidR="00CE7ACF" w:rsidRPr="00B52236" w14:paraId="46872F7E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1E00DBD9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NKÚ SR</w:t>
            </w:r>
          </w:p>
        </w:tc>
        <w:tc>
          <w:tcPr>
            <w:tcW w:w="3824" w:type="pct"/>
            <w:shd w:val="clear" w:color="auto" w:fill="auto"/>
          </w:tcPr>
          <w:p w14:paraId="21FEC98F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Najvyšší kontrolný úrad Slovenskej republiky</w:t>
            </w:r>
          </w:p>
        </w:tc>
      </w:tr>
      <w:tr w:rsidR="00CE7ACF" w:rsidRPr="00B52236" w14:paraId="23BF0C44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4B35C59F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 xml:space="preserve">NR </w:t>
            </w:r>
          </w:p>
        </w:tc>
        <w:tc>
          <w:tcPr>
            <w:tcW w:w="3824" w:type="pct"/>
            <w:shd w:val="clear" w:color="auto" w:fill="auto"/>
          </w:tcPr>
          <w:p w14:paraId="68EB3E39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B52236">
              <w:rPr>
                <w:sz w:val="18"/>
                <w:szCs w:val="18"/>
              </w:rPr>
              <w:t>ávrh rozpočtu</w:t>
            </w:r>
          </w:p>
        </w:tc>
      </w:tr>
      <w:tr w:rsidR="00CE7ACF" w:rsidRPr="00B52236" w14:paraId="5DAE2BA7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73465455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NR SR</w:t>
            </w:r>
          </w:p>
        </w:tc>
        <w:tc>
          <w:tcPr>
            <w:tcW w:w="3824" w:type="pct"/>
            <w:shd w:val="clear" w:color="auto" w:fill="auto"/>
          </w:tcPr>
          <w:p w14:paraId="6C1E3397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Národná rada Slovenskej republiky</w:t>
            </w:r>
          </w:p>
        </w:tc>
      </w:tr>
      <w:tr w:rsidR="00CE7ACF" w:rsidRPr="00B52236" w14:paraId="7ED22FAA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7DCD92FC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OP</w:t>
            </w:r>
          </w:p>
        </w:tc>
        <w:tc>
          <w:tcPr>
            <w:tcW w:w="3824" w:type="pct"/>
            <w:shd w:val="clear" w:color="auto" w:fill="auto"/>
          </w:tcPr>
          <w:p w14:paraId="528CCE46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operačný program</w:t>
            </w:r>
          </w:p>
        </w:tc>
      </w:tr>
      <w:tr w:rsidR="00CE7ACF" w:rsidRPr="00B52236" w14:paraId="7914CC2D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607B7D99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PO</w:t>
            </w:r>
          </w:p>
        </w:tc>
        <w:tc>
          <w:tcPr>
            <w:tcW w:w="3824" w:type="pct"/>
            <w:shd w:val="clear" w:color="auto" w:fill="auto"/>
          </w:tcPr>
          <w:p w14:paraId="7C8E45B3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programové obdobie</w:t>
            </w:r>
          </w:p>
        </w:tc>
      </w:tr>
      <w:tr w:rsidR="00CE7ACF" w:rsidRPr="00B52236" w14:paraId="2063EB52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2DE9C6C5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POO</w:t>
            </w:r>
          </w:p>
        </w:tc>
        <w:tc>
          <w:tcPr>
            <w:tcW w:w="3824" w:type="pct"/>
            <w:shd w:val="clear" w:color="auto" w:fill="auto"/>
          </w:tcPr>
          <w:p w14:paraId="7C7B471C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Plán obnovy a odolnosti</w:t>
            </w:r>
          </w:p>
        </w:tc>
      </w:tr>
      <w:tr w:rsidR="00CE7ACF" w:rsidRPr="00B52236" w14:paraId="2DE98164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34475CDE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PRV</w:t>
            </w:r>
          </w:p>
        </w:tc>
        <w:tc>
          <w:tcPr>
            <w:tcW w:w="3824" w:type="pct"/>
            <w:shd w:val="clear" w:color="auto" w:fill="auto"/>
          </w:tcPr>
          <w:p w14:paraId="30C26D57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Program rozvoja vidieka</w:t>
            </w:r>
          </w:p>
        </w:tc>
      </w:tr>
      <w:tr w:rsidR="00CE7ACF" w:rsidRPr="00B52236" w14:paraId="68986748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7215AA8C" w14:textId="6DC22867" w:rsidR="00357153" w:rsidRPr="00B52236" w:rsidRDefault="00CE7ACF" w:rsidP="0035715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R</w:t>
            </w:r>
          </w:p>
        </w:tc>
        <w:tc>
          <w:tcPr>
            <w:tcW w:w="3824" w:type="pct"/>
            <w:shd w:val="clear" w:color="auto" w:fill="auto"/>
          </w:tcPr>
          <w:p w14:paraId="443CB92A" w14:textId="00EF813D" w:rsidR="00357153" w:rsidRPr="00B52236" w:rsidRDefault="00357153" w:rsidP="00037E2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CE7ACF" w:rsidRPr="00B52236">
              <w:rPr>
                <w:sz w:val="18"/>
                <w:szCs w:val="18"/>
              </w:rPr>
              <w:t>ozpočet</w:t>
            </w:r>
          </w:p>
        </w:tc>
      </w:tr>
      <w:tr w:rsidR="00357153" w:rsidRPr="00B52236" w14:paraId="63484939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0A6D6617" w14:textId="077DF6DA" w:rsidR="00357153" w:rsidRPr="00B52236" w:rsidRDefault="00357153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>
              <w:rPr>
                <w:color w:val="314364" w:themeColor="text2"/>
                <w:sz w:val="18"/>
                <w:szCs w:val="18"/>
              </w:rPr>
              <w:t>RO</w:t>
            </w:r>
          </w:p>
        </w:tc>
        <w:tc>
          <w:tcPr>
            <w:tcW w:w="3824" w:type="pct"/>
            <w:shd w:val="clear" w:color="auto" w:fill="auto"/>
          </w:tcPr>
          <w:p w14:paraId="21F230D6" w14:textId="6E0DDE1C" w:rsidR="00357153" w:rsidRPr="00EE48F1" w:rsidRDefault="00357153" w:rsidP="00037E23">
            <w:pPr>
              <w:spacing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000000"/>
                <w:sz w:val="18"/>
                <w:szCs w:val="18"/>
              </w:rPr>
              <w:t>rozpočtová organizácia</w:t>
            </w:r>
          </w:p>
        </w:tc>
      </w:tr>
      <w:tr w:rsidR="00CE7ACF" w:rsidRPr="00B52236" w14:paraId="1A9CA9C7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39BF2BFE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RRZ</w:t>
            </w:r>
          </w:p>
        </w:tc>
        <w:tc>
          <w:tcPr>
            <w:tcW w:w="3824" w:type="pct"/>
            <w:shd w:val="clear" w:color="auto" w:fill="auto"/>
          </w:tcPr>
          <w:p w14:paraId="76078C42" w14:textId="77777777" w:rsidR="00CE7ACF" w:rsidRPr="00B52236" w:rsidRDefault="00CE7ACF" w:rsidP="00037E23">
            <w:pPr>
              <w:spacing w:after="0"/>
              <w:jc w:val="left"/>
              <w:rPr>
                <w:sz w:val="18"/>
                <w:szCs w:val="18"/>
              </w:rPr>
            </w:pPr>
            <w:r w:rsidRPr="00EE48F1">
              <w:rPr>
                <w:rFonts w:cs="Segoe UI"/>
                <w:color w:val="000000"/>
                <w:sz w:val="18"/>
                <w:szCs w:val="18"/>
              </w:rPr>
              <w:t>Rada pre rozpočtovú zodpovednosť</w:t>
            </w:r>
          </w:p>
        </w:tc>
      </w:tr>
      <w:tr w:rsidR="00CE7ACF" w:rsidRPr="00B52236" w14:paraId="05293FE0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0729FD0E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RVS</w:t>
            </w:r>
          </w:p>
        </w:tc>
        <w:tc>
          <w:tcPr>
            <w:tcW w:w="3824" w:type="pct"/>
            <w:shd w:val="clear" w:color="auto" w:fill="auto"/>
          </w:tcPr>
          <w:p w14:paraId="70DDB9AE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B52236">
              <w:rPr>
                <w:sz w:val="18"/>
                <w:szCs w:val="18"/>
              </w:rPr>
              <w:t>ozpočet verejnej správy</w:t>
            </w:r>
          </w:p>
        </w:tc>
      </w:tr>
      <w:tr w:rsidR="00CE7ACF" w:rsidRPr="00B52236" w14:paraId="4E372872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1A842B00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S</w:t>
            </w:r>
          </w:p>
        </w:tc>
        <w:tc>
          <w:tcPr>
            <w:tcW w:w="3824" w:type="pct"/>
            <w:shd w:val="clear" w:color="auto" w:fill="auto"/>
          </w:tcPr>
          <w:p w14:paraId="5B72626F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skutočnosť</w:t>
            </w:r>
          </w:p>
        </w:tc>
      </w:tr>
      <w:tr w:rsidR="00CE7ACF" w:rsidRPr="00B52236" w14:paraId="47EBEBE5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35177B60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SR</w:t>
            </w:r>
          </w:p>
        </w:tc>
        <w:tc>
          <w:tcPr>
            <w:tcW w:w="3824" w:type="pct"/>
            <w:shd w:val="clear" w:color="auto" w:fill="auto"/>
          </w:tcPr>
          <w:p w14:paraId="60E4E32C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Slovenská republika</w:t>
            </w:r>
          </w:p>
        </w:tc>
      </w:tr>
      <w:tr w:rsidR="00CE7ACF" w:rsidRPr="00B52236" w14:paraId="5CCF7809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40C59306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ŠR</w:t>
            </w:r>
          </w:p>
        </w:tc>
        <w:tc>
          <w:tcPr>
            <w:tcW w:w="3824" w:type="pct"/>
            <w:shd w:val="clear" w:color="auto" w:fill="auto"/>
          </w:tcPr>
          <w:p w14:paraId="76A6170E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štátny rozpočet</w:t>
            </w:r>
          </w:p>
        </w:tc>
      </w:tr>
      <w:tr w:rsidR="00357153" w:rsidRPr="00B52236" w14:paraId="106D53F9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3504EDB8" w14:textId="4FEB52B8" w:rsidR="00357153" w:rsidRPr="00B52236" w:rsidRDefault="00357153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>
              <w:rPr>
                <w:color w:val="314364" w:themeColor="text2"/>
                <w:sz w:val="18"/>
                <w:szCs w:val="18"/>
              </w:rPr>
              <w:t>ŠÚ SR</w:t>
            </w:r>
          </w:p>
        </w:tc>
        <w:tc>
          <w:tcPr>
            <w:tcW w:w="3824" w:type="pct"/>
            <w:shd w:val="clear" w:color="auto" w:fill="auto"/>
          </w:tcPr>
          <w:p w14:paraId="19208A7B" w14:textId="69A568B4" w:rsidR="00357153" w:rsidRPr="00B52236" w:rsidRDefault="00357153" w:rsidP="00037E2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Štatistický úrad Slovenskej republiky</w:t>
            </w:r>
          </w:p>
        </w:tc>
      </w:tr>
      <w:tr w:rsidR="00CE7ACF" w:rsidRPr="00B52236" w14:paraId="1D406514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1E3CC62A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ÚHP</w:t>
            </w:r>
          </w:p>
        </w:tc>
        <w:tc>
          <w:tcPr>
            <w:tcW w:w="3824" w:type="pct"/>
            <w:shd w:val="clear" w:color="auto" w:fill="auto"/>
          </w:tcPr>
          <w:p w14:paraId="1C8B0B62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Útvar hodnoty za peniaze</w:t>
            </w:r>
          </w:p>
        </w:tc>
      </w:tr>
      <w:tr w:rsidR="00CE7ACF" w:rsidRPr="00B52236" w14:paraId="7F774E19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4A7265C4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ÚVO</w:t>
            </w:r>
          </w:p>
        </w:tc>
        <w:tc>
          <w:tcPr>
            <w:tcW w:w="3824" w:type="pct"/>
            <w:shd w:val="clear" w:color="auto" w:fill="auto"/>
          </w:tcPr>
          <w:p w14:paraId="21B6DE35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Úrad pre verejné obstarávanie</w:t>
            </w:r>
          </w:p>
        </w:tc>
      </w:tr>
      <w:tr w:rsidR="00CE7ACF" w:rsidRPr="00B52236" w14:paraId="7671C23F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1EFC13CA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ÚV SR</w:t>
            </w:r>
          </w:p>
        </w:tc>
        <w:tc>
          <w:tcPr>
            <w:tcW w:w="3824" w:type="pct"/>
            <w:shd w:val="clear" w:color="auto" w:fill="auto"/>
          </w:tcPr>
          <w:p w14:paraId="478FE5DA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Úrad vlády Slovenskej republiky</w:t>
            </w:r>
          </w:p>
        </w:tc>
      </w:tr>
      <w:tr w:rsidR="00CE7ACF" w:rsidRPr="00B52236" w14:paraId="0BA1C2B3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0535D3DD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VpMP</w:t>
            </w:r>
          </w:p>
        </w:tc>
        <w:tc>
          <w:tcPr>
            <w:tcW w:w="3824" w:type="pct"/>
            <w:shd w:val="clear" w:color="auto" w:fill="auto"/>
          </w:tcPr>
          <w:p w14:paraId="7D0D8B31" w14:textId="77777777" w:rsidR="00CE7ACF" w:rsidRPr="00B52236" w:rsidRDefault="00CE7ACF" w:rsidP="00037E23">
            <w:pPr>
              <w:spacing w:after="0"/>
              <w:jc w:val="left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Výbor pre makroekonomické prognózy</w:t>
            </w:r>
          </w:p>
        </w:tc>
      </w:tr>
      <w:tr w:rsidR="00CE7ACF" w:rsidRPr="00B52236" w14:paraId="44594FAC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57B71615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VPS</w:t>
            </w:r>
          </w:p>
        </w:tc>
        <w:tc>
          <w:tcPr>
            <w:tcW w:w="3824" w:type="pct"/>
            <w:shd w:val="clear" w:color="auto" w:fill="auto"/>
          </w:tcPr>
          <w:p w14:paraId="25D7014B" w14:textId="77777777" w:rsidR="00CE7ACF" w:rsidRPr="00B52236" w:rsidRDefault="00CE7ACF" w:rsidP="00037E23">
            <w:pPr>
              <w:spacing w:after="0"/>
              <w:jc w:val="left"/>
              <w:rPr>
                <w:sz w:val="18"/>
                <w:szCs w:val="18"/>
              </w:rPr>
            </w:pPr>
            <w:r w:rsidRPr="00B52236">
              <w:rPr>
                <w:sz w:val="18"/>
                <w:szCs w:val="18"/>
              </w:rPr>
              <w:t>Všeobecná pokladničná správa</w:t>
            </w:r>
          </w:p>
        </w:tc>
      </w:tr>
      <w:tr w:rsidR="00CE7ACF" w:rsidRPr="00B52236" w14:paraId="01DF6D7D" w14:textId="77777777" w:rsidTr="00037E23">
        <w:trPr>
          <w:trHeight w:val="288"/>
          <w:jc w:val="center"/>
        </w:trPr>
        <w:tc>
          <w:tcPr>
            <w:tcW w:w="1176" w:type="pct"/>
            <w:shd w:val="clear" w:color="auto" w:fill="auto"/>
          </w:tcPr>
          <w:p w14:paraId="31524085" w14:textId="77777777" w:rsidR="00CE7ACF" w:rsidRPr="00B52236" w:rsidRDefault="00CE7ACF" w:rsidP="00037E23">
            <w:pPr>
              <w:spacing w:after="0"/>
              <w:rPr>
                <w:color w:val="314364" w:themeColor="text2"/>
                <w:sz w:val="18"/>
                <w:szCs w:val="18"/>
              </w:rPr>
            </w:pPr>
            <w:r w:rsidRPr="00B52236">
              <w:rPr>
                <w:color w:val="314364" w:themeColor="text2"/>
                <w:sz w:val="18"/>
                <w:szCs w:val="18"/>
              </w:rPr>
              <w:t>VS</w:t>
            </w:r>
          </w:p>
        </w:tc>
        <w:tc>
          <w:tcPr>
            <w:tcW w:w="3824" w:type="pct"/>
            <w:shd w:val="clear" w:color="auto" w:fill="auto"/>
          </w:tcPr>
          <w:p w14:paraId="3B81E949" w14:textId="77777777" w:rsidR="00CE7ACF" w:rsidRPr="00B52236" w:rsidRDefault="00CE7ACF" w:rsidP="00037E2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B52236">
              <w:rPr>
                <w:sz w:val="18"/>
                <w:szCs w:val="18"/>
              </w:rPr>
              <w:t>erejná správa</w:t>
            </w:r>
          </w:p>
        </w:tc>
      </w:tr>
    </w:tbl>
    <w:tbl>
      <w:tblPr>
        <w:tblStyle w:val="Mriekatabu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6937"/>
      </w:tblGrid>
      <w:tr w:rsidR="008E0CEC" w:rsidRPr="00F81151" w14:paraId="0D87A143" w14:textId="77777777" w:rsidTr="00037A18">
        <w:trPr>
          <w:trHeight w:val="288"/>
          <w:jc w:val="center"/>
        </w:trPr>
        <w:tc>
          <w:tcPr>
            <w:tcW w:w="1176" w:type="pct"/>
            <w:shd w:val="clear" w:color="auto" w:fill="auto"/>
            <w:vAlign w:val="bottom"/>
          </w:tcPr>
          <w:p w14:paraId="766B21ED" w14:textId="77777777" w:rsidR="008E0CEC" w:rsidRDefault="008E0CEC" w:rsidP="00037A18">
            <w:pPr>
              <w:spacing w:after="0"/>
              <w:rPr>
                <w:color w:val="314364" w:themeColor="text2"/>
                <w:sz w:val="18"/>
                <w:szCs w:val="18"/>
                <w:highlight w:val="yellow"/>
              </w:rPr>
            </w:pPr>
          </w:p>
          <w:p w14:paraId="2813D816" w14:textId="77777777" w:rsidR="00CE7ACF" w:rsidRDefault="00CE7ACF" w:rsidP="00037A18">
            <w:pPr>
              <w:spacing w:after="0"/>
              <w:rPr>
                <w:color w:val="314364" w:themeColor="text2"/>
                <w:sz w:val="18"/>
                <w:szCs w:val="18"/>
                <w:highlight w:val="yellow"/>
              </w:rPr>
            </w:pPr>
          </w:p>
          <w:p w14:paraId="60467A97" w14:textId="77777777" w:rsidR="00CE7ACF" w:rsidRDefault="00CE7ACF" w:rsidP="00037A18">
            <w:pPr>
              <w:spacing w:after="0"/>
              <w:rPr>
                <w:color w:val="314364" w:themeColor="text2"/>
                <w:sz w:val="18"/>
                <w:szCs w:val="18"/>
                <w:highlight w:val="yellow"/>
              </w:rPr>
            </w:pPr>
          </w:p>
          <w:p w14:paraId="1BB47E14" w14:textId="77777777" w:rsidR="00CE7ACF" w:rsidRDefault="00CE7ACF" w:rsidP="00037A18">
            <w:pPr>
              <w:spacing w:after="0"/>
              <w:rPr>
                <w:color w:val="314364" w:themeColor="text2"/>
                <w:sz w:val="18"/>
                <w:szCs w:val="18"/>
                <w:highlight w:val="yellow"/>
              </w:rPr>
            </w:pPr>
          </w:p>
          <w:p w14:paraId="7C9D409C" w14:textId="623EBBB8" w:rsidR="00CE7ACF" w:rsidRPr="00F81151" w:rsidRDefault="00CE7ACF" w:rsidP="00037A18">
            <w:pPr>
              <w:spacing w:after="0"/>
              <w:rPr>
                <w:color w:val="314364" w:themeColor="text2"/>
                <w:sz w:val="18"/>
                <w:szCs w:val="18"/>
                <w:highlight w:val="yellow"/>
              </w:rPr>
            </w:pPr>
          </w:p>
        </w:tc>
        <w:tc>
          <w:tcPr>
            <w:tcW w:w="3824" w:type="pct"/>
            <w:shd w:val="clear" w:color="auto" w:fill="auto"/>
            <w:vAlign w:val="bottom"/>
          </w:tcPr>
          <w:p w14:paraId="37C4A200" w14:textId="7389E776" w:rsidR="008E0CEC" w:rsidRPr="00F81151" w:rsidRDefault="008E0CEC" w:rsidP="00037A1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</w:tr>
      <w:tr w:rsidR="00392952" w:rsidRPr="00FD7EC8" w14:paraId="1FDE9AEF" w14:textId="77777777" w:rsidTr="00037A18">
        <w:trPr>
          <w:trHeight w:val="288"/>
          <w:jc w:val="center"/>
        </w:trPr>
        <w:tc>
          <w:tcPr>
            <w:tcW w:w="1176" w:type="pct"/>
            <w:shd w:val="clear" w:color="auto" w:fill="auto"/>
            <w:vAlign w:val="bottom"/>
          </w:tcPr>
          <w:p w14:paraId="59E743B1" w14:textId="43E88765" w:rsidR="00392952" w:rsidRPr="00F81151" w:rsidRDefault="00392952" w:rsidP="00037A18">
            <w:pPr>
              <w:spacing w:after="0"/>
              <w:rPr>
                <w:color w:val="314364" w:themeColor="text2"/>
                <w:sz w:val="18"/>
                <w:szCs w:val="18"/>
                <w:highlight w:val="yellow"/>
              </w:rPr>
            </w:pPr>
          </w:p>
        </w:tc>
        <w:tc>
          <w:tcPr>
            <w:tcW w:w="3824" w:type="pct"/>
            <w:shd w:val="clear" w:color="auto" w:fill="auto"/>
            <w:vAlign w:val="bottom"/>
          </w:tcPr>
          <w:p w14:paraId="181CB1D3" w14:textId="5F40617B" w:rsidR="00392952" w:rsidRPr="00FD7EC8" w:rsidRDefault="00392952" w:rsidP="00037A18">
            <w:pPr>
              <w:spacing w:after="0"/>
              <w:rPr>
                <w:sz w:val="18"/>
                <w:szCs w:val="18"/>
              </w:rPr>
            </w:pPr>
          </w:p>
        </w:tc>
      </w:tr>
      <w:tr w:rsidR="00392952" w:rsidRPr="00FD7EC8" w14:paraId="5D5993E3" w14:textId="77777777" w:rsidTr="00037A18">
        <w:trPr>
          <w:trHeight w:val="288"/>
          <w:jc w:val="center"/>
        </w:trPr>
        <w:tc>
          <w:tcPr>
            <w:tcW w:w="1176" w:type="pct"/>
            <w:shd w:val="clear" w:color="auto" w:fill="auto"/>
            <w:vAlign w:val="bottom"/>
          </w:tcPr>
          <w:p w14:paraId="39EA8DE7" w14:textId="77777777" w:rsidR="00392952" w:rsidRDefault="00392952" w:rsidP="00037A18">
            <w:pPr>
              <w:spacing w:after="0"/>
              <w:rPr>
                <w:color w:val="314364" w:themeColor="text2"/>
                <w:sz w:val="18"/>
                <w:szCs w:val="18"/>
              </w:rPr>
            </w:pPr>
          </w:p>
        </w:tc>
        <w:tc>
          <w:tcPr>
            <w:tcW w:w="3824" w:type="pct"/>
            <w:shd w:val="clear" w:color="auto" w:fill="auto"/>
            <w:vAlign w:val="bottom"/>
          </w:tcPr>
          <w:p w14:paraId="7652B0E7" w14:textId="77777777" w:rsidR="00392952" w:rsidRPr="00FD7EC8" w:rsidRDefault="00392952" w:rsidP="00037A18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03AADF1D" w14:textId="57A17268" w:rsidR="001609D9" w:rsidRDefault="001609D9" w:rsidP="00277C8B">
      <w:pPr>
        <w:pStyle w:val="vodZverZhrnutie"/>
      </w:pPr>
      <w:bookmarkStart w:id="1" w:name="_Toc86396371"/>
      <w:bookmarkStart w:id="2" w:name="_Toc149040432"/>
      <w:r>
        <w:lastRenderedPageBreak/>
        <w:t>Zhrnutie</w:t>
      </w:r>
      <w:bookmarkEnd w:id="1"/>
      <w:bookmarkEnd w:id="2"/>
    </w:p>
    <w:p w14:paraId="20A6C54B" w14:textId="0E7A2B11" w:rsidR="00532F40" w:rsidRDefault="00865D0E" w:rsidP="00714AE1">
      <w:pPr>
        <w:pStyle w:val="Textpoznmkypodiarou"/>
        <w:spacing w:after="120" w:line="276" w:lineRule="auto"/>
        <w:rPr>
          <w:sz w:val="20"/>
        </w:rPr>
      </w:pPr>
      <w:r>
        <w:rPr>
          <w:sz w:val="20"/>
        </w:rPr>
        <w:t xml:space="preserve">Návrh </w:t>
      </w:r>
      <w:r w:rsidR="001D0581">
        <w:rPr>
          <w:sz w:val="20"/>
        </w:rPr>
        <w:t>ŠR</w:t>
      </w:r>
      <w:r>
        <w:rPr>
          <w:sz w:val="20"/>
        </w:rPr>
        <w:t xml:space="preserve"> na rok 2024 bol zostavený v súlade so zákonom o rozpočtových pravidlách </w:t>
      </w:r>
      <w:r w:rsidR="001D0581">
        <w:rPr>
          <w:sz w:val="20"/>
        </w:rPr>
        <w:t>VS</w:t>
      </w:r>
      <w:r w:rsidR="0078469F">
        <w:rPr>
          <w:sz w:val="20"/>
        </w:rPr>
        <w:t xml:space="preserve">. Predložený návrh je aj </w:t>
      </w:r>
      <w:r>
        <w:rPr>
          <w:sz w:val="20"/>
        </w:rPr>
        <w:t>v súlade s ústavným zákonom o rozpočtovej zodpovednosti</w:t>
      </w:r>
      <w:r w:rsidR="0078469F">
        <w:rPr>
          <w:sz w:val="20"/>
        </w:rPr>
        <w:t xml:space="preserve">, z ktorého vyplynula </w:t>
      </w:r>
      <w:r w:rsidR="00AE105C">
        <w:rPr>
          <w:sz w:val="20"/>
        </w:rPr>
        <w:t>povinnosť vlády SR</w:t>
      </w:r>
      <w:r>
        <w:rPr>
          <w:sz w:val="20"/>
        </w:rPr>
        <w:t xml:space="preserve"> zostaviť vyrovnaný rozpočet</w:t>
      </w:r>
      <w:r w:rsidR="00E27B25">
        <w:rPr>
          <w:sz w:val="20"/>
        </w:rPr>
        <w:t xml:space="preserve"> </w:t>
      </w:r>
      <w:r w:rsidR="003D32FF">
        <w:rPr>
          <w:sz w:val="20"/>
        </w:rPr>
        <w:t>VS</w:t>
      </w:r>
      <w:r>
        <w:rPr>
          <w:sz w:val="20"/>
        </w:rPr>
        <w:t>,</w:t>
      </w:r>
      <w:r w:rsidR="005051D4" w:rsidRPr="005051D4">
        <w:t xml:space="preserve"> </w:t>
      </w:r>
      <w:r w:rsidR="005051D4">
        <w:rPr>
          <w:sz w:val="20"/>
        </w:rPr>
        <w:t>čím je formálne naplnená</w:t>
      </w:r>
      <w:r w:rsidR="005051D4" w:rsidRPr="005051D4">
        <w:rPr>
          <w:sz w:val="20"/>
        </w:rPr>
        <w:t xml:space="preserve"> požiadavk</w:t>
      </w:r>
      <w:r w:rsidR="005051D4">
        <w:rPr>
          <w:sz w:val="20"/>
        </w:rPr>
        <w:t>a</w:t>
      </w:r>
      <w:r w:rsidR="005051D4" w:rsidRPr="005051D4">
        <w:rPr>
          <w:sz w:val="20"/>
        </w:rPr>
        <w:t xml:space="preserve"> aktuálne platnej dlhovej brzdy</w:t>
      </w:r>
      <w:r w:rsidR="005051D4">
        <w:rPr>
          <w:sz w:val="20"/>
        </w:rPr>
        <w:t>.</w:t>
      </w:r>
    </w:p>
    <w:p w14:paraId="2C2F08A2" w14:textId="2726CBE9" w:rsidR="005051D4" w:rsidRPr="007D18C8" w:rsidRDefault="005051D4" w:rsidP="00714AE1">
      <w:pPr>
        <w:pStyle w:val="Textpoznmkypodiarou"/>
        <w:spacing w:after="120" w:line="276" w:lineRule="auto"/>
        <w:rPr>
          <w:sz w:val="20"/>
        </w:rPr>
      </w:pPr>
      <w:r w:rsidRPr="007D18C8">
        <w:rPr>
          <w:sz w:val="20"/>
        </w:rPr>
        <w:t>Ak by bol predložený rozpočet schválený, viedol by v roku 2024 k silnej recesii.</w:t>
      </w:r>
      <w:r w:rsidR="003E24BE" w:rsidRPr="007D18C8">
        <w:rPr>
          <w:sz w:val="20"/>
        </w:rPr>
        <w:t xml:space="preserve"> Hospodárenie RVS v roku 2023 očakáva </w:t>
      </w:r>
      <w:r w:rsidR="007D18C8">
        <w:rPr>
          <w:sz w:val="20"/>
        </w:rPr>
        <w:t xml:space="preserve">MF SR </w:t>
      </w:r>
      <w:r w:rsidR="003E24BE" w:rsidRPr="007D18C8">
        <w:rPr>
          <w:sz w:val="20"/>
        </w:rPr>
        <w:t>na úrovni -6,2 % HDP</w:t>
      </w:r>
      <w:r w:rsidR="00857EDE" w:rsidRPr="007D18C8">
        <w:rPr>
          <w:sz w:val="20"/>
        </w:rPr>
        <w:t>, čo by sa premietlo do poklesu zamestnanosti o 5,4 % a miera nezamestnanosti by vzrástla na najvyššiu úroveň od roku 2016, a to 9,3 %. V</w:t>
      </w:r>
      <w:r w:rsidR="003E24BE" w:rsidRPr="007D18C8">
        <w:rPr>
          <w:sz w:val="20"/>
        </w:rPr>
        <w:t>yrovnaný rozpočet by priniesol výraznú reštrik</w:t>
      </w:r>
      <w:r w:rsidR="00BC39F9" w:rsidRPr="007D18C8">
        <w:rPr>
          <w:sz w:val="20"/>
        </w:rPr>
        <w:t>tívnu</w:t>
      </w:r>
      <w:r w:rsidR="003E24BE" w:rsidRPr="007D18C8">
        <w:rPr>
          <w:sz w:val="20"/>
        </w:rPr>
        <w:t xml:space="preserve"> fiškálnu politiku.</w:t>
      </w:r>
      <w:r w:rsidR="00BC39F9" w:rsidRPr="007D18C8">
        <w:rPr>
          <w:sz w:val="20"/>
        </w:rPr>
        <w:t xml:space="preserve"> Kapitálové výdavky by poklesli oproti očakávanej skutočnosti roku 2023 o 73 %</w:t>
      </w:r>
      <w:r w:rsidR="007A031A" w:rsidRPr="007D18C8">
        <w:rPr>
          <w:sz w:val="20"/>
        </w:rPr>
        <w:t xml:space="preserve"> </w:t>
      </w:r>
      <w:r w:rsidR="00935F78" w:rsidRPr="007D18C8">
        <w:rPr>
          <w:sz w:val="20"/>
        </w:rPr>
        <w:t xml:space="preserve">a </w:t>
      </w:r>
      <w:r w:rsidR="00D20A30" w:rsidRPr="007D18C8">
        <w:rPr>
          <w:sz w:val="20"/>
        </w:rPr>
        <w:t xml:space="preserve">dlh VS v roku 2024 </w:t>
      </w:r>
      <w:r w:rsidR="00935F78" w:rsidRPr="007D18C8">
        <w:rPr>
          <w:sz w:val="20"/>
        </w:rPr>
        <w:t xml:space="preserve">by </w:t>
      </w:r>
      <w:r w:rsidR="00D20A30" w:rsidRPr="007D18C8">
        <w:rPr>
          <w:sz w:val="20"/>
        </w:rPr>
        <w:t>mal byť na úrovni 5</w:t>
      </w:r>
      <w:r w:rsidR="003C0B57" w:rsidRPr="007D18C8">
        <w:rPr>
          <w:sz w:val="20"/>
        </w:rPr>
        <w:t>9</w:t>
      </w:r>
      <w:r w:rsidR="00D20A30" w:rsidRPr="007D18C8">
        <w:rPr>
          <w:sz w:val="20"/>
        </w:rPr>
        <w:t>,</w:t>
      </w:r>
      <w:r w:rsidR="003C0B57" w:rsidRPr="007D18C8">
        <w:rPr>
          <w:sz w:val="20"/>
        </w:rPr>
        <w:t>7</w:t>
      </w:r>
      <w:r w:rsidR="00D20A30" w:rsidRPr="007D18C8">
        <w:rPr>
          <w:sz w:val="20"/>
        </w:rPr>
        <w:t xml:space="preserve"> % HDP.</w:t>
      </w:r>
    </w:p>
    <w:p w14:paraId="348F1C42" w14:textId="57D5BA7B" w:rsidR="002A46C1" w:rsidRDefault="002A46C1" w:rsidP="00714AE1">
      <w:pPr>
        <w:pStyle w:val="Textpoznmkypodiarou"/>
        <w:spacing w:after="120" w:line="276" w:lineRule="auto"/>
        <w:rPr>
          <w:sz w:val="20"/>
        </w:rPr>
      </w:pPr>
      <w:r w:rsidRPr="00D20A30">
        <w:rPr>
          <w:sz w:val="20"/>
        </w:rPr>
        <w:t>Udržateľné verejn</w:t>
      </w:r>
      <w:r w:rsidR="00600AD2">
        <w:rPr>
          <w:sz w:val="20"/>
        </w:rPr>
        <w:t>é</w:t>
      </w:r>
      <w:r w:rsidRPr="00D20A30">
        <w:rPr>
          <w:sz w:val="20"/>
        </w:rPr>
        <w:t xml:space="preserve"> financie sú z dlhodobého hľadiska pre </w:t>
      </w:r>
      <w:r w:rsidR="001D0581">
        <w:rPr>
          <w:sz w:val="20"/>
        </w:rPr>
        <w:t>SR</w:t>
      </w:r>
      <w:r w:rsidRPr="00D20A30">
        <w:rPr>
          <w:sz w:val="20"/>
        </w:rPr>
        <w:t xml:space="preserve"> veľkou výzvou.</w:t>
      </w:r>
      <w:r w:rsidR="00B8575F" w:rsidRPr="00D20A30">
        <w:rPr>
          <w:sz w:val="20"/>
        </w:rPr>
        <w:t xml:space="preserve"> Jedným z nástrojov na zabezpečenie dlhodobej udržateľnosti verejných financií je aj limit verejných výdavkov.</w:t>
      </w:r>
      <w:r w:rsidR="00D20A30" w:rsidRPr="00D20A30">
        <w:rPr>
          <w:sz w:val="20"/>
        </w:rPr>
        <w:t xml:space="preserve"> </w:t>
      </w:r>
      <w:r w:rsidR="00D20A30">
        <w:rPr>
          <w:sz w:val="20"/>
        </w:rPr>
        <w:t>Pred</w:t>
      </w:r>
      <w:r w:rsidR="00D20A30" w:rsidRPr="00D20A30">
        <w:rPr>
          <w:sz w:val="20"/>
        </w:rPr>
        <w:t>l</w:t>
      </w:r>
      <w:r w:rsidR="00D20A30">
        <w:rPr>
          <w:sz w:val="20"/>
        </w:rPr>
        <w:t>ožený</w:t>
      </w:r>
      <w:r w:rsidR="00D20A30" w:rsidRPr="00D20A30">
        <w:rPr>
          <w:sz w:val="20"/>
        </w:rPr>
        <w:t xml:space="preserve"> návrh RVS na roky 2024 – 2026 je v súlade so schváleným </w:t>
      </w:r>
      <w:r w:rsidR="00D20A30">
        <w:rPr>
          <w:sz w:val="20"/>
        </w:rPr>
        <w:t>limitom verejných výdavkov</w:t>
      </w:r>
      <w:r w:rsidR="00D20A30" w:rsidRPr="00D20A30">
        <w:rPr>
          <w:sz w:val="20"/>
        </w:rPr>
        <w:t xml:space="preserve"> a aj s jeho neschválenou aktualizáciou. NKÚ SR konštatuje, že aktualizovaný limit verejných výdavkov obsahujúci sankciu z dlhovej brzdy v podobe vyrovnaného rozpočtu nebol schválený vo výbor</w:t>
      </w:r>
      <w:r w:rsidR="001D0581">
        <w:rPr>
          <w:sz w:val="20"/>
        </w:rPr>
        <w:t>e NR SR pre financie a rozpočet</w:t>
      </w:r>
      <w:r w:rsidR="00D20A30" w:rsidRPr="00D20A30">
        <w:rPr>
          <w:sz w:val="20"/>
        </w:rPr>
        <w:t>.</w:t>
      </w:r>
    </w:p>
    <w:p w14:paraId="6CB1526E" w14:textId="4708FB14" w:rsidR="00F102F5" w:rsidRPr="00D20A30" w:rsidRDefault="007A031A" w:rsidP="00714AE1">
      <w:pPr>
        <w:pStyle w:val="Textpoznmkypodiarou"/>
        <w:spacing w:after="120" w:line="276" w:lineRule="auto"/>
        <w:rPr>
          <w:sz w:val="20"/>
        </w:rPr>
      </w:pPr>
      <w:r>
        <w:rPr>
          <w:sz w:val="20"/>
        </w:rPr>
        <w:t>NKÚ SR u</w:t>
      </w:r>
      <w:r w:rsidR="006C2234">
        <w:rPr>
          <w:sz w:val="20"/>
        </w:rPr>
        <w:t>pozorňuje</w:t>
      </w:r>
      <w:r w:rsidR="001D0581">
        <w:rPr>
          <w:sz w:val="20"/>
        </w:rPr>
        <w:t xml:space="preserve">, že </w:t>
      </w:r>
      <w:r w:rsidR="006C2234">
        <w:rPr>
          <w:sz w:val="20"/>
        </w:rPr>
        <w:t>predložen</w:t>
      </w:r>
      <w:r w:rsidR="001D0581">
        <w:rPr>
          <w:sz w:val="20"/>
        </w:rPr>
        <w:t>ý</w:t>
      </w:r>
      <w:r w:rsidR="006C2234">
        <w:rPr>
          <w:sz w:val="20"/>
        </w:rPr>
        <w:t xml:space="preserve"> návrh</w:t>
      </w:r>
      <w:r w:rsidR="001D0581">
        <w:rPr>
          <w:sz w:val="20"/>
        </w:rPr>
        <w:t xml:space="preserve"> ŠR nebol predmetom širšej spoločenskej diskusie a nebola posúdená ani reálnosť dopadu takéhoto návrhu</w:t>
      </w:r>
      <w:r w:rsidR="006C2234">
        <w:rPr>
          <w:sz w:val="20"/>
        </w:rPr>
        <w:t xml:space="preserve">. </w:t>
      </w:r>
      <w:r w:rsidR="00AC2555">
        <w:rPr>
          <w:sz w:val="20"/>
        </w:rPr>
        <w:t xml:space="preserve">Ku kľúčovým záväzným ukazovateľom neprebehla </w:t>
      </w:r>
      <w:r w:rsidR="0098517E" w:rsidRPr="007D18C8">
        <w:rPr>
          <w:sz w:val="20"/>
        </w:rPr>
        <w:t>dostatočná</w:t>
      </w:r>
      <w:r w:rsidR="0098517E" w:rsidRPr="00AE14BC">
        <w:rPr>
          <w:sz w:val="20"/>
        </w:rPr>
        <w:t xml:space="preserve"> </w:t>
      </w:r>
      <w:r w:rsidR="00AC2555" w:rsidRPr="00AE14BC">
        <w:rPr>
          <w:sz w:val="20"/>
        </w:rPr>
        <w:t>diskusia</w:t>
      </w:r>
      <w:r w:rsidR="00AC2555">
        <w:rPr>
          <w:sz w:val="20"/>
        </w:rPr>
        <w:t xml:space="preserve"> ani na úrovni vlády ani na úrovni kapitol. </w:t>
      </w:r>
      <w:r w:rsidR="006C2234">
        <w:rPr>
          <w:sz w:val="20"/>
        </w:rPr>
        <w:t>Prijatie takéhoto návrhu rozpočtu by znamenalo ohrozenie fungovania štátu</w:t>
      </w:r>
      <w:r>
        <w:rPr>
          <w:sz w:val="20"/>
        </w:rPr>
        <w:t xml:space="preserve">, čo potvrdzuje aj </w:t>
      </w:r>
      <w:r w:rsidR="006C2234" w:rsidRPr="006C2234">
        <w:rPr>
          <w:sz w:val="20"/>
        </w:rPr>
        <w:t>výšk</w:t>
      </w:r>
      <w:r>
        <w:rPr>
          <w:sz w:val="20"/>
        </w:rPr>
        <w:t>a</w:t>
      </w:r>
      <w:r w:rsidR="006C2234" w:rsidRPr="006C2234">
        <w:rPr>
          <w:sz w:val="20"/>
        </w:rPr>
        <w:t xml:space="preserve"> navrhovaných výdavko</w:t>
      </w:r>
      <w:r w:rsidR="00FB63E6">
        <w:rPr>
          <w:sz w:val="20"/>
        </w:rPr>
        <w:t>v</w:t>
      </w:r>
      <w:r w:rsidR="006C2234" w:rsidRPr="006C2234">
        <w:rPr>
          <w:sz w:val="20"/>
        </w:rPr>
        <w:t xml:space="preserve"> v jednotlivých oblastiach verejných politík, s výnimkou sociálneho zabezpečeni</w:t>
      </w:r>
      <w:r>
        <w:rPr>
          <w:sz w:val="20"/>
        </w:rPr>
        <w:t>a</w:t>
      </w:r>
      <w:r w:rsidR="006C2234" w:rsidRPr="006C2234">
        <w:rPr>
          <w:sz w:val="20"/>
        </w:rPr>
        <w:t>.</w:t>
      </w:r>
      <w:r w:rsidR="009F7DAC">
        <w:rPr>
          <w:sz w:val="20"/>
        </w:rPr>
        <w:t xml:space="preserve"> Zníženie výdavkov</w:t>
      </w:r>
      <w:r w:rsidR="00FB63E6">
        <w:rPr>
          <w:sz w:val="20"/>
        </w:rPr>
        <w:t xml:space="preserve"> by</w:t>
      </w:r>
      <w:r w:rsidR="009F7DAC">
        <w:rPr>
          <w:sz w:val="20"/>
        </w:rPr>
        <w:t xml:space="preserve"> sa dotklo najmä počtu zamestnancov, ktorí by chýbali pri zabezpečovaní fungovania štátu.</w:t>
      </w:r>
    </w:p>
    <w:p w14:paraId="2CE0D4E7" w14:textId="0461DED9" w:rsidR="00B8575F" w:rsidRDefault="00B8575F" w:rsidP="00B8575F">
      <w:pPr>
        <w:pStyle w:val="Textpoznmkypodiarou"/>
        <w:spacing w:after="120" w:line="276" w:lineRule="auto"/>
        <w:rPr>
          <w:sz w:val="20"/>
        </w:rPr>
      </w:pPr>
      <w:r>
        <w:rPr>
          <w:sz w:val="20"/>
        </w:rPr>
        <w:t xml:space="preserve">V prípade zostavenia novej vlády, ktorá získa dôveru v NR SR, </w:t>
      </w:r>
      <w:r w:rsidRPr="00EB4071">
        <w:rPr>
          <w:sz w:val="20"/>
        </w:rPr>
        <w:t>začne znova platiť dvojročná výnimka z</w:t>
      </w:r>
      <w:r w:rsidR="00816F82">
        <w:rPr>
          <w:sz w:val="20"/>
        </w:rPr>
        <w:t> </w:t>
      </w:r>
      <w:r w:rsidRPr="00EB4071">
        <w:rPr>
          <w:sz w:val="20"/>
        </w:rPr>
        <w:t xml:space="preserve">dlhovej brzdy. Nová vláda si tak bude môcť nastaviť vlastné rozpočtové ciele, </w:t>
      </w:r>
      <w:r>
        <w:rPr>
          <w:sz w:val="20"/>
        </w:rPr>
        <w:t xml:space="preserve">ktoré </w:t>
      </w:r>
      <w:r w:rsidR="004C2056">
        <w:rPr>
          <w:sz w:val="20"/>
        </w:rPr>
        <w:t>by mal</w:t>
      </w:r>
      <w:r>
        <w:rPr>
          <w:sz w:val="20"/>
        </w:rPr>
        <w:t xml:space="preserve"> návrh rozpočtu</w:t>
      </w:r>
      <w:r w:rsidR="004C2056">
        <w:rPr>
          <w:sz w:val="20"/>
        </w:rPr>
        <w:t xml:space="preserve"> reflektovať</w:t>
      </w:r>
      <w:r w:rsidRPr="00EB4071">
        <w:rPr>
          <w:sz w:val="20"/>
        </w:rPr>
        <w:t>.</w:t>
      </w:r>
      <w:r w:rsidR="00435210">
        <w:rPr>
          <w:sz w:val="20"/>
        </w:rPr>
        <w:t xml:space="preserve"> V tejto súvislosti bude môcť </w:t>
      </w:r>
      <w:r w:rsidR="004C2056">
        <w:rPr>
          <w:sz w:val="20"/>
        </w:rPr>
        <w:t xml:space="preserve">nová vláda využiť aj </w:t>
      </w:r>
      <w:r w:rsidR="00435210">
        <w:rPr>
          <w:sz w:val="20"/>
        </w:rPr>
        <w:t>veľký objem prostriedkov z európskych štrukturálnych a investičných fondov, ako aj z plánu obnovy a odolnosti.</w:t>
      </w:r>
    </w:p>
    <w:p w14:paraId="3D4EE8CF" w14:textId="1865661A" w:rsidR="00924A72" w:rsidRDefault="00924A72" w:rsidP="00924A72">
      <w:pPr>
        <w:pStyle w:val="Nadpis3"/>
        <w:numPr>
          <w:ilvl w:val="0"/>
          <w:numId w:val="0"/>
        </w:numPr>
        <w:spacing w:before="120" w:after="120"/>
        <w:rPr>
          <w:rFonts w:cs="Segoe UI"/>
          <w:b/>
          <w:color w:val="314364" w:themeColor="text2"/>
          <w:sz w:val="32"/>
          <w:szCs w:val="28"/>
        </w:rPr>
      </w:pPr>
      <w:bookmarkStart w:id="3" w:name="_Toc149040433"/>
      <w:r w:rsidRPr="00693515">
        <w:rPr>
          <w:rFonts w:cs="Segoe UI"/>
          <w:b/>
          <w:color w:val="314364" w:themeColor="text2"/>
          <w:sz w:val="32"/>
          <w:szCs w:val="28"/>
        </w:rPr>
        <w:t>Odporúčani</w:t>
      </w:r>
      <w:r w:rsidR="00B60600">
        <w:rPr>
          <w:rFonts w:cs="Segoe UI"/>
          <w:b/>
          <w:color w:val="314364" w:themeColor="text2"/>
          <w:sz w:val="32"/>
          <w:szCs w:val="28"/>
        </w:rPr>
        <w:t>e</w:t>
      </w:r>
      <w:bookmarkEnd w:id="3"/>
    </w:p>
    <w:p w14:paraId="2B2BF202" w14:textId="50E7758D" w:rsidR="00A46532" w:rsidRPr="007D18C8" w:rsidRDefault="00C277BC" w:rsidP="00924A72">
      <w:pPr>
        <w:rPr>
          <w:b/>
        </w:rPr>
      </w:pPr>
      <w:r w:rsidRPr="007D18C8">
        <w:rPr>
          <w:b/>
        </w:rPr>
        <w:t xml:space="preserve">V súčasnosti predstavuje vyrovnaný rozpočet VS neprijateľnú možnosť pre SR, keďže hospodárenie podľa neho by znamenalo ohrozenie fungovania štátu a preto </w:t>
      </w:r>
      <w:r w:rsidR="00935F78" w:rsidRPr="007D18C8">
        <w:rPr>
          <w:b/>
        </w:rPr>
        <w:t>N</w:t>
      </w:r>
      <w:r w:rsidR="007D18C8">
        <w:rPr>
          <w:b/>
        </w:rPr>
        <w:t>K</w:t>
      </w:r>
      <w:r w:rsidR="00935F78" w:rsidRPr="007D18C8">
        <w:rPr>
          <w:b/>
        </w:rPr>
        <w:t xml:space="preserve">Ú SR </w:t>
      </w:r>
      <w:r w:rsidRPr="007D18C8">
        <w:rPr>
          <w:b/>
        </w:rPr>
        <w:t>odporúča tento návrh rozpočtu stiahnuť.</w:t>
      </w:r>
    </w:p>
    <w:p w14:paraId="02F76A12" w14:textId="5A339C7E" w:rsidR="00532F40" w:rsidRDefault="0078469F" w:rsidP="00857EDE">
      <w:pPr>
        <w:rPr>
          <w:szCs w:val="20"/>
        </w:rPr>
      </w:pPr>
      <w:r>
        <w:t xml:space="preserve">V prípade </w:t>
      </w:r>
      <w:r w:rsidR="008D4E5A">
        <w:t>zostavovan</w:t>
      </w:r>
      <w:r>
        <w:t>ia</w:t>
      </w:r>
      <w:r w:rsidR="008D4E5A">
        <w:t xml:space="preserve"> </w:t>
      </w:r>
      <w:r>
        <w:t>ďalšieho</w:t>
      </w:r>
      <w:r w:rsidR="008D4E5A">
        <w:t xml:space="preserve"> návrhu rozpočtu </w:t>
      </w:r>
      <w:r>
        <w:t xml:space="preserve">na rok 2024 </w:t>
      </w:r>
      <w:r w:rsidR="006D02DE">
        <w:t xml:space="preserve">odporúča </w:t>
      </w:r>
      <w:r>
        <w:t>NKÚ SR</w:t>
      </w:r>
      <w:r w:rsidR="008D4E5A">
        <w:t xml:space="preserve"> </w:t>
      </w:r>
      <w:r w:rsidR="000B638D">
        <w:t xml:space="preserve">konsolidáciu </w:t>
      </w:r>
      <w:r w:rsidR="000B638D" w:rsidRPr="000B638D">
        <w:t>nielen na strane príjmov</w:t>
      </w:r>
      <w:r w:rsidR="000B638D">
        <w:t>,</w:t>
      </w:r>
      <w:r w:rsidR="000B638D" w:rsidRPr="000B638D">
        <w:t xml:space="preserve"> ale predovšetkým na strane výdavkov.</w:t>
      </w:r>
      <w:r w:rsidR="008D4E5A">
        <w:t xml:space="preserve"> </w:t>
      </w:r>
      <w:r w:rsidR="00DF5D4E">
        <w:t>N</w:t>
      </w:r>
      <w:r w:rsidR="00DF5D4E">
        <w:t xml:space="preserve">a základe výsledkov kontrolnej činnosti spracoval </w:t>
      </w:r>
      <w:r w:rsidR="00DF5D4E">
        <w:t>NKÚ SR o</w:t>
      </w:r>
      <w:r w:rsidR="009C7DA1">
        <w:t>dporúčania pre novú vládu</w:t>
      </w:r>
      <w:bookmarkStart w:id="4" w:name="_GoBack"/>
      <w:bookmarkEnd w:id="4"/>
      <w:r w:rsidR="009C7DA1">
        <w:t>, pričom upozorňuje na významné pretrvávajúce riziká.</w:t>
      </w:r>
      <w:r w:rsidR="009C7DA1">
        <w:rPr>
          <w:rStyle w:val="Odkaznapoznmkupodiarou"/>
        </w:rPr>
        <w:footnoteReference w:id="1"/>
      </w:r>
      <w:r w:rsidR="009C7DA1">
        <w:t xml:space="preserve"> </w:t>
      </w:r>
      <w:r w:rsidR="008D4E5A">
        <w:t xml:space="preserve">Na tento účel možno využiť </w:t>
      </w:r>
      <w:r w:rsidR="006D02DE">
        <w:t xml:space="preserve">aj </w:t>
      </w:r>
      <w:r w:rsidR="008D4E5A" w:rsidRPr="003C0B57">
        <w:t>revízie výdavkov vypracované ÚHP</w:t>
      </w:r>
      <w:r w:rsidR="004923FD">
        <w:t xml:space="preserve">, napríklad </w:t>
      </w:r>
      <w:r w:rsidR="00821822">
        <w:t>revíziu</w:t>
      </w:r>
      <w:r>
        <w:t xml:space="preserve"> výdavkov</w:t>
      </w:r>
      <w:r w:rsidR="004923FD">
        <w:t xml:space="preserve"> zameranú na</w:t>
      </w:r>
      <w:r w:rsidR="00821822">
        <w:t xml:space="preserve"> štruktúr</w:t>
      </w:r>
      <w:r w:rsidR="00F22F8C">
        <w:t>u</w:t>
      </w:r>
      <w:r w:rsidR="00821822">
        <w:t xml:space="preserve"> slovenských verejných výdavkov a dosahovaných výsledkov</w:t>
      </w:r>
      <w:r w:rsidR="00821822">
        <w:rPr>
          <w:rStyle w:val="Odkaznapoznmkupodiarou"/>
        </w:rPr>
        <w:footnoteReference w:id="2"/>
      </w:r>
      <w:r w:rsidR="00821822">
        <w:t>.</w:t>
      </w:r>
      <w:r w:rsidR="005E35D9">
        <w:t xml:space="preserve"> </w:t>
      </w:r>
      <w:r w:rsidR="008F10EE">
        <w:t xml:space="preserve">S návrhom opatrení na ozdravenie verejných financií </w:t>
      </w:r>
      <w:r w:rsidR="00BB3058">
        <w:t xml:space="preserve">na strane príjmov aj výdavkov </w:t>
      </w:r>
      <w:r w:rsidR="008F10EE">
        <w:t>prišl</w:t>
      </w:r>
      <w:r w:rsidR="00A713A5">
        <w:t>o</w:t>
      </w:r>
      <w:r w:rsidR="008F10EE">
        <w:t xml:space="preserve"> aj </w:t>
      </w:r>
      <w:r w:rsidR="00A713A5">
        <w:t>M</w:t>
      </w:r>
      <w:r w:rsidR="008F10EE">
        <w:t>F</w:t>
      </w:r>
      <w:r w:rsidR="00A713A5">
        <w:t xml:space="preserve"> SR</w:t>
      </w:r>
      <w:r w:rsidR="005A0CC1" w:rsidRPr="005A0CC1">
        <w:t xml:space="preserve"> pod vedením </w:t>
      </w:r>
      <w:r w:rsidR="005A0CC1">
        <w:t xml:space="preserve">tzv. </w:t>
      </w:r>
      <w:r w:rsidR="005A0CC1" w:rsidRPr="005A0CC1">
        <w:t>úradníckej vlády</w:t>
      </w:r>
      <w:r w:rsidR="008F10EE">
        <w:rPr>
          <w:rStyle w:val="Odkaznapoznmkupodiarou"/>
        </w:rPr>
        <w:footnoteReference w:id="3"/>
      </w:r>
      <w:r w:rsidR="008F10EE">
        <w:t xml:space="preserve">. </w:t>
      </w:r>
      <w:r w:rsidR="00F22F8C">
        <w:t>Ich m</w:t>
      </w:r>
      <w:r w:rsidR="008F10EE">
        <w:t xml:space="preserve">ateriál obsahuje takmer 100 opatrení, ktoré môžu </w:t>
      </w:r>
      <w:r>
        <w:t>novej</w:t>
      </w:r>
      <w:r w:rsidR="008F10EE">
        <w:t xml:space="preserve"> vláde pomôcť zvrátiť nepriaznivý trend </w:t>
      </w:r>
      <w:r w:rsidR="00F22F8C">
        <w:t xml:space="preserve">vývoja </w:t>
      </w:r>
      <w:r w:rsidR="008F10EE">
        <w:t>verejných financií.</w:t>
      </w:r>
      <w:r w:rsidR="00532F40">
        <w:br w:type="page"/>
      </w:r>
    </w:p>
    <w:p w14:paraId="1C6F03E5" w14:textId="77777777" w:rsidR="00B10EC5" w:rsidRDefault="00092577" w:rsidP="0011737A">
      <w:pPr>
        <w:pStyle w:val="Nadpis1"/>
      </w:pPr>
      <w:bookmarkStart w:id="5" w:name="_Toc86396372"/>
      <w:bookmarkStart w:id="6" w:name="_Toc149040434"/>
      <w:bookmarkStart w:id="7" w:name="_Toc53475707"/>
      <w:bookmarkEnd w:id="0"/>
      <w:r>
        <w:lastRenderedPageBreak/>
        <w:t>Makroekonomick</w:t>
      </w:r>
      <w:r w:rsidR="00F36F51">
        <w:t>é predpoklady rozpočtu</w:t>
      </w:r>
      <w:bookmarkEnd w:id="5"/>
      <w:bookmarkEnd w:id="6"/>
    </w:p>
    <w:p w14:paraId="781CFBA7" w14:textId="36D94044" w:rsidR="00B970E2" w:rsidRDefault="00B80C5D" w:rsidP="00714AE1">
      <w:r w:rsidRPr="00865D0E">
        <w:rPr>
          <w:b/>
        </w:rPr>
        <w:t>S</w:t>
      </w:r>
      <w:r w:rsidR="00D82783" w:rsidRPr="00865D0E">
        <w:rPr>
          <w:b/>
        </w:rPr>
        <w:t xml:space="preserve">lovenská ekonomika sa nachádza štvrtý rok po sebe v mimoriadnych </w:t>
      </w:r>
      <w:r w:rsidR="00B06D48" w:rsidRPr="00865D0E">
        <w:rPr>
          <w:b/>
        </w:rPr>
        <w:t>časoch, keď</w:t>
      </w:r>
      <w:r w:rsidR="00091984" w:rsidRPr="00865D0E">
        <w:rPr>
          <w:b/>
        </w:rPr>
        <w:t xml:space="preserve"> </w:t>
      </w:r>
      <w:r w:rsidR="00B06D48" w:rsidRPr="00865D0E">
        <w:rPr>
          <w:b/>
        </w:rPr>
        <w:t xml:space="preserve">v </w:t>
      </w:r>
      <w:r w:rsidR="00091984" w:rsidRPr="00865D0E">
        <w:rPr>
          <w:b/>
        </w:rPr>
        <w:t xml:space="preserve">dôsledku invázie Ruska </w:t>
      </w:r>
      <w:r w:rsidR="00865D0E" w:rsidRPr="00865D0E">
        <w:rPr>
          <w:b/>
        </w:rPr>
        <w:t>na</w:t>
      </w:r>
      <w:r w:rsidR="00091984" w:rsidRPr="00865D0E">
        <w:rPr>
          <w:b/>
        </w:rPr>
        <w:t xml:space="preserve"> Ukrajin</w:t>
      </w:r>
      <w:r w:rsidR="00865D0E" w:rsidRPr="00865D0E">
        <w:rPr>
          <w:b/>
        </w:rPr>
        <w:t>u</w:t>
      </w:r>
      <w:r w:rsidR="00091984" w:rsidRPr="00865D0E">
        <w:rPr>
          <w:b/>
        </w:rPr>
        <w:t xml:space="preserve"> a vysokej infláci</w:t>
      </w:r>
      <w:r w:rsidR="00865D0E" w:rsidRPr="00865D0E">
        <w:rPr>
          <w:b/>
        </w:rPr>
        <w:t>e</w:t>
      </w:r>
      <w:r w:rsidR="00091984" w:rsidRPr="00865D0E">
        <w:rPr>
          <w:b/>
        </w:rPr>
        <w:t xml:space="preserve"> spomalí </w:t>
      </w:r>
      <w:r w:rsidR="00897EA6">
        <w:rPr>
          <w:b/>
        </w:rPr>
        <w:t xml:space="preserve">rast </w:t>
      </w:r>
      <w:r w:rsidR="00091984" w:rsidRPr="00865D0E">
        <w:rPr>
          <w:b/>
        </w:rPr>
        <w:t>HDP v tomto roku na 1,3 %.</w:t>
      </w:r>
      <w:r w:rsidR="009E7411">
        <w:t xml:space="preserve"> </w:t>
      </w:r>
      <w:r w:rsidR="002C28FB">
        <w:t>Na raste čistého exportu sa po</w:t>
      </w:r>
      <w:r w:rsidR="000336F0">
        <w:t>zitívne podpisujú</w:t>
      </w:r>
      <w:r w:rsidR="00B970E2">
        <w:t xml:space="preserve"> klesajúce ceny energií</w:t>
      </w:r>
      <w:r w:rsidR="002C28FB">
        <w:rPr>
          <w:rStyle w:val="Odkaznapoznmkupodiarou"/>
        </w:rPr>
        <w:footnoteReference w:id="4"/>
      </w:r>
      <w:r w:rsidR="00B970E2">
        <w:t xml:space="preserve"> a</w:t>
      </w:r>
      <w:r w:rsidR="00510257">
        <w:t xml:space="preserve"> aj </w:t>
      </w:r>
      <w:r w:rsidR="00B970E2">
        <w:t xml:space="preserve">nízke dovozy. </w:t>
      </w:r>
      <w:r w:rsidR="006153F7">
        <w:t xml:space="preserve">Pretrvávajúci dopyt po pracovnej sile v tomto roku kompenzujú cudzinci, ktorých počet sa blíži k hranici 100-tisíc. </w:t>
      </w:r>
      <w:r w:rsidR="00B970E2">
        <w:t>Najviac cudzincov prichádza z Ukrajiny, Srbska, Indie a Gruzínska. Výraznejším impulzom k na</w:t>
      </w:r>
      <w:r w:rsidR="00897EA6">
        <w:t>štartovaniu</w:t>
      </w:r>
      <w:r w:rsidR="00B970E2">
        <w:t xml:space="preserve"> ekonomiky by mohlo byť v závere roka končiace programové obdobie fondov EÚ. Z toho najviac ťaží stavebníctvo, ktoré zároveň bojuj</w:t>
      </w:r>
      <w:r w:rsidR="000336F0">
        <w:t>e s nedostatkom pracovnej sily.</w:t>
      </w:r>
    </w:p>
    <w:p w14:paraId="27B9E90C" w14:textId="3ED4B765" w:rsidR="00781A79" w:rsidRDefault="007E0146" w:rsidP="00714AE1">
      <w:r w:rsidRPr="00865D0E">
        <w:rPr>
          <w:b/>
        </w:rPr>
        <w:t xml:space="preserve">Návrh </w:t>
      </w:r>
      <w:r w:rsidR="00F22F8C">
        <w:rPr>
          <w:b/>
        </w:rPr>
        <w:t>RVS</w:t>
      </w:r>
      <w:r w:rsidR="00001C9E" w:rsidRPr="00865D0E">
        <w:rPr>
          <w:b/>
        </w:rPr>
        <w:t xml:space="preserve"> </w:t>
      </w:r>
      <w:r w:rsidRPr="00865D0E">
        <w:rPr>
          <w:b/>
        </w:rPr>
        <w:t>na roky 202</w:t>
      </w:r>
      <w:r w:rsidR="00714AE1" w:rsidRPr="00865D0E">
        <w:rPr>
          <w:b/>
        </w:rPr>
        <w:t>4</w:t>
      </w:r>
      <w:r w:rsidR="00381C1B" w:rsidRPr="00865D0E">
        <w:rPr>
          <w:b/>
        </w:rPr>
        <w:t xml:space="preserve"> až 2026</w:t>
      </w:r>
      <w:r w:rsidR="00781A79" w:rsidRPr="00865D0E">
        <w:rPr>
          <w:b/>
        </w:rPr>
        <w:t xml:space="preserve"> </w:t>
      </w:r>
      <w:r w:rsidR="005D090C" w:rsidRPr="00865D0E">
        <w:rPr>
          <w:b/>
        </w:rPr>
        <w:t>bol predložený vládou formálne napĺňajúc požiadavky aktuálne platnej dlhovej brzdy.</w:t>
      </w:r>
      <w:r w:rsidR="005D090C">
        <w:t xml:space="preserve"> </w:t>
      </w:r>
      <w:r w:rsidR="008C3B43" w:rsidRPr="004903B6">
        <w:t xml:space="preserve">Keďže </w:t>
      </w:r>
      <w:r w:rsidR="004903B6" w:rsidRPr="004903B6">
        <w:t>predchádzajúcej</w:t>
      </w:r>
      <w:r w:rsidR="008C3B43" w:rsidRPr="004903B6">
        <w:t xml:space="preserve"> vláde uplynula v máji 2023 dvojročná výnimka z dlhovej brzdy a dočasne poverená úradnícka vláda</w:t>
      </w:r>
      <w:r w:rsidR="008C3B43">
        <w:t xml:space="preserve"> nezískala </w:t>
      </w:r>
      <w:r w:rsidR="004903B6">
        <w:t xml:space="preserve">v júni 2023 </w:t>
      </w:r>
      <w:r w:rsidR="008C3B43">
        <w:t xml:space="preserve">dôveru parlamentu, musí podľa zákona o rozpočtovej zodpovednosti predložiť na rok 2024 </w:t>
      </w:r>
      <w:r w:rsidR="00EB6588">
        <w:t xml:space="preserve">návrh </w:t>
      </w:r>
      <w:r w:rsidR="008C3B43">
        <w:t>vyrovnan</w:t>
      </w:r>
      <w:r w:rsidR="00EB6588">
        <w:t>ého</w:t>
      </w:r>
      <w:r w:rsidR="008C3B43">
        <w:t xml:space="preserve"> rozpočt</w:t>
      </w:r>
      <w:r w:rsidR="00EB6588">
        <w:t>u</w:t>
      </w:r>
      <w:r w:rsidR="008C3B43">
        <w:t>.</w:t>
      </w:r>
      <w:r w:rsidR="00084168">
        <w:rPr>
          <w:rStyle w:val="Odkaznapoznmkupodiarou"/>
        </w:rPr>
        <w:footnoteReference w:id="5"/>
      </w:r>
      <w:r w:rsidR="008C3B43">
        <w:t xml:space="preserve"> </w:t>
      </w:r>
      <w:r w:rsidR="000336F0">
        <w:t xml:space="preserve">V nadväznosti na to bola makroekonomická prognóza pripravená </w:t>
      </w:r>
      <w:r w:rsidR="00510257">
        <w:t>za účelom zostavenia</w:t>
      </w:r>
      <w:r w:rsidR="000336F0" w:rsidRPr="000336F0">
        <w:t xml:space="preserve"> vyrovnaného rozpočtu</w:t>
      </w:r>
      <w:r w:rsidR="000336F0">
        <w:t>.</w:t>
      </w:r>
    </w:p>
    <w:p w14:paraId="6EB0CA5C" w14:textId="3C280737" w:rsidR="00633464" w:rsidRDefault="00DF07E9" w:rsidP="00714AE1">
      <w:r w:rsidRPr="00865D0E">
        <w:rPr>
          <w:b/>
        </w:rPr>
        <w:t xml:space="preserve">Ak by bol </w:t>
      </w:r>
      <w:r w:rsidR="00442538" w:rsidRPr="00865D0E">
        <w:rPr>
          <w:b/>
        </w:rPr>
        <w:t>predložený</w:t>
      </w:r>
      <w:r w:rsidRPr="00865D0E">
        <w:rPr>
          <w:b/>
        </w:rPr>
        <w:t xml:space="preserve"> rozpočet schválený, viedol by v roku 2024 k silnej recesii.</w:t>
      </w:r>
      <w:r>
        <w:t xml:space="preserve"> </w:t>
      </w:r>
      <w:r w:rsidR="005C21B6" w:rsidRPr="004923FD">
        <w:t>Podľa prognózy MF SR zo septembra 2023 by</w:t>
      </w:r>
      <w:r w:rsidR="005C21B6">
        <w:t xml:space="preserve"> s</w:t>
      </w:r>
      <w:r>
        <w:t xml:space="preserve">lovenská ekonomika </w:t>
      </w:r>
      <w:r w:rsidR="005C21B6">
        <w:t>v prípade vyrovnaného rozpočtu</w:t>
      </w:r>
      <w:r>
        <w:t xml:space="preserve"> poklesla o 6,4 %</w:t>
      </w:r>
      <w:r w:rsidR="00CE2E1E">
        <w:t xml:space="preserve">, zamestnanosť o 5,4 % a miera nezamestnanosti by vzrástla </w:t>
      </w:r>
      <w:r w:rsidR="00DE5690">
        <w:t xml:space="preserve">na </w:t>
      </w:r>
      <w:r w:rsidR="00442538">
        <w:t xml:space="preserve">najvyššiu </w:t>
      </w:r>
      <w:r w:rsidR="00DE5690">
        <w:t>úroveň</w:t>
      </w:r>
      <w:r w:rsidR="00442538">
        <w:t xml:space="preserve"> od roku 2016, a to</w:t>
      </w:r>
      <w:r w:rsidR="00DE5690">
        <w:t xml:space="preserve"> 9,3 %</w:t>
      </w:r>
      <w:r w:rsidR="002F401A">
        <w:t xml:space="preserve"> (graf 1)</w:t>
      </w:r>
      <w:r w:rsidR="00DE5690">
        <w:t xml:space="preserve">. </w:t>
      </w:r>
      <w:r w:rsidR="009175A7">
        <w:t>Vzhľadom na obmedzené právomoci dočasne poverenej vlády bolo nutné dosiahnuť vyrovnaný rozpočet na strane výdavkov</w:t>
      </w:r>
      <w:r w:rsidR="003C661F">
        <w:t xml:space="preserve"> štátu, v dôsledku čoho by došlo v</w:t>
      </w:r>
      <w:r w:rsidR="00433225">
        <w:t> </w:t>
      </w:r>
      <w:r w:rsidR="002F401A">
        <w:t>roku</w:t>
      </w:r>
      <w:r w:rsidR="003C661F">
        <w:t xml:space="preserve"> 2024 k významnému zníženiu </w:t>
      </w:r>
      <w:r w:rsidR="00865D0E">
        <w:t xml:space="preserve">počtu </w:t>
      </w:r>
      <w:r w:rsidR="003C661F">
        <w:t xml:space="preserve">zamestnancov </w:t>
      </w:r>
      <w:r w:rsidR="00865D0E">
        <w:t>VS</w:t>
      </w:r>
      <w:r w:rsidR="003C661F">
        <w:t>, a to o takmer 34,5</w:t>
      </w:r>
      <w:r w:rsidR="00865D0E">
        <w:t xml:space="preserve"> </w:t>
      </w:r>
      <w:r w:rsidR="003C661F">
        <w:t>tisíc osôb.</w:t>
      </w:r>
      <w:r w:rsidR="00273440">
        <w:t xml:space="preserve"> Takýto krok by však mohol viesť k destabilizácii štátu </w:t>
      </w:r>
      <w:r w:rsidR="0017193D">
        <w:t>a</w:t>
      </w:r>
      <w:r w:rsidR="00273440">
        <w:t xml:space="preserve"> k ohrozeniu </w:t>
      </w:r>
      <w:r w:rsidR="00EB6588">
        <w:t xml:space="preserve">fungovania </w:t>
      </w:r>
      <w:r w:rsidR="00273440">
        <w:t xml:space="preserve">kritickej infraštruktúry. </w:t>
      </w:r>
    </w:p>
    <w:p w14:paraId="6FA83FF7" w14:textId="6B1139D3" w:rsidR="00BD6851" w:rsidRPr="00BC3CA3" w:rsidRDefault="00BD6851" w:rsidP="00BD6851">
      <w:pPr>
        <w:pStyle w:val="Popis"/>
        <w:keepNext/>
        <w:rPr>
          <w:color w:val="314364"/>
        </w:rPr>
      </w:pPr>
      <w:r w:rsidRPr="00BC3CA3">
        <w:rPr>
          <w:color w:val="314364"/>
        </w:rPr>
        <w:t>Graf</w:t>
      </w:r>
      <w:r w:rsidR="003356A6">
        <w:rPr>
          <w:color w:val="314364"/>
        </w:rPr>
        <w:t xml:space="preserve"> 1</w:t>
      </w:r>
      <w:r w:rsidRPr="00BC3CA3">
        <w:rPr>
          <w:color w:val="314364"/>
        </w:rPr>
        <w:t>:</w:t>
      </w:r>
      <w:r w:rsidR="00733B01">
        <w:rPr>
          <w:color w:val="314364"/>
        </w:rPr>
        <w:t xml:space="preserve"> </w:t>
      </w:r>
      <w:r w:rsidR="002D54E5">
        <w:rPr>
          <w:color w:val="314364"/>
        </w:rPr>
        <w:t>Porovnanie prognóz vývoja ekonomiky v roku 2024 (medziročná zmena</w:t>
      </w:r>
      <w:r w:rsidR="00865D0E">
        <w:rPr>
          <w:color w:val="314364"/>
        </w:rPr>
        <w:t>, %</w:t>
      </w:r>
      <w:r w:rsidR="002D54E5">
        <w:rPr>
          <w:color w:val="314364"/>
        </w:rPr>
        <w:t>)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BD6851" w:rsidRPr="00C75134" w14:paraId="46EC644D" w14:textId="77777777" w:rsidTr="00274403">
        <w:trPr>
          <w:trHeight w:val="3685"/>
        </w:trPr>
        <w:tc>
          <w:tcPr>
            <w:tcW w:w="9070" w:type="dxa"/>
            <w:tcBorders>
              <w:top w:val="single" w:sz="4" w:space="0" w:color="314364"/>
              <w:bottom w:val="single" w:sz="4" w:space="0" w:color="314364"/>
            </w:tcBorders>
            <w:vAlign w:val="center"/>
          </w:tcPr>
          <w:p w14:paraId="24AAC8F7" w14:textId="72539CCD" w:rsidR="00BD6851" w:rsidRPr="00C75134" w:rsidRDefault="003A48F9" w:rsidP="00DA711B">
            <w:pPr>
              <w:spacing w:after="0"/>
              <w:rPr>
                <w:b/>
                <w:color w:val="576431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CB3517F" wp14:editId="564A33B3">
                  <wp:extent cx="5730240" cy="2316480"/>
                  <wp:effectExtent l="0" t="0" r="3810" b="7620"/>
                  <wp:docPr id="1" name="Graf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3A8B4420" w14:textId="77777777" w:rsidR="004923FD" w:rsidRDefault="00BD6851" w:rsidP="004923FD">
      <w:pPr>
        <w:pStyle w:val="Zdroj"/>
        <w:spacing w:after="0"/>
      </w:pPr>
      <w:r w:rsidRPr="00627D87">
        <w:t xml:space="preserve">Zdroj: </w:t>
      </w:r>
      <w:r w:rsidR="00A605C7" w:rsidRPr="003A48F9">
        <w:t>VpMP</w:t>
      </w:r>
    </w:p>
    <w:p w14:paraId="75D0BD21" w14:textId="4CF026E5" w:rsidR="000E5B51" w:rsidRDefault="004923FD" w:rsidP="004923FD">
      <w:pPr>
        <w:pStyle w:val="Zdroj"/>
        <w:jc w:val="both"/>
      </w:pPr>
      <w:r>
        <w:t xml:space="preserve">Poznámka: Povinnosť vlády predložiť vyrovnaný rozpočet mení zásadne prognózu </w:t>
      </w:r>
      <w:r w:rsidR="000336F0">
        <w:t>na rok</w:t>
      </w:r>
      <w:r>
        <w:t xml:space="preserve"> 2024, pričom júnová prognóza VpMP nerátala s touto povinnosťou. IFP z tohto dôvodu pripravilo v septembri 2023 makroekonomickú prognózu založenú na predpoklade vyrovnaného rozpočtu.</w:t>
      </w:r>
      <w:r w:rsidR="000E5B51">
        <w:br w:type="page"/>
      </w:r>
    </w:p>
    <w:p w14:paraId="59F546D8" w14:textId="7D7F8D62" w:rsidR="00BD3507" w:rsidRDefault="00092577" w:rsidP="00BF2818">
      <w:pPr>
        <w:pStyle w:val="Nadpis1"/>
      </w:pPr>
      <w:bookmarkStart w:id="8" w:name="_Toc86396373"/>
      <w:bookmarkStart w:id="9" w:name="_Toc149040435"/>
      <w:bookmarkEnd w:id="7"/>
      <w:r>
        <w:lastRenderedPageBreak/>
        <w:t>Východiskový rámec návrhu RVS</w:t>
      </w:r>
      <w:bookmarkEnd w:id="8"/>
      <w:bookmarkEnd w:id="9"/>
    </w:p>
    <w:p w14:paraId="512F2E25" w14:textId="5C0733C6" w:rsidR="00235CFE" w:rsidRPr="005665BF" w:rsidRDefault="001B13FF" w:rsidP="00235CFE">
      <w:pPr>
        <w:rPr>
          <w:b/>
        </w:rPr>
      </w:pPr>
      <w:r w:rsidRPr="005665BF">
        <w:rPr>
          <w:b/>
        </w:rPr>
        <w:t>V zmysle platného ústavného zákona</w:t>
      </w:r>
      <w:r w:rsidR="00792AE6" w:rsidRPr="005665BF">
        <w:rPr>
          <w:b/>
        </w:rPr>
        <w:t xml:space="preserve"> o rozpočtovej zodpovednosti</w:t>
      </w:r>
      <w:r w:rsidRPr="005665BF">
        <w:rPr>
          <w:b/>
        </w:rPr>
        <w:t xml:space="preserve"> je</w:t>
      </w:r>
      <w:r w:rsidR="00865D0E" w:rsidRPr="005665BF">
        <w:rPr>
          <w:b/>
        </w:rPr>
        <w:t>,</w:t>
      </w:r>
      <w:r w:rsidRPr="005665BF">
        <w:rPr>
          <w:b/>
        </w:rPr>
        <w:t xml:space="preserve"> vzhľadom na výšku dosiahnutého hrubého dlhu v roku 2022, vláda povinná predložiť na rok 2024 vyrovnaný rozpočet. </w:t>
      </w:r>
    </w:p>
    <w:p w14:paraId="1AEBAD67" w14:textId="45AB23C6" w:rsidR="00691C61" w:rsidRDefault="00691C61" w:rsidP="00435210">
      <w:pPr>
        <w:pStyle w:val="Nadpis2"/>
        <w:ind w:left="998" w:hanging="431"/>
      </w:pPr>
      <w:bookmarkStart w:id="10" w:name="_Toc86396374"/>
      <w:bookmarkStart w:id="11" w:name="_Toc149040436"/>
      <w:r w:rsidRPr="00432AD8">
        <w:t>Fiškálny rámec návrhu RVS</w:t>
      </w:r>
      <w:bookmarkEnd w:id="10"/>
      <w:bookmarkEnd w:id="11"/>
    </w:p>
    <w:p w14:paraId="50FFBD68" w14:textId="18071908" w:rsidR="00235CFE" w:rsidRDefault="00C17B4B" w:rsidP="00235CFE">
      <w:r w:rsidRPr="002A46C1">
        <w:rPr>
          <w:b/>
        </w:rPr>
        <w:t xml:space="preserve">Hospodárenie </w:t>
      </w:r>
      <w:r w:rsidR="00865D0E" w:rsidRPr="002A46C1">
        <w:rPr>
          <w:b/>
        </w:rPr>
        <w:t>RVS</w:t>
      </w:r>
      <w:r w:rsidRPr="002A46C1">
        <w:rPr>
          <w:b/>
        </w:rPr>
        <w:t xml:space="preserve"> v roku 2023 sa očakáva na úrovni -6,2 % HDP, čo je oproti schválenému rozpočtu lepšie o 0,24 p. b. a oproti správe o očakávanej skutočnosti z augusta 2023 lepšie o 0,65</w:t>
      </w:r>
      <w:r w:rsidR="00433225">
        <w:rPr>
          <w:b/>
        </w:rPr>
        <w:t> </w:t>
      </w:r>
      <w:r w:rsidRPr="002A46C1">
        <w:rPr>
          <w:b/>
        </w:rPr>
        <w:t>p. b.</w:t>
      </w:r>
      <w:r>
        <w:t xml:space="preserve"> </w:t>
      </w:r>
      <w:r w:rsidR="00FC1C48">
        <w:t xml:space="preserve">V roku 2024 očakávala vláda podľa Programu stability deficit rozpočtu na úrovni 4,7 % HDP. Avšak od schválenia Programu stability boli vládou či parlamentom prijaté legislatívne zmeny s vplyvom na </w:t>
      </w:r>
      <w:r w:rsidR="002A46C1">
        <w:t>RVS</w:t>
      </w:r>
      <w:r w:rsidR="00FC1C48">
        <w:t>. Na dosiahnutie vyrovnaného rozpočtu je tak potrebné prijať opatrenia vo výške 6,6 % HDP, resp. 8,5 mld. eur už v nasledujúcom roku (graf 2).</w:t>
      </w:r>
    </w:p>
    <w:p w14:paraId="40308D2A" w14:textId="6AB2A71B" w:rsidR="00045218" w:rsidRPr="00BC3CA3" w:rsidRDefault="00045218" w:rsidP="00045218">
      <w:pPr>
        <w:pStyle w:val="Popis"/>
        <w:keepNext/>
        <w:rPr>
          <w:color w:val="314364"/>
        </w:rPr>
      </w:pPr>
      <w:r w:rsidRPr="00BC3CA3">
        <w:rPr>
          <w:color w:val="314364"/>
        </w:rPr>
        <w:t>Graf</w:t>
      </w:r>
      <w:r>
        <w:rPr>
          <w:color w:val="314364"/>
        </w:rPr>
        <w:t xml:space="preserve"> </w:t>
      </w:r>
      <w:r w:rsidR="003356A6">
        <w:rPr>
          <w:color w:val="314364"/>
        </w:rPr>
        <w:t>2</w:t>
      </w:r>
      <w:r w:rsidR="00F075DC">
        <w:rPr>
          <w:color w:val="314364"/>
        </w:rPr>
        <w:t>:</w:t>
      </w:r>
      <w:r w:rsidR="000B261C">
        <w:rPr>
          <w:color w:val="314364"/>
        </w:rPr>
        <w:t xml:space="preserve"> Vývoj schodku verejnej správy v rokoch 2021 až 2026 (v % HDP)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045218" w:rsidRPr="00C75134" w14:paraId="3A223219" w14:textId="77777777" w:rsidTr="00F075DC">
        <w:trPr>
          <w:trHeight w:val="3402"/>
        </w:trPr>
        <w:tc>
          <w:tcPr>
            <w:tcW w:w="9070" w:type="dxa"/>
            <w:tcBorders>
              <w:top w:val="single" w:sz="4" w:space="0" w:color="314364"/>
              <w:bottom w:val="single" w:sz="4" w:space="0" w:color="314364" w:themeColor="text2"/>
            </w:tcBorders>
            <w:vAlign w:val="center"/>
          </w:tcPr>
          <w:p w14:paraId="21A460CC" w14:textId="13C83A1A" w:rsidR="00045218" w:rsidRPr="00C75134" w:rsidRDefault="00F075DC" w:rsidP="003244B5">
            <w:pPr>
              <w:spacing w:after="0"/>
              <w:rPr>
                <w:b/>
                <w:color w:val="576431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369A7A1" wp14:editId="621E2B2E">
                  <wp:extent cx="5759450" cy="2133600"/>
                  <wp:effectExtent l="0" t="0" r="0" b="0"/>
                  <wp:docPr id="5" name="Graf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0C6060D7" w14:textId="49B46E5B" w:rsidR="00953212" w:rsidRDefault="00402AD5" w:rsidP="00E704FC">
      <w:pPr>
        <w:pStyle w:val="Zdroj"/>
      </w:pPr>
      <w:r>
        <w:t>Zdroj: Návrh RVS na roky 2024 až 2026</w:t>
      </w:r>
      <w:r w:rsidR="00045218">
        <w:rPr>
          <w:lang w:val="en-US"/>
        </w:rPr>
        <w:t>;</w:t>
      </w:r>
      <w:r w:rsidR="00045218">
        <w:t xml:space="preserve"> *očakávaná skutočnosť; **prognóza</w:t>
      </w:r>
    </w:p>
    <w:p w14:paraId="69355224" w14:textId="74D66FD2" w:rsidR="003A375E" w:rsidRDefault="00F9774E" w:rsidP="003A375E">
      <w:r w:rsidRPr="00C54CE0">
        <w:rPr>
          <w:b/>
        </w:rPr>
        <w:t>Vyrovnaný rozpočet by priniesol výraznú reštrik</w:t>
      </w:r>
      <w:r w:rsidR="00BC39F9">
        <w:rPr>
          <w:b/>
        </w:rPr>
        <w:t>tívnu</w:t>
      </w:r>
      <w:r w:rsidRPr="00C54CE0">
        <w:rPr>
          <w:b/>
        </w:rPr>
        <w:t xml:space="preserve"> fiškálnu politiku.</w:t>
      </w:r>
      <w:r>
        <w:t xml:space="preserve"> Celkové príjmy a výdavky </w:t>
      </w:r>
      <w:r w:rsidR="002A46C1">
        <w:t>návrhu RVS</w:t>
      </w:r>
      <w:r>
        <w:t xml:space="preserve"> na rok 2024 by boli na úrovni 46,4 mld. eur, čo predstavuje medziročný pokles oproti očakávanej skutočnosti o 6,1 mld. eur </w:t>
      </w:r>
      <w:r w:rsidR="00EB4071">
        <w:t xml:space="preserve">na strane </w:t>
      </w:r>
      <w:r>
        <w:t>príjmo</w:t>
      </w:r>
      <w:r w:rsidR="00EB4071">
        <w:t>v</w:t>
      </w:r>
      <w:r>
        <w:t xml:space="preserve">, resp. o 13,7 mld. eur </w:t>
      </w:r>
      <w:r w:rsidR="00EB4071">
        <w:t>na strane</w:t>
      </w:r>
      <w:r>
        <w:t xml:space="preserve"> výdavko</w:t>
      </w:r>
      <w:r w:rsidR="00EB4071">
        <w:t>v</w:t>
      </w:r>
      <w:r>
        <w:t xml:space="preserve">. </w:t>
      </w:r>
      <w:r w:rsidR="00EC3F72">
        <w:t xml:space="preserve">Z dôvodu spomalenia ekonomickej aktivity a poklesu zamestnanosti vo </w:t>
      </w:r>
      <w:r w:rsidR="002A46C1">
        <w:t>VS</w:t>
      </w:r>
      <w:r w:rsidR="00EC3F72">
        <w:t xml:space="preserve"> by poklesol výber daní a odvodov z práce v roku 2024 o takmer 5,7 mld. eur. Za výrazným prepadom by bol najmä </w:t>
      </w:r>
      <w:r w:rsidR="00EB4071">
        <w:t xml:space="preserve">nízky </w:t>
      </w:r>
      <w:r w:rsidR="002A46C1">
        <w:t xml:space="preserve">výber </w:t>
      </w:r>
      <w:r w:rsidR="00EC3F72">
        <w:t>zdravotn</w:t>
      </w:r>
      <w:r w:rsidR="002A46C1">
        <w:t>ých</w:t>
      </w:r>
      <w:r w:rsidR="00EC3F72">
        <w:t xml:space="preserve"> a sociál</w:t>
      </w:r>
      <w:r w:rsidR="0041054D">
        <w:t>n</w:t>
      </w:r>
      <w:r w:rsidR="002A46C1">
        <w:t>ych</w:t>
      </w:r>
      <w:r w:rsidR="0041054D">
        <w:t xml:space="preserve"> odvod</w:t>
      </w:r>
      <w:r w:rsidR="002A46C1">
        <w:t>ov</w:t>
      </w:r>
      <w:r w:rsidR="0041054D">
        <w:t>, ako aj DP</w:t>
      </w:r>
      <w:r w:rsidR="00EC3F72">
        <w:t xml:space="preserve">FO a DPH. </w:t>
      </w:r>
      <w:r w:rsidR="003A375E">
        <w:t>Nižší výber zdravotných odvodov by mohol spôsobiť problémy</w:t>
      </w:r>
      <w:r w:rsidR="00A212A0">
        <w:t xml:space="preserve"> s </w:t>
      </w:r>
      <w:r w:rsidR="003A375E">
        <w:t>financovan</w:t>
      </w:r>
      <w:r w:rsidR="00A212A0">
        <w:t>ím</w:t>
      </w:r>
      <w:r w:rsidR="003A375E">
        <w:t xml:space="preserve"> zdravotných poisťovní, čo by sa mohlo premietnuť aj do ohrozenia poskytovania základnej zdravotnej starostlivosti.</w:t>
      </w:r>
    </w:p>
    <w:p w14:paraId="2DA613EF" w14:textId="3DA69207" w:rsidR="003C661F" w:rsidRDefault="00F9774E" w:rsidP="003C661F">
      <w:r w:rsidRPr="00C54CE0">
        <w:rPr>
          <w:b/>
        </w:rPr>
        <w:t xml:space="preserve">Kapitálové výdavky by poklesli oproti očakávanej skutočnosti </w:t>
      </w:r>
      <w:r w:rsidR="00BC39F9">
        <w:rPr>
          <w:b/>
        </w:rPr>
        <w:t xml:space="preserve">roku 2023 </w:t>
      </w:r>
      <w:r w:rsidRPr="00C54CE0">
        <w:rPr>
          <w:b/>
        </w:rPr>
        <w:t>o 73 %</w:t>
      </w:r>
      <w:r w:rsidR="0083302A">
        <w:t xml:space="preserve"> (v roku 2024</w:t>
      </w:r>
      <w:r w:rsidR="003D1B82">
        <w:t xml:space="preserve"> by predstavovali</w:t>
      </w:r>
      <w:r w:rsidR="0083302A">
        <w:t xml:space="preserve"> </w:t>
      </w:r>
      <w:r w:rsidR="003D1B82">
        <w:t>len</w:t>
      </w:r>
      <w:r w:rsidR="0083302A">
        <w:t xml:space="preserve"> 2 mld. eur). Vo vyrovnanom rozpočte by išlo o úplnú elimináciu kapitálových výdavkov zo zdroja ŠR. Tvorili by ich najmä prostriedky EÚ, prostriedky Plánu obnovy a odolnosti či Environmentálneho fondu.</w:t>
      </w:r>
    </w:p>
    <w:p w14:paraId="360906BC" w14:textId="6932E7BB" w:rsidR="00B9405C" w:rsidRDefault="00B9405C">
      <w:pPr>
        <w:spacing w:after="160" w:line="259" w:lineRule="auto"/>
        <w:jc w:val="left"/>
      </w:pPr>
      <w:r>
        <w:br w:type="page"/>
      </w:r>
    </w:p>
    <w:p w14:paraId="68864C9F" w14:textId="621522CF" w:rsidR="00D20A30" w:rsidRPr="00D20A30" w:rsidRDefault="00D20A30" w:rsidP="00C0557A">
      <w:pPr>
        <w:pStyle w:val="Nadpis2"/>
        <w:ind w:left="998" w:hanging="431"/>
      </w:pPr>
      <w:bookmarkStart w:id="12" w:name="_Toc86396375"/>
      <w:bookmarkStart w:id="13" w:name="_Toc149040437"/>
      <w:r w:rsidRPr="00D20A30">
        <w:lastRenderedPageBreak/>
        <w:t>Prognóza hrubého dlhu VS</w:t>
      </w:r>
      <w:bookmarkEnd w:id="12"/>
      <w:bookmarkEnd w:id="13"/>
    </w:p>
    <w:p w14:paraId="0336639B" w14:textId="47512582" w:rsidR="00D20A30" w:rsidRDefault="00D20A30" w:rsidP="00D20A30">
      <w:r w:rsidRPr="00C804BE">
        <w:rPr>
          <w:b/>
        </w:rPr>
        <w:t xml:space="preserve">V súčasnosti je uplatnené najprísnejšie sankčné opatrenie dlhovej brzdy, ktoré </w:t>
      </w:r>
      <w:r>
        <w:rPr>
          <w:b/>
        </w:rPr>
        <w:t>platí dovtedy, kým</w:t>
      </w:r>
      <w:r w:rsidRPr="00C804BE">
        <w:rPr>
          <w:b/>
        </w:rPr>
        <w:t xml:space="preserve"> nebude schválené programové vyhlásenie novej vlády.</w:t>
      </w:r>
      <w:r w:rsidRPr="006D691A">
        <w:t xml:space="preserve"> Z tohto dôvodu vláda nemôže predložiť N</w:t>
      </w:r>
      <w:r>
        <w:t>R</w:t>
      </w:r>
      <w:r w:rsidR="00433225">
        <w:t> </w:t>
      </w:r>
      <w:r w:rsidRPr="006D691A">
        <w:t xml:space="preserve">SR návrh </w:t>
      </w:r>
      <w:r>
        <w:t>RVS</w:t>
      </w:r>
      <w:r w:rsidRPr="006D691A">
        <w:t xml:space="preserve"> s rastom konsolidovaných výdavkov. </w:t>
      </w:r>
      <w:r w:rsidR="00AF0D25">
        <w:t>J</w:t>
      </w:r>
      <w:r w:rsidRPr="006D691A">
        <w:t>ednou z výnimiek sú výdavky na sp</w:t>
      </w:r>
      <w:r>
        <w:t>rávu štátneho dlhu.</w:t>
      </w:r>
    </w:p>
    <w:p w14:paraId="552290D9" w14:textId="1DE10005" w:rsidR="00D20A30" w:rsidRDefault="00F22F8C" w:rsidP="00D20A30">
      <w:r>
        <w:rPr>
          <w:b/>
        </w:rPr>
        <w:t>P</w:t>
      </w:r>
      <w:r w:rsidR="00D20A30" w:rsidRPr="00C804BE">
        <w:rPr>
          <w:b/>
        </w:rPr>
        <w:t xml:space="preserve">odľa </w:t>
      </w:r>
      <w:r w:rsidR="00AF0D25">
        <w:rPr>
          <w:b/>
        </w:rPr>
        <w:t>odhadu</w:t>
      </w:r>
      <w:r w:rsidR="00D20A30" w:rsidRPr="00C804BE">
        <w:rPr>
          <w:b/>
        </w:rPr>
        <w:t xml:space="preserve"> MF SR </w:t>
      </w:r>
      <w:r>
        <w:rPr>
          <w:b/>
        </w:rPr>
        <w:t xml:space="preserve">by </w:t>
      </w:r>
      <w:r w:rsidR="00D20A30" w:rsidRPr="003C0B57">
        <w:rPr>
          <w:b/>
        </w:rPr>
        <w:t>dlh VS v roku 2024 mal byť na úrovni 5</w:t>
      </w:r>
      <w:r w:rsidR="003C0B57" w:rsidRPr="003C0B57">
        <w:rPr>
          <w:b/>
        </w:rPr>
        <w:t>9</w:t>
      </w:r>
      <w:r w:rsidR="00D20A30" w:rsidRPr="003C0B57">
        <w:rPr>
          <w:b/>
        </w:rPr>
        <w:t>,</w:t>
      </w:r>
      <w:r w:rsidR="003C0B57" w:rsidRPr="003C0B57">
        <w:rPr>
          <w:b/>
        </w:rPr>
        <w:t>7</w:t>
      </w:r>
      <w:r w:rsidR="00D20A30" w:rsidRPr="003C0B57">
        <w:rPr>
          <w:b/>
        </w:rPr>
        <w:t xml:space="preserve"> % HDP</w:t>
      </w:r>
      <w:r w:rsidR="00D20A30">
        <w:t xml:space="preserve"> </w:t>
      </w:r>
      <w:r w:rsidR="00D20A30" w:rsidRPr="00BF1620">
        <w:t>(graf 3).</w:t>
      </w:r>
      <w:r w:rsidR="00D20A30" w:rsidRPr="006D691A">
        <w:t xml:space="preserve"> Klesajúci vývoj dlhu by ovplyvnili najmä vysoká očakávaná inflácia a väčšie využitie likvidných zdrojov, naakumulovaných v posledných dvoch rokoch na úkor nových emisií. </w:t>
      </w:r>
      <w:r w:rsidR="00AF0D25">
        <w:t>P</w:t>
      </w:r>
      <w:r w:rsidR="00D20A30" w:rsidRPr="006D691A">
        <w:t>ri vyrovnanom rozpočte</w:t>
      </w:r>
      <w:r w:rsidR="00D20A30">
        <w:t xml:space="preserve"> by</w:t>
      </w:r>
      <w:r w:rsidR="00D20A30" w:rsidRPr="006D691A">
        <w:t xml:space="preserve"> dlh </w:t>
      </w:r>
      <w:r w:rsidR="00D20A30">
        <w:t>VS</w:t>
      </w:r>
      <w:r w:rsidR="00D20A30" w:rsidRPr="006D691A">
        <w:t xml:space="preserve"> výrazne vzrástol v reakcii na prepad ekonomiky, ktorý by bol zapríčinený výpadkom domáceho dopytu. </w:t>
      </w:r>
      <w:r w:rsidR="00AF0D25">
        <w:t>H</w:t>
      </w:r>
      <w:r w:rsidR="00D20A30" w:rsidRPr="006D691A">
        <w:t>ospodárenie s vyrovnaným rozpočtom by dostalo slovenskú ekonomiku do výrazných ťažkost</w:t>
      </w:r>
      <w:r w:rsidR="00D20A30">
        <w:t>í</w:t>
      </w:r>
      <w:r w:rsidR="00D20A30" w:rsidRPr="006D691A">
        <w:t xml:space="preserve"> aj v súvislosti s fungovaním štátu. Nominálny produkt by sa znížil v takej miere, že podiel na HDP by zvýšil me</w:t>
      </w:r>
      <w:r w:rsidR="00D20A30">
        <w:t xml:space="preserve">dziročne dlh až na úroveň </w:t>
      </w:r>
      <w:r w:rsidR="00433225">
        <w:t xml:space="preserve">takmer </w:t>
      </w:r>
      <w:r w:rsidR="00D20A30">
        <w:t>60 %</w:t>
      </w:r>
      <w:r w:rsidR="00AF0D25">
        <w:t xml:space="preserve"> HDP</w:t>
      </w:r>
      <w:r w:rsidR="00D20A30">
        <w:t>.</w:t>
      </w:r>
    </w:p>
    <w:p w14:paraId="2A1BC8F9" w14:textId="77777777" w:rsidR="00D20A30" w:rsidRPr="00BC3CA3" w:rsidRDefault="00D20A30" w:rsidP="00D20A30">
      <w:pPr>
        <w:pStyle w:val="Popis"/>
        <w:keepNext/>
        <w:rPr>
          <w:color w:val="314364"/>
        </w:rPr>
      </w:pPr>
      <w:r w:rsidRPr="00BC3CA3">
        <w:rPr>
          <w:color w:val="314364"/>
        </w:rPr>
        <w:t>Graf</w:t>
      </w:r>
      <w:r>
        <w:rPr>
          <w:color w:val="314364"/>
        </w:rPr>
        <w:t xml:space="preserve"> 3: </w:t>
      </w:r>
      <w:r w:rsidRPr="00096834">
        <w:rPr>
          <w:color w:val="314364"/>
        </w:rPr>
        <w:t>Vývoj hrubého a čistého dlhu VS v rokoch 2016 až 2026 (v % HDP)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D20A30" w:rsidRPr="00C75134" w14:paraId="3664DD8B" w14:textId="77777777" w:rsidTr="006B1F61">
        <w:trPr>
          <w:trHeight w:val="3402"/>
        </w:trPr>
        <w:tc>
          <w:tcPr>
            <w:tcW w:w="9070" w:type="dxa"/>
            <w:tcBorders>
              <w:top w:val="single" w:sz="4" w:space="0" w:color="314364"/>
              <w:bottom w:val="single" w:sz="4" w:space="0" w:color="314364" w:themeColor="text2"/>
            </w:tcBorders>
            <w:vAlign w:val="center"/>
          </w:tcPr>
          <w:p w14:paraId="06F9C0C4" w14:textId="77777777" w:rsidR="00D20A30" w:rsidRPr="00C75134" w:rsidRDefault="00D20A30" w:rsidP="006B1F61">
            <w:pPr>
              <w:spacing w:after="0"/>
              <w:rPr>
                <w:b/>
                <w:color w:val="576431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63C67A4" wp14:editId="5660B666">
                  <wp:extent cx="5690870" cy="2125980"/>
                  <wp:effectExtent l="0" t="0" r="5080" b="7620"/>
                  <wp:docPr id="2" name="Graf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693FC21" w14:textId="5EE46B13" w:rsidR="00D20A30" w:rsidRDefault="00D20A30" w:rsidP="00D20A30">
      <w:pPr>
        <w:pStyle w:val="Zdroj"/>
      </w:pPr>
      <w:r>
        <w:t>Zdroj: Návrh RVS na roky 2024 až 2026</w:t>
      </w:r>
      <w:r>
        <w:rPr>
          <w:lang w:val="en-US"/>
        </w:rPr>
        <w:t>;</w:t>
      </w:r>
      <w:r>
        <w:t xml:space="preserve"> *očakávaná skutočnosť; **prognóza</w:t>
      </w:r>
    </w:p>
    <w:p w14:paraId="7BEC92DD" w14:textId="77777777" w:rsidR="005665BF" w:rsidRPr="005665BF" w:rsidRDefault="005665BF" w:rsidP="00D20A30">
      <w:pPr>
        <w:pStyle w:val="Zdroj"/>
        <w:rPr>
          <w:i w:val="0"/>
        </w:rPr>
      </w:pPr>
    </w:p>
    <w:p w14:paraId="4738AF2D" w14:textId="77777777" w:rsidR="004472CA" w:rsidRDefault="004472CA" w:rsidP="00D20A30">
      <w:pPr>
        <w:pStyle w:val="Nadpis2"/>
        <w:ind w:left="998" w:hanging="431"/>
      </w:pPr>
      <w:bookmarkStart w:id="14" w:name="_Toc149040438"/>
      <w:r>
        <w:t>Limit verejných výdavkov</w:t>
      </w:r>
      <w:bookmarkEnd w:id="14"/>
    </w:p>
    <w:p w14:paraId="0A8E2613" w14:textId="0722BA1B" w:rsidR="006E077F" w:rsidRDefault="006E077F" w:rsidP="006E077F">
      <w:pPr>
        <w:pStyle w:val="Bezriadkovania"/>
        <w:spacing w:after="12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Limit verejných výdavkov predstavuj</w:t>
      </w:r>
      <w:r w:rsidR="00C54CE0">
        <w:rPr>
          <w:rFonts w:ascii="Segoe UI" w:hAnsi="Segoe UI" w:cs="Segoe UI"/>
          <w:b/>
          <w:sz w:val="20"/>
          <w:szCs w:val="20"/>
        </w:rPr>
        <w:t>e</w:t>
      </w:r>
      <w:r>
        <w:rPr>
          <w:rFonts w:ascii="Segoe UI" w:hAnsi="Segoe UI" w:cs="Segoe UI"/>
          <w:b/>
          <w:sz w:val="20"/>
          <w:szCs w:val="20"/>
        </w:rPr>
        <w:t xml:space="preserve"> nástroj na zabezpečenie dlhodobej udržateľnosti</w:t>
      </w:r>
      <w:r>
        <w:rPr>
          <w:rFonts w:ascii="Segoe UI" w:hAnsi="Segoe UI" w:cs="Segoe UI"/>
          <w:sz w:val="20"/>
          <w:szCs w:val="20"/>
        </w:rPr>
        <w:t xml:space="preserve"> </w:t>
      </w:r>
      <w:r w:rsidR="00C54CE0" w:rsidRPr="00C54CE0">
        <w:rPr>
          <w:rFonts w:ascii="Segoe UI" w:hAnsi="Segoe UI" w:cs="Segoe UI"/>
          <w:b/>
          <w:sz w:val="20"/>
          <w:szCs w:val="20"/>
        </w:rPr>
        <w:t>verejných financií.</w:t>
      </w:r>
      <w:r w:rsidR="00C54CE0">
        <w:rPr>
          <w:rFonts w:ascii="Segoe UI" w:hAnsi="Segoe UI" w:cs="Segoe UI"/>
          <w:sz w:val="20"/>
          <w:szCs w:val="20"/>
        </w:rPr>
        <w:t xml:space="preserve"> B</w:t>
      </w:r>
      <w:r>
        <w:rPr>
          <w:rFonts w:ascii="Segoe UI" w:hAnsi="Segoe UI" w:cs="Segoe UI"/>
          <w:sz w:val="20"/>
          <w:szCs w:val="20"/>
        </w:rPr>
        <w:t xml:space="preserve">ol zavedený do </w:t>
      </w:r>
      <w:r w:rsidR="00C54CE0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lovenského právneho poriadku novelou zákona o rozpočtových pravidlách VS v marci 2022 ako jeden z míľnikov v POO. Následne v apríli vypočítala RRZ do Programu stability prvý LVV. Druhý prepočet LVV spracovala RRZ v decembri 2022 a tento bol následne</w:t>
      </w:r>
      <w:r w:rsidR="00C645AA">
        <w:rPr>
          <w:rFonts w:ascii="Segoe UI" w:hAnsi="Segoe UI" w:cs="Segoe UI"/>
          <w:sz w:val="20"/>
          <w:szCs w:val="20"/>
        </w:rPr>
        <w:t>,</w:t>
      </w:r>
      <w:r w:rsidR="00C645AA" w:rsidRPr="00C645AA">
        <w:rPr>
          <w:rFonts w:ascii="Segoe UI" w:hAnsi="Segoe UI" w:cs="Segoe UI"/>
          <w:sz w:val="20"/>
          <w:szCs w:val="20"/>
        </w:rPr>
        <w:t xml:space="preserve"> </w:t>
      </w:r>
      <w:r w:rsidR="00C645AA">
        <w:rPr>
          <w:rFonts w:ascii="Segoe UI" w:hAnsi="Segoe UI" w:cs="Segoe UI"/>
          <w:sz w:val="20"/>
          <w:szCs w:val="20"/>
        </w:rPr>
        <w:t>v súlade s postupom uvedeným v zákone o rozpočtových pravidlách VS,</w:t>
      </w:r>
      <w:r>
        <w:rPr>
          <w:rFonts w:ascii="Segoe UI" w:hAnsi="Segoe UI" w:cs="Segoe UI"/>
          <w:sz w:val="20"/>
          <w:szCs w:val="20"/>
        </w:rPr>
        <w:t xml:space="preserve"> schválený v pléne NR SR 1. 2. 2023. </w:t>
      </w:r>
      <w:r w:rsidR="00B33F88">
        <w:rPr>
          <w:rFonts w:ascii="Segoe UI" w:hAnsi="Segoe UI" w:cs="Segoe UI"/>
          <w:sz w:val="20"/>
          <w:szCs w:val="20"/>
        </w:rPr>
        <w:t>Aktualizáciu LVV už neschvaľuje plénum NR SR, ale dva výbory (</w:t>
      </w:r>
      <w:r w:rsidR="00F46313">
        <w:rPr>
          <w:rFonts w:ascii="Segoe UI" w:hAnsi="Segoe UI" w:cs="Segoe UI"/>
          <w:sz w:val="20"/>
          <w:szCs w:val="20"/>
        </w:rPr>
        <w:t xml:space="preserve">pre </w:t>
      </w:r>
      <w:r w:rsidR="00B33F88">
        <w:rPr>
          <w:rFonts w:ascii="Segoe UI" w:hAnsi="Segoe UI" w:cs="Segoe UI"/>
          <w:sz w:val="20"/>
          <w:szCs w:val="20"/>
        </w:rPr>
        <w:t xml:space="preserve">oblasť financií a rozpočtu a oblasť hospodárskych záležitostí) uznesením, ktoré sa následne zverejňuje v Zbierke zákonov SR. </w:t>
      </w:r>
      <w:r>
        <w:rPr>
          <w:rFonts w:ascii="Segoe UI" w:hAnsi="Segoe UI" w:cs="Segoe UI"/>
          <w:sz w:val="20"/>
          <w:szCs w:val="20"/>
        </w:rPr>
        <w:t xml:space="preserve">Tretí prepočet, aktualizácia LVV </w:t>
      </w:r>
      <w:r w:rsidR="0004335E">
        <w:rPr>
          <w:rFonts w:ascii="Segoe UI" w:hAnsi="Segoe UI" w:cs="Segoe UI"/>
          <w:sz w:val="20"/>
          <w:szCs w:val="20"/>
        </w:rPr>
        <w:t>a výpočet pre rok 2026</w:t>
      </w:r>
      <w:r w:rsidR="003D1B82">
        <w:rPr>
          <w:rFonts w:ascii="Segoe UI" w:hAnsi="Segoe UI" w:cs="Segoe UI"/>
          <w:sz w:val="20"/>
          <w:szCs w:val="20"/>
        </w:rPr>
        <w:t>,</w:t>
      </w:r>
      <w:r w:rsidR="0004335E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bol </w:t>
      </w:r>
      <w:r w:rsidR="00F46313">
        <w:rPr>
          <w:rFonts w:ascii="Segoe UI" w:hAnsi="Segoe UI" w:cs="Segoe UI"/>
          <w:sz w:val="20"/>
          <w:szCs w:val="20"/>
        </w:rPr>
        <w:t xml:space="preserve">v júni 2023 </w:t>
      </w:r>
      <w:r>
        <w:rPr>
          <w:rFonts w:ascii="Segoe UI" w:hAnsi="Segoe UI" w:cs="Segoe UI"/>
          <w:sz w:val="20"/>
          <w:szCs w:val="20"/>
        </w:rPr>
        <w:t>v zmysle zákona predložen</w:t>
      </w:r>
      <w:r w:rsidR="003D1B82">
        <w:rPr>
          <w:rFonts w:ascii="Segoe UI" w:hAnsi="Segoe UI" w:cs="Segoe UI"/>
          <w:sz w:val="20"/>
          <w:szCs w:val="20"/>
        </w:rPr>
        <w:t>ý</w:t>
      </w:r>
      <w:r>
        <w:rPr>
          <w:rFonts w:ascii="Segoe UI" w:hAnsi="Segoe UI" w:cs="Segoe UI"/>
          <w:sz w:val="20"/>
          <w:szCs w:val="20"/>
        </w:rPr>
        <w:t xml:space="preserve"> do výborov NR SR pre hospodárske záležitosti a pre financie a</w:t>
      </w:r>
      <w:r w:rsidR="003D1B82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rozpočet</w:t>
      </w:r>
      <w:r w:rsidR="003D1B82">
        <w:rPr>
          <w:rFonts w:ascii="Segoe UI" w:hAnsi="Segoe UI" w:cs="Segoe UI"/>
          <w:sz w:val="20"/>
          <w:szCs w:val="20"/>
        </w:rPr>
        <w:t xml:space="preserve"> (tabuľka 1)</w:t>
      </w:r>
      <w:r>
        <w:rPr>
          <w:rFonts w:ascii="Segoe UI" w:hAnsi="Segoe UI" w:cs="Segoe UI"/>
          <w:sz w:val="20"/>
          <w:szCs w:val="20"/>
        </w:rPr>
        <w:t xml:space="preserve">. Výbor NR SR pre hospodárske záležitosti schválil aktualizáciu LVV uznesením 8. 9. 2023. </w:t>
      </w:r>
      <w:r w:rsidR="00F46313">
        <w:rPr>
          <w:rFonts w:ascii="Segoe UI" w:hAnsi="Segoe UI" w:cs="Segoe UI"/>
          <w:sz w:val="20"/>
          <w:szCs w:val="20"/>
        </w:rPr>
        <w:t xml:space="preserve">Rokovanie </w:t>
      </w:r>
      <w:r w:rsidR="00C645AA">
        <w:rPr>
          <w:rFonts w:ascii="Segoe UI" w:hAnsi="Segoe UI" w:cs="Segoe UI"/>
          <w:sz w:val="20"/>
          <w:szCs w:val="20"/>
        </w:rPr>
        <w:t xml:space="preserve">kľúčového </w:t>
      </w:r>
      <w:r w:rsidR="00F46313">
        <w:rPr>
          <w:rFonts w:ascii="Segoe UI" w:hAnsi="Segoe UI" w:cs="Segoe UI"/>
          <w:sz w:val="20"/>
          <w:szCs w:val="20"/>
        </w:rPr>
        <w:t>v</w:t>
      </w:r>
      <w:r>
        <w:rPr>
          <w:rFonts w:ascii="Segoe UI" w:hAnsi="Segoe UI" w:cs="Segoe UI"/>
          <w:sz w:val="20"/>
          <w:szCs w:val="20"/>
        </w:rPr>
        <w:t>ýbor</w:t>
      </w:r>
      <w:r w:rsidR="00F46313">
        <w:rPr>
          <w:rFonts w:ascii="Segoe UI" w:hAnsi="Segoe UI" w:cs="Segoe UI"/>
          <w:sz w:val="20"/>
          <w:szCs w:val="20"/>
        </w:rPr>
        <w:t>u</w:t>
      </w:r>
      <w:r>
        <w:rPr>
          <w:rFonts w:ascii="Segoe UI" w:hAnsi="Segoe UI" w:cs="Segoe UI"/>
          <w:sz w:val="20"/>
          <w:szCs w:val="20"/>
        </w:rPr>
        <w:t xml:space="preserve"> </w:t>
      </w:r>
      <w:r w:rsidR="00C645AA">
        <w:rPr>
          <w:rFonts w:ascii="Segoe UI" w:hAnsi="Segoe UI" w:cs="Segoe UI"/>
          <w:sz w:val="20"/>
          <w:szCs w:val="20"/>
        </w:rPr>
        <w:t xml:space="preserve">vo vzťahu k LVV, čiže výboru </w:t>
      </w:r>
      <w:r>
        <w:rPr>
          <w:rFonts w:ascii="Segoe UI" w:hAnsi="Segoe UI" w:cs="Segoe UI"/>
          <w:sz w:val="20"/>
          <w:szCs w:val="20"/>
        </w:rPr>
        <w:t xml:space="preserve">NR SR pre financie a rozpočet </w:t>
      </w:r>
      <w:r w:rsidR="00C645AA">
        <w:rPr>
          <w:rFonts w:ascii="Segoe UI" w:hAnsi="Segoe UI" w:cs="Segoe UI"/>
          <w:sz w:val="20"/>
          <w:szCs w:val="20"/>
        </w:rPr>
        <w:t xml:space="preserve">sa </w:t>
      </w:r>
      <w:r w:rsidR="00F46313">
        <w:rPr>
          <w:rFonts w:ascii="Segoe UI" w:hAnsi="Segoe UI" w:cs="Segoe UI"/>
          <w:sz w:val="20"/>
          <w:szCs w:val="20"/>
        </w:rPr>
        <w:t xml:space="preserve">k </w:t>
      </w:r>
      <w:r>
        <w:rPr>
          <w:rFonts w:ascii="Segoe UI" w:hAnsi="Segoe UI" w:cs="Segoe UI"/>
          <w:sz w:val="20"/>
          <w:szCs w:val="20"/>
        </w:rPr>
        <w:t>aktualizáci</w:t>
      </w:r>
      <w:r w:rsidR="00F46313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 LVV neuskutočnilo. </w:t>
      </w:r>
      <w:r w:rsidRPr="00B52912">
        <w:rPr>
          <w:rFonts w:ascii="Segoe UI" w:hAnsi="Segoe UI" w:cs="Segoe UI"/>
          <w:b/>
          <w:sz w:val="20"/>
          <w:szCs w:val="20"/>
        </w:rPr>
        <w:t xml:space="preserve">NKÚ SR konštatuje, že aktualizovaný LVV </w:t>
      </w:r>
      <w:r w:rsidR="0093516A" w:rsidRPr="002F7706">
        <w:rPr>
          <w:rFonts w:ascii="Segoe UI" w:hAnsi="Segoe UI" w:cs="Segoe UI"/>
          <w:sz w:val="20"/>
          <w:szCs w:val="20"/>
        </w:rPr>
        <w:t>(</w:t>
      </w:r>
      <w:r w:rsidRPr="002F7706">
        <w:rPr>
          <w:rFonts w:ascii="Segoe UI" w:hAnsi="Segoe UI" w:cs="Segoe UI"/>
          <w:sz w:val="20"/>
          <w:szCs w:val="20"/>
        </w:rPr>
        <w:t>obsahujúci sankciu z dlhovej brzdy v podobe vyrovnaného rozpočtu</w:t>
      </w:r>
      <w:r w:rsidR="0093516A" w:rsidRPr="002F7706">
        <w:rPr>
          <w:rFonts w:ascii="Segoe UI" w:hAnsi="Segoe UI" w:cs="Segoe UI"/>
          <w:sz w:val="20"/>
          <w:szCs w:val="20"/>
        </w:rPr>
        <w:t>)</w:t>
      </w:r>
      <w:r w:rsidRPr="00B52912">
        <w:rPr>
          <w:rFonts w:ascii="Segoe UI" w:hAnsi="Segoe UI" w:cs="Segoe UI"/>
          <w:b/>
          <w:sz w:val="20"/>
          <w:szCs w:val="20"/>
        </w:rPr>
        <w:t xml:space="preserve"> nebol schválený vo výboroch NR SR tak</w:t>
      </w:r>
      <w:r w:rsidR="00C54CE0">
        <w:rPr>
          <w:rFonts w:ascii="Segoe UI" w:hAnsi="Segoe UI" w:cs="Segoe UI"/>
          <w:b/>
          <w:sz w:val="20"/>
          <w:szCs w:val="20"/>
        </w:rPr>
        <w:t>,</w:t>
      </w:r>
      <w:r w:rsidRPr="00B52912">
        <w:rPr>
          <w:rFonts w:ascii="Segoe UI" w:hAnsi="Segoe UI" w:cs="Segoe UI"/>
          <w:b/>
          <w:sz w:val="20"/>
          <w:szCs w:val="20"/>
        </w:rPr>
        <w:t xml:space="preserve"> ako predpokladal proces popísaný v zákone o rozpočtových pravidlách VS</w:t>
      </w:r>
      <w:r w:rsidR="00C645AA">
        <w:rPr>
          <w:rFonts w:ascii="Segoe UI" w:hAnsi="Segoe UI" w:cs="Segoe UI"/>
          <w:b/>
          <w:sz w:val="20"/>
          <w:szCs w:val="20"/>
        </w:rPr>
        <w:t xml:space="preserve"> a v platnosti je tak LVV z decembra 2022</w:t>
      </w:r>
      <w:r w:rsidRPr="00B52912">
        <w:rPr>
          <w:rFonts w:ascii="Segoe UI" w:hAnsi="Segoe UI" w:cs="Segoe UI"/>
          <w:b/>
          <w:sz w:val="20"/>
          <w:szCs w:val="20"/>
        </w:rPr>
        <w:t>.</w:t>
      </w:r>
    </w:p>
    <w:p w14:paraId="2587FCC2" w14:textId="07DB96B9" w:rsidR="00B9405C" w:rsidRDefault="00B9405C" w:rsidP="006E077F">
      <w:pPr>
        <w:pStyle w:val="Bezriadkovania"/>
        <w:spacing w:after="12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0A5750A4" w14:textId="0E7A1BE0" w:rsidR="006E077F" w:rsidRPr="00B52912" w:rsidRDefault="006E077F" w:rsidP="00524B6B">
      <w:pPr>
        <w:keepNext/>
        <w:spacing w:after="0"/>
        <w:rPr>
          <w:rFonts w:eastAsia="Calibri" w:cs="Times New Roman"/>
          <w:b/>
          <w:iCs/>
          <w:color w:val="314364"/>
          <w:szCs w:val="18"/>
        </w:rPr>
      </w:pPr>
      <w:r w:rsidRPr="00B52912">
        <w:rPr>
          <w:rFonts w:eastAsia="Calibri" w:cs="Times New Roman"/>
          <w:b/>
          <w:iCs/>
          <w:color w:val="314364"/>
          <w:szCs w:val="18"/>
        </w:rPr>
        <w:lastRenderedPageBreak/>
        <w:t xml:space="preserve">Tabuľka </w:t>
      </w:r>
      <w:r w:rsidR="00524B6B">
        <w:rPr>
          <w:rFonts w:eastAsia="Calibri" w:cs="Times New Roman"/>
          <w:b/>
          <w:iCs/>
          <w:color w:val="314364"/>
          <w:szCs w:val="18"/>
        </w:rPr>
        <w:t>1</w:t>
      </w:r>
      <w:r w:rsidRPr="00B52912">
        <w:rPr>
          <w:rFonts w:eastAsia="Calibri" w:cs="Times New Roman"/>
          <w:b/>
          <w:iCs/>
          <w:color w:val="314364"/>
          <w:szCs w:val="18"/>
        </w:rPr>
        <w:t xml:space="preserve">: </w:t>
      </w:r>
      <w:r w:rsidR="00524B6B">
        <w:rPr>
          <w:rFonts w:eastAsia="Calibri" w:cs="Times New Roman"/>
          <w:b/>
          <w:iCs/>
          <w:color w:val="314364"/>
          <w:szCs w:val="18"/>
        </w:rPr>
        <w:t>Limit verejných výdavkov</w:t>
      </w:r>
      <w:r>
        <w:rPr>
          <w:rFonts w:eastAsia="Calibri" w:cs="Times New Roman"/>
          <w:b/>
          <w:iCs/>
          <w:color w:val="314364"/>
          <w:szCs w:val="18"/>
        </w:rPr>
        <w:t xml:space="preserve"> </w:t>
      </w:r>
      <w:r w:rsidRPr="00B52912">
        <w:rPr>
          <w:rFonts w:eastAsia="Calibri" w:cs="Times New Roman"/>
          <w:b/>
          <w:iCs/>
          <w:color w:val="314364"/>
          <w:szCs w:val="18"/>
        </w:rPr>
        <w:t>vypracovaný</w:t>
      </w:r>
      <w:r>
        <w:rPr>
          <w:rFonts w:eastAsia="Calibri" w:cs="Times New Roman"/>
          <w:b/>
          <w:iCs/>
          <w:color w:val="314364"/>
          <w:szCs w:val="18"/>
        </w:rPr>
        <w:t xml:space="preserve"> RRZ a návrh RVS 2024</w:t>
      </w:r>
      <w:r w:rsidR="00C54CE0">
        <w:rPr>
          <w:rFonts w:eastAsia="Calibri" w:cs="Times New Roman"/>
          <w:b/>
          <w:iCs/>
          <w:color w:val="314364"/>
          <w:szCs w:val="18"/>
        </w:rPr>
        <w:t xml:space="preserve"> – </w:t>
      </w:r>
      <w:r>
        <w:rPr>
          <w:rFonts w:eastAsia="Calibri" w:cs="Times New Roman"/>
          <w:b/>
          <w:iCs/>
          <w:color w:val="314364"/>
          <w:szCs w:val="18"/>
        </w:rPr>
        <w:t>2026</w:t>
      </w:r>
      <w:r w:rsidRPr="00B52912">
        <w:rPr>
          <w:rFonts w:eastAsia="Calibri" w:cs="Times New Roman"/>
          <w:b/>
          <w:iCs/>
          <w:color w:val="314364"/>
          <w:szCs w:val="18"/>
        </w:rPr>
        <w:t xml:space="preserve"> (v eurách)</w:t>
      </w:r>
    </w:p>
    <w:tbl>
      <w:tblPr>
        <w:tblW w:w="5000" w:type="pct"/>
        <w:jc w:val="center"/>
        <w:tblCellMar>
          <w:top w:w="28" w:type="dxa"/>
        </w:tblCellMar>
        <w:tblLook w:val="04A0" w:firstRow="1" w:lastRow="0" w:firstColumn="1" w:lastColumn="0" w:noHBand="0" w:noVBand="1"/>
      </w:tblPr>
      <w:tblGrid>
        <w:gridCol w:w="845"/>
        <w:gridCol w:w="2001"/>
        <w:gridCol w:w="2121"/>
        <w:gridCol w:w="2001"/>
        <w:gridCol w:w="2102"/>
      </w:tblGrid>
      <w:tr w:rsidR="006E077F" w:rsidRPr="00B52912" w14:paraId="67A517A3" w14:textId="77777777" w:rsidTr="00EC5412">
        <w:trPr>
          <w:trHeight w:val="283"/>
          <w:jc w:val="center"/>
        </w:trPr>
        <w:tc>
          <w:tcPr>
            <w:tcW w:w="466" w:type="pct"/>
            <w:tcBorders>
              <w:bottom w:val="single" w:sz="4" w:space="0" w:color="314364"/>
            </w:tcBorders>
            <w:shd w:val="clear" w:color="auto" w:fill="314364"/>
            <w:vAlign w:val="center"/>
          </w:tcPr>
          <w:p w14:paraId="52BD5DB9" w14:textId="77777777" w:rsidR="006E077F" w:rsidRPr="00B52912" w:rsidRDefault="006E077F" w:rsidP="006E077F">
            <w:pPr>
              <w:spacing w:after="0" w:line="259" w:lineRule="auto"/>
              <w:rPr>
                <w:rFonts w:eastAsia="Calibri" w:cs="Times New Roman"/>
              </w:rPr>
            </w:pPr>
            <w:r w:rsidRPr="00B52912">
              <w:rPr>
                <w:rFonts w:eastAsia="Calibri" w:cs="Times New Roman"/>
                <w:b/>
                <w:color w:val="FFFFFF"/>
                <w:sz w:val="18"/>
              </w:rPr>
              <w:t>Rok</w:t>
            </w:r>
          </w:p>
        </w:tc>
        <w:tc>
          <w:tcPr>
            <w:tcW w:w="1103" w:type="pct"/>
            <w:tcBorders>
              <w:bottom w:val="single" w:sz="4" w:space="0" w:color="314364"/>
            </w:tcBorders>
            <w:shd w:val="clear" w:color="auto" w:fill="314364"/>
            <w:vAlign w:val="center"/>
          </w:tcPr>
          <w:p w14:paraId="45C15A3F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Times New Roman"/>
                <w:b/>
                <w:color w:val="FFFFFF"/>
                <w:sz w:val="18"/>
              </w:rPr>
            </w:pPr>
            <w:r w:rsidRPr="00B52912">
              <w:rPr>
                <w:rFonts w:eastAsia="Calibri" w:cs="Times New Roman"/>
                <w:b/>
                <w:color w:val="FFFFFF"/>
                <w:sz w:val="18"/>
              </w:rPr>
              <w:t>apríl 2022*</w:t>
            </w:r>
          </w:p>
        </w:tc>
        <w:tc>
          <w:tcPr>
            <w:tcW w:w="1169" w:type="pct"/>
            <w:tcBorders>
              <w:bottom w:val="single" w:sz="4" w:space="0" w:color="314364"/>
            </w:tcBorders>
            <w:shd w:val="clear" w:color="auto" w:fill="314364"/>
            <w:vAlign w:val="center"/>
          </w:tcPr>
          <w:p w14:paraId="25B00D23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Times New Roman"/>
                <w:b/>
                <w:color w:val="FFFFFF"/>
                <w:sz w:val="18"/>
              </w:rPr>
            </w:pPr>
            <w:r w:rsidRPr="00B52912">
              <w:rPr>
                <w:rFonts w:eastAsia="Calibri" w:cs="Times New Roman"/>
                <w:b/>
                <w:color w:val="FFFFFF"/>
                <w:sz w:val="18"/>
              </w:rPr>
              <w:t>december 2022</w:t>
            </w:r>
          </w:p>
        </w:tc>
        <w:tc>
          <w:tcPr>
            <w:tcW w:w="1103" w:type="pct"/>
            <w:tcBorders>
              <w:bottom w:val="single" w:sz="4" w:space="0" w:color="314364"/>
            </w:tcBorders>
            <w:shd w:val="clear" w:color="auto" w:fill="314364"/>
            <w:vAlign w:val="center"/>
          </w:tcPr>
          <w:p w14:paraId="6DF4C0EB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Times New Roman"/>
                <w:b/>
                <w:color w:val="FFFFFF"/>
                <w:sz w:val="18"/>
              </w:rPr>
            </w:pPr>
            <w:r w:rsidRPr="00B52912">
              <w:rPr>
                <w:rFonts w:eastAsia="Calibri" w:cs="Times New Roman"/>
                <w:b/>
                <w:color w:val="FFFFFF"/>
                <w:sz w:val="18"/>
              </w:rPr>
              <w:t>jún 2023</w:t>
            </w:r>
          </w:p>
        </w:tc>
        <w:tc>
          <w:tcPr>
            <w:tcW w:w="1160" w:type="pct"/>
            <w:tcBorders>
              <w:bottom w:val="single" w:sz="4" w:space="0" w:color="314364"/>
            </w:tcBorders>
            <w:shd w:val="clear" w:color="auto" w:fill="314364"/>
            <w:vAlign w:val="center"/>
          </w:tcPr>
          <w:p w14:paraId="6199E2F7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Times New Roman"/>
                <w:b/>
                <w:color w:val="FFFFFF"/>
                <w:sz w:val="18"/>
              </w:rPr>
            </w:pPr>
            <w:r>
              <w:rPr>
                <w:rFonts w:eastAsia="Calibri" w:cs="Times New Roman"/>
                <w:b/>
                <w:color w:val="FFFFFF"/>
                <w:sz w:val="18"/>
              </w:rPr>
              <w:t>RVS 2024-2026</w:t>
            </w:r>
          </w:p>
        </w:tc>
      </w:tr>
      <w:tr w:rsidR="006E077F" w:rsidRPr="00B52912" w14:paraId="11A1179D" w14:textId="77777777" w:rsidTr="00EC5412">
        <w:trPr>
          <w:trHeight w:val="283"/>
          <w:jc w:val="center"/>
        </w:trPr>
        <w:tc>
          <w:tcPr>
            <w:tcW w:w="466" w:type="pct"/>
            <w:tcBorders>
              <w:top w:val="single" w:sz="4" w:space="0" w:color="314364"/>
            </w:tcBorders>
            <w:vAlign w:val="center"/>
          </w:tcPr>
          <w:p w14:paraId="4388B65C" w14:textId="77777777" w:rsidR="006E077F" w:rsidRPr="00B52912" w:rsidRDefault="006E077F" w:rsidP="006E077F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2023</w:t>
            </w:r>
          </w:p>
        </w:tc>
        <w:tc>
          <w:tcPr>
            <w:tcW w:w="1103" w:type="pct"/>
            <w:tcBorders>
              <w:top w:val="single" w:sz="4" w:space="0" w:color="314364"/>
            </w:tcBorders>
            <w:vAlign w:val="center"/>
          </w:tcPr>
          <w:p w14:paraId="6EC8C1B5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37 852 836 489</w:t>
            </w:r>
          </w:p>
        </w:tc>
        <w:tc>
          <w:tcPr>
            <w:tcW w:w="1169" w:type="pct"/>
            <w:tcBorders>
              <w:top w:val="single" w:sz="4" w:space="0" w:color="314364"/>
            </w:tcBorders>
            <w:vAlign w:val="center"/>
          </w:tcPr>
          <w:p w14:paraId="26BC383D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41 321 154 940</w:t>
            </w:r>
          </w:p>
        </w:tc>
        <w:tc>
          <w:tcPr>
            <w:tcW w:w="1103" w:type="pct"/>
            <w:tcBorders>
              <w:top w:val="single" w:sz="4" w:space="0" w:color="314364"/>
            </w:tcBorders>
            <w:shd w:val="clear" w:color="auto" w:fill="auto"/>
            <w:vAlign w:val="center"/>
          </w:tcPr>
          <w:p w14:paraId="1DC63CD3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41 683 555 509</w:t>
            </w:r>
          </w:p>
        </w:tc>
        <w:tc>
          <w:tcPr>
            <w:tcW w:w="1160" w:type="pct"/>
            <w:tcBorders>
              <w:top w:val="single" w:sz="4" w:space="0" w:color="314364"/>
            </w:tcBorders>
            <w:shd w:val="clear" w:color="auto" w:fill="auto"/>
            <w:vAlign w:val="center"/>
          </w:tcPr>
          <w:p w14:paraId="59183B20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b/>
                <w:sz w:val="18"/>
                <w:szCs w:val="18"/>
              </w:rPr>
            </w:pPr>
            <w:r>
              <w:rPr>
                <w:rFonts w:eastAsia="Calibri" w:cs="Segoe UI"/>
                <w:b/>
                <w:sz w:val="18"/>
                <w:szCs w:val="18"/>
              </w:rPr>
              <w:t>-</w:t>
            </w:r>
          </w:p>
        </w:tc>
      </w:tr>
      <w:tr w:rsidR="006E077F" w:rsidRPr="00B52912" w14:paraId="6FB5A58F" w14:textId="77777777" w:rsidTr="00EC5412">
        <w:trPr>
          <w:trHeight w:val="283"/>
          <w:jc w:val="center"/>
        </w:trPr>
        <w:tc>
          <w:tcPr>
            <w:tcW w:w="466" w:type="pct"/>
            <w:vAlign w:val="center"/>
          </w:tcPr>
          <w:p w14:paraId="6C13A578" w14:textId="77777777" w:rsidR="006E077F" w:rsidRPr="00B52912" w:rsidRDefault="006E077F" w:rsidP="006E077F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2024</w:t>
            </w:r>
          </w:p>
        </w:tc>
        <w:tc>
          <w:tcPr>
            <w:tcW w:w="1103" w:type="pct"/>
            <w:vAlign w:val="center"/>
          </w:tcPr>
          <w:p w14:paraId="48BFD8B7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39 402 469 186</w:t>
            </w:r>
          </w:p>
        </w:tc>
        <w:tc>
          <w:tcPr>
            <w:tcW w:w="1169" w:type="pct"/>
            <w:vAlign w:val="center"/>
          </w:tcPr>
          <w:p w14:paraId="02E9C285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44 309 099 762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5CD81A38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38 487 755 332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6972AF22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b/>
                <w:sz w:val="18"/>
                <w:szCs w:val="18"/>
              </w:rPr>
            </w:pPr>
            <w:r w:rsidRPr="00B52912">
              <w:rPr>
                <w:rFonts w:eastAsia="Calibri" w:cs="Segoe UI"/>
                <w:b/>
                <w:sz w:val="18"/>
                <w:szCs w:val="18"/>
              </w:rPr>
              <w:t>38 309 131 586</w:t>
            </w:r>
          </w:p>
        </w:tc>
      </w:tr>
      <w:tr w:rsidR="006E077F" w:rsidRPr="00B52912" w14:paraId="6C0F7F25" w14:textId="77777777" w:rsidTr="00EC5412">
        <w:trPr>
          <w:trHeight w:val="283"/>
          <w:jc w:val="center"/>
        </w:trPr>
        <w:tc>
          <w:tcPr>
            <w:tcW w:w="466" w:type="pct"/>
            <w:vAlign w:val="center"/>
          </w:tcPr>
          <w:p w14:paraId="269D429B" w14:textId="77777777" w:rsidR="006E077F" w:rsidRPr="00B52912" w:rsidRDefault="006E077F" w:rsidP="006E077F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2025</w:t>
            </w:r>
          </w:p>
        </w:tc>
        <w:tc>
          <w:tcPr>
            <w:tcW w:w="1103" w:type="pct"/>
            <w:vAlign w:val="center"/>
          </w:tcPr>
          <w:p w14:paraId="7A10FE42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-</w:t>
            </w:r>
          </w:p>
        </w:tc>
        <w:tc>
          <w:tcPr>
            <w:tcW w:w="1169" w:type="pct"/>
            <w:vAlign w:val="center"/>
          </w:tcPr>
          <w:p w14:paraId="78F734E4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45 621 482 931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3EB5060A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45 354 202 443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41B5872C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b/>
                <w:sz w:val="18"/>
                <w:szCs w:val="18"/>
              </w:rPr>
            </w:pPr>
            <w:r w:rsidRPr="00B52912">
              <w:rPr>
                <w:rFonts w:eastAsia="Calibri" w:cs="Segoe UI"/>
                <w:b/>
                <w:sz w:val="18"/>
                <w:szCs w:val="18"/>
              </w:rPr>
              <w:t>38 463 728 682</w:t>
            </w:r>
          </w:p>
        </w:tc>
      </w:tr>
      <w:tr w:rsidR="006E077F" w:rsidRPr="00B52912" w14:paraId="3A84C502" w14:textId="77777777" w:rsidTr="00EC5412">
        <w:trPr>
          <w:trHeight w:val="283"/>
          <w:jc w:val="center"/>
        </w:trPr>
        <w:tc>
          <w:tcPr>
            <w:tcW w:w="466" w:type="pct"/>
            <w:tcBorders>
              <w:bottom w:val="single" w:sz="4" w:space="0" w:color="314364"/>
            </w:tcBorders>
            <w:vAlign w:val="center"/>
          </w:tcPr>
          <w:p w14:paraId="298D9851" w14:textId="77777777" w:rsidR="006E077F" w:rsidRPr="00B52912" w:rsidRDefault="006E077F" w:rsidP="006E077F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2026</w:t>
            </w:r>
          </w:p>
        </w:tc>
        <w:tc>
          <w:tcPr>
            <w:tcW w:w="1103" w:type="pct"/>
            <w:tcBorders>
              <w:bottom w:val="single" w:sz="4" w:space="0" w:color="314364"/>
            </w:tcBorders>
            <w:vAlign w:val="center"/>
          </w:tcPr>
          <w:p w14:paraId="3819283A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-</w:t>
            </w:r>
          </w:p>
        </w:tc>
        <w:tc>
          <w:tcPr>
            <w:tcW w:w="1169" w:type="pct"/>
            <w:tcBorders>
              <w:bottom w:val="single" w:sz="4" w:space="0" w:color="314364"/>
            </w:tcBorders>
            <w:vAlign w:val="center"/>
          </w:tcPr>
          <w:p w14:paraId="382919E1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-</w:t>
            </w:r>
          </w:p>
        </w:tc>
        <w:tc>
          <w:tcPr>
            <w:tcW w:w="1103" w:type="pct"/>
            <w:tcBorders>
              <w:bottom w:val="single" w:sz="4" w:space="0" w:color="314364"/>
            </w:tcBorders>
            <w:shd w:val="clear" w:color="auto" w:fill="auto"/>
            <w:vAlign w:val="center"/>
          </w:tcPr>
          <w:p w14:paraId="1BD29A4B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B52912">
              <w:rPr>
                <w:rFonts w:eastAsia="Calibri" w:cs="Segoe UI"/>
                <w:sz w:val="18"/>
                <w:szCs w:val="18"/>
              </w:rPr>
              <w:t>48 287 555 184</w:t>
            </w:r>
          </w:p>
        </w:tc>
        <w:tc>
          <w:tcPr>
            <w:tcW w:w="1160" w:type="pct"/>
            <w:tcBorders>
              <w:bottom w:val="single" w:sz="4" w:space="0" w:color="314364"/>
            </w:tcBorders>
            <w:shd w:val="clear" w:color="auto" w:fill="auto"/>
            <w:vAlign w:val="center"/>
          </w:tcPr>
          <w:p w14:paraId="7975E2A5" w14:textId="77777777" w:rsidR="006E077F" w:rsidRPr="00B52912" w:rsidRDefault="006E077F" w:rsidP="006E077F">
            <w:pPr>
              <w:spacing w:after="0" w:line="259" w:lineRule="auto"/>
              <w:jc w:val="right"/>
              <w:rPr>
                <w:rFonts w:eastAsia="Calibri" w:cs="Segoe UI"/>
                <w:b/>
                <w:sz w:val="18"/>
                <w:szCs w:val="18"/>
              </w:rPr>
            </w:pPr>
            <w:r w:rsidRPr="00B52912">
              <w:rPr>
                <w:rFonts w:eastAsia="Calibri" w:cs="Segoe UI"/>
                <w:b/>
                <w:sz w:val="18"/>
                <w:szCs w:val="18"/>
              </w:rPr>
              <w:t>39 402 550 668</w:t>
            </w:r>
          </w:p>
        </w:tc>
      </w:tr>
    </w:tbl>
    <w:p w14:paraId="1286BB51" w14:textId="3EE27357" w:rsidR="006E077F" w:rsidRPr="00B52912" w:rsidRDefault="006E077F" w:rsidP="00C54CE0">
      <w:pPr>
        <w:jc w:val="left"/>
        <w:rPr>
          <w:rFonts w:eastAsia="Calibri" w:cs="Times New Roman"/>
          <w:i/>
          <w:color w:val="314364"/>
          <w:sz w:val="16"/>
        </w:rPr>
      </w:pPr>
      <w:r w:rsidRPr="00B52912">
        <w:rPr>
          <w:rFonts w:eastAsia="Calibri" w:cs="Times New Roman"/>
          <w:i/>
          <w:color w:val="314364"/>
          <w:sz w:val="16"/>
        </w:rPr>
        <w:t>Zdroj: NR SR, RRZ</w:t>
      </w:r>
      <w:r>
        <w:rPr>
          <w:rFonts w:eastAsia="Calibri" w:cs="Times New Roman"/>
          <w:i/>
          <w:color w:val="314364"/>
          <w:sz w:val="16"/>
        </w:rPr>
        <w:t>, MF SR</w:t>
      </w:r>
      <w:r w:rsidR="00C54CE0">
        <w:rPr>
          <w:rFonts w:eastAsia="Calibri" w:cs="Times New Roman"/>
          <w:i/>
          <w:color w:val="314364"/>
          <w:sz w:val="16"/>
        </w:rPr>
        <w:t>, spracovanie NKÚ SR</w:t>
      </w:r>
      <w:r w:rsidR="00E704FC">
        <w:rPr>
          <w:rFonts w:eastAsia="Calibri" w:cs="Times New Roman"/>
          <w:i/>
          <w:color w:val="314364"/>
          <w:sz w:val="16"/>
        </w:rPr>
        <w:br/>
      </w:r>
      <w:r w:rsidRPr="00B52912">
        <w:rPr>
          <w:rFonts w:eastAsia="Calibri" w:cs="Times New Roman"/>
          <w:i/>
          <w:color w:val="314364"/>
          <w:sz w:val="16"/>
        </w:rPr>
        <w:t>* informatív</w:t>
      </w:r>
      <w:r w:rsidR="00C54CE0">
        <w:rPr>
          <w:rFonts w:eastAsia="Calibri" w:cs="Times New Roman"/>
          <w:i/>
          <w:color w:val="314364"/>
          <w:sz w:val="16"/>
        </w:rPr>
        <w:t>ny prepočet podľa inej metodiky</w:t>
      </w:r>
    </w:p>
    <w:p w14:paraId="71E80818" w14:textId="149AC620" w:rsidR="003A48F9" w:rsidRDefault="003A48F9" w:rsidP="003A48F9">
      <w:pPr>
        <w:pStyle w:val="Bezriadkovania"/>
        <w:spacing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7B7BFF">
        <w:rPr>
          <w:rFonts w:ascii="Segoe UI" w:hAnsi="Segoe UI" w:cs="Segoe UI"/>
          <w:b/>
          <w:sz w:val="20"/>
          <w:szCs w:val="20"/>
        </w:rPr>
        <w:t xml:space="preserve">Predkladaný návrh RVS na roky 2024 – 2026 je v súlade </w:t>
      </w:r>
      <w:r>
        <w:rPr>
          <w:rFonts w:ascii="Segoe UI" w:hAnsi="Segoe UI" w:cs="Segoe UI"/>
          <w:b/>
          <w:sz w:val="20"/>
          <w:szCs w:val="20"/>
        </w:rPr>
        <w:t>so schváleným LVV a</w:t>
      </w:r>
      <w:r w:rsidRPr="007B7BFF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>aj</w:t>
      </w:r>
      <w:r w:rsidRPr="007B7BFF">
        <w:rPr>
          <w:rFonts w:ascii="Segoe UI" w:hAnsi="Segoe UI" w:cs="Segoe UI"/>
          <w:b/>
          <w:sz w:val="20"/>
          <w:szCs w:val="20"/>
        </w:rPr>
        <w:t xml:space="preserve"> s jeho neschválenou aktualizáciou. </w:t>
      </w:r>
      <w:r>
        <w:rPr>
          <w:rFonts w:ascii="Segoe UI" w:hAnsi="Segoe UI" w:cs="Segoe UI"/>
          <w:sz w:val="20"/>
          <w:szCs w:val="20"/>
        </w:rPr>
        <w:t>Vláda SR a MF SR sa tak zachovali pri predkladaní návrhu RVS obozretne, keď vychádzali z LVV, ktorý síce nebol schválený, ale zahŕňal v sebe predpoklad vyrovnaného rozpočtu.  Samotný predpoklad vyrovnaného rozpočtu sa podľa metodiky výpočtu LVV aplikuje len pre rok 2024 a v ďalších rokoch sa neaplikuje. Návrh rozpočtu však aj v ďalších rokoch udržuje nižšiu, vyrovnanú úroveň výdavkov. RRZ pri júnovej aktualizácii LVV vyčíslila rozdiel medzi deficitným a vyrovnaným rozpočtom vo výške 5,6 mld. eur. Zároveň podotýkame, že uplatňovanie LVV je obmedzené platnosťou všeobecnej únikovej doložky</w:t>
      </w:r>
      <w:r w:rsidR="000B2A83">
        <w:rPr>
          <w:rStyle w:val="Odkaznapoznmkupodiarou"/>
          <w:rFonts w:ascii="Segoe UI" w:hAnsi="Segoe UI" w:cs="Segoe UI"/>
          <w:sz w:val="20"/>
          <w:szCs w:val="20"/>
        </w:rPr>
        <w:footnoteReference w:id="6"/>
      </w:r>
      <w:r>
        <w:rPr>
          <w:rFonts w:ascii="Segoe UI" w:hAnsi="Segoe UI" w:cs="Segoe UI"/>
          <w:sz w:val="20"/>
          <w:szCs w:val="20"/>
        </w:rPr>
        <w:t xml:space="preserve"> na európskej úrovni do konca roka 2023.</w:t>
      </w:r>
    </w:p>
    <w:p w14:paraId="6BDCA710" w14:textId="2E7BF6A7" w:rsidR="003D1B82" w:rsidRDefault="003D1B82" w:rsidP="003D1B82">
      <w:pPr>
        <w:pStyle w:val="Bezriadkovania"/>
        <w:spacing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FC5C3F">
        <w:rPr>
          <w:rFonts w:ascii="Segoe UI" w:hAnsi="Segoe UI" w:cs="Segoe UI"/>
          <w:b/>
          <w:sz w:val="20"/>
          <w:szCs w:val="20"/>
        </w:rPr>
        <w:t xml:space="preserve">LVV </w:t>
      </w:r>
      <w:r w:rsidR="003A48F9">
        <w:rPr>
          <w:rFonts w:ascii="Segoe UI" w:hAnsi="Segoe UI" w:cs="Segoe UI"/>
          <w:b/>
          <w:sz w:val="20"/>
          <w:szCs w:val="20"/>
        </w:rPr>
        <w:t>možno zjednodušene chápať ako</w:t>
      </w:r>
      <w:r w:rsidRPr="00FC5C3F">
        <w:rPr>
          <w:rFonts w:ascii="Segoe UI" w:hAnsi="Segoe UI" w:cs="Segoe UI"/>
          <w:b/>
          <w:sz w:val="20"/>
          <w:szCs w:val="20"/>
        </w:rPr>
        <w:t xml:space="preserve"> najvyššiu hranicu vyvažujúcu príjmy a výdavky.</w:t>
      </w:r>
      <w:r>
        <w:rPr>
          <w:rFonts w:ascii="Segoe UI" w:hAnsi="Segoe UI" w:cs="Segoe UI"/>
          <w:sz w:val="20"/>
          <w:szCs w:val="20"/>
        </w:rPr>
        <w:t xml:space="preserve"> LVV nezahŕňa odvody EÚ, výdavky na spolufinancovanie, výsledok hospodárenia územnej samosprávy a ďalšie položky podrobnejšie popísané v boxe 1. Na druhej strane LVV zahŕňa výdavky zo ŠR, výdavky Sociálnej poisťovne, výdavky na zdravotné poistenie, železnice a ďalšie subjekty (tabuľka 2).</w:t>
      </w:r>
    </w:p>
    <w:p w14:paraId="2B106942" w14:textId="18A3271C" w:rsidR="006E077F" w:rsidRPr="00B52912" w:rsidRDefault="006E077F" w:rsidP="00EC5412">
      <w:pPr>
        <w:keepNext/>
        <w:spacing w:after="0"/>
        <w:rPr>
          <w:rFonts w:eastAsia="Calibri" w:cs="Times New Roman"/>
          <w:b/>
          <w:iCs/>
          <w:color w:val="314364"/>
          <w:szCs w:val="18"/>
        </w:rPr>
      </w:pPr>
      <w:r w:rsidRPr="00B52912">
        <w:rPr>
          <w:rFonts w:eastAsia="Calibri" w:cs="Times New Roman"/>
          <w:b/>
          <w:iCs/>
          <w:color w:val="314364"/>
          <w:szCs w:val="18"/>
        </w:rPr>
        <w:t xml:space="preserve">Tabuľka </w:t>
      </w:r>
      <w:r w:rsidR="00EC5412">
        <w:rPr>
          <w:rFonts w:eastAsia="Calibri" w:cs="Times New Roman"/>
          <w:b/>
          <w:iCs/>
          <w:color w:val="314364"/>
          <w:szCs w:val="18"/>
        </w:rPr>
        <w:t>2</w:t>
      </w:r>
      <w:r w:rsidRPr="00B52912">
        <w:rPr>
          <w:rFonts w:eastAsia="Calibri" w:cs="Times New Roman"/>
          <w:b/>
          <w:iCs/>
          <w:color w:val="314364"/>
          <w:szCs w:val="18"/>
        </w:rPr>
        <w:t xml:space="preserve">: </w:t>
      </w:r>
      <w:r>
        <w:rPr>
          <w:rFonts w:eastAsia="Calibri" w:cs="Times New Roman"/>
          <w:b/>
          <w:iCs/>
          <w:color w:val="314364"/>
          <w:szCs w:val="18"/>
        </w:rPr>
        <w:t>Subjekty verejnej správy spadajúce pod LVV nad 100 mil. eur</w:t>
      </w:r>
      <w:r w:rsidRPr="00B52912">
        <w:rPr>
          <w:rFonts w:eastAsia="Calibri" w:cs="Times New Roman"/>
          <w:b/>
          <w:iCs/>
          <w:color w:val="314364"/>
          <w:szCs w:val="18"/>
        </w:rPr>
        <w:t xml:space="preserve"> (v eurách)</w:t>
      </w:r>
    </w:p>
    <w:tbl>
      <w:tblPr>
        <w:tblW w:w="5000" w:type="pct"/>
        <w:jc w:val="center"/>
        <w:tblCellMar>
          <w:top w:w="28" w:type="dxa"/>
        </w:tblCellMar>
        <w:tblLook w:val="04A0" w:firstRow="1" w:lastRow="0" w:firstColumn="1" w:lastColumn="0" w:noHBand="0" w:noVBand="1"/>
      </w:tblPr>
      <w:tblGrid>
        <w:gridCol w:w="4462"/>
        <w:gridCol w:w="1536"/>
        <w:gridCol w:w="1536"/>
        <w:gridCol w:w="1536"/>
      </w:tblGrid>
      <w:tr w:rsidR="006E077F" w:rsidRPr="00344264" w14:paraId="1C32C175" w14:textId="77777777" w:rsidTr="00EC5412">
        <w:trPr>
          <w:trHeight w:val="283"/>
          <w:jc w:val="center"/>
        </w:trPr>
        <w:tc>
          <w:tcPr>
            <w:tcW w:w="2459" w:type="pct"/>
            <w:tcBorders>
              <w:bottom w:val="single" w:sz="4" w:space="0" w:color="314364"/>
            </w:tcBorders>
            <w:shd w:val="clear" w:color="auto" w:fill="314364"/>
            <w:vAlign w:val="center"/>
          </w:tcPr>
          <w:p w14:paraId="2FA2C392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b/>
                <w:color w:val="FFFFFF"/>
                <w:sz w:val="18"/>
                <w:szCs w:val="18"/>
              </w:rPr>
            </w:pPr>
          </w:p>
        </w:tc>
        <w:tc>
          <w:tcPr>
            <w:tcW w:w="847" w:type="pct"/>
            <w:tcBorders>
              <w:bottom w:val="single" w:sz="4" w:space="0" w:color="314364"/>
            </w:tcBorders>
            <w:shd w:val="clear" w:color="auto" w:fill="314364"/>
            <w:vAlign w:val="center"/>
          </w:tcPr>
          <w:p w14:paraId="12359388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b/>
                <w:color w:val="FFFFFF"/>
                <w:sz w:val="18"/>
                <w:szCs w:val="18"/>
              </w:rPr>
            </w:pPr>
            <w:r w:rsidRPr="00344264">
              <w:rPr>
                <w:rFonts w:eastAsia="Calibri" w:cs="Segoe UI"/>
                <w:b/>
                <w:color w:val="FFFFFF"/>
                <w:sz w:val="18"/>
                <w:szCs w:val="18"/>
              </w:rPr>
              <w:t>2024</w:t>
            </w:r>
          </w:p>
        </w:tc>
        <w:tc>
          <w:tcPr>
            <w:tcW w:w="847" w:type="pct"/>
            <w:tcBorders>
              <w:bottom w:val="single" w:sz="4" w:space="0" w:color="314364"/>
            </w:tcBorders>
            <w:shd w:val="clear" w:color="auto" w:fill="314364"/>
            <w:vAlign w:val="center"/>
          </w:tcPr>
          <w:p w14:paraId="2C697391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b/>
                <w:color w:val="FFFFFF"/>
                <w:sz w:val="18"/>
                <w:szCs w:val="18"/>
              </w:rPr>
            </w:pPr>
            <w:r w:rsidRPr="00344264">
              <w:rPr>
                <w:rFonts w:eastAsia="Calibri" w:cs="Segoe UI"/>
                <w:b/>
                <w:color w:val="FFFFFF"/>
                <w:sz w:val="18"/>
                <w:szCs w:val="18"/>
              </w:rPr>
              <w:t>2025</w:t>
            </w:r>
          </w:p>
        </w:tc>
        <w:tc>
          <w:tcPr>
            <w:tcW w:w="847" w:type="pct"/>
            <w:tcBorders>
              <w:bottom w:val="single" w:sz="4" w:space="0" w:color="314364"/>
            </w:tcBorders>
            <w:shd w:val="clear" w:color="auto" w:fill="314364"/>
            <w:vAlign w:val="center"/>
          </w:tcPr>
          <w:p w14:paraId="64834D20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b/>
                <w:color w:val="FFFFFF"/>
                <w:sz w:val="18"/>
                <w:szCs w:val="18"/>
              </w:rPr>
            </w:pPr>
            <w:r w:rsidRPr="00344264">
              <w:rPr>
                <w:rFonts w:eastAsia="Calibri" w:cs="Segoe UI"/>
                <w:b/>
                <w:color w:val="FFFFFF"/>
                <w:sz w:val="18"/>
                <w:szCs w:val="18"/>
              </w:rPr>
              <w:t>2026</w:t>
            </w:r>
          </w:p>
        </w:tc>
      </w:tr>
      <w:tr w:rsidR="006E077F" w:rsidRPr="00344264" w14:paraId="23061A7C" w14:textId="77777777" w:rsidTr="00EC5412">
        <w:trPr>
          <w:trHeight w:val="283"/>
          <w:jc w:val="center"/>
        </w:trPr>
        <w:tc>
          <w:tcPr>
            <w:tcW w:w="2459" w:type="pct"/>
            <w:vAlign w:val="center"/>
          </w:tcPr>
          <w:p w14:paraId="62347081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b/>
                <w:sz w:val="18"/>
                <w:szCs w:val="18"/>
              </w:rPr>
            </w:pPr>
            <w:r w:rsidRPr="00344264">
              <w:rPr>
                <w:rFonts w:eastAsia="Calibri" w:cs="Segoe UI"/>
                <w:b/>
                <w:sz w:val="18"/>
                <w:szCs w:val="18"/>
              </w:rPr>
              <w:t xml:space="preserve">Limit verejných výdavkov </w:t>
            </w:r>
          </w:p>
        </w:tc>
        <w:tc>
          <w:tcPr>
            <w:tcW w:w="847" w:type="pct"/>
            <w:vAlign w:val="center"/>
          </w:tcPr>
          <w:p w14:paraId="10CCFE40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b/>
                <w:sz w:val="18"/>
                <w:szCs w:val="18"/>
              </w:rPr>
            </w:pPr>
            <w:r w:rsidRPr="00344264">
              <w:rPr>
                <w:rFonts w:eastAsia="Calibri" w:cs="Segoe UI"/>
                <w:b/>
                <w:sz w:val="18"/>
                <w:szCs w:val="18"/>
              </w:rPr>
              <w:t>38 309 131 586</w:t>
            </w:r>
          </w:p>
        </w:tc>
        <w:tc>
          <w:tcPr>
            <w:tcW w:w="847" w:type="pct"/>
            <w:vAlign w:val="center"/>
          </w:tcPr>
          <w:p w14:paraId="23429A9E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b/>
                <w:sz w:val="18"/>
                <w:szCs w:val="18"/>
              </w:rPr>
            </w:pPr>
            <w:r w:rsidRPr="00344264">
              <w:rPr>
                <w:rFonts w:eastAsia="Calibri" w:cs="Segoe UI"/>
                <w:b/>
                <w:sz w:val="18"/>
                <w:szCs w:val="18"/>
              </w:rPr>
              <w:t>38 463 728 682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D32702C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b/>
                <w:sz w:val="18"/>
                <w:szCs w:val="18"/>
              </w:rPr>
            </w:pPr>
            <w:r w:rsidRPr="00344264">
              <w:rPr>
                <w:rFonts w:eastAsia="Calibri" w:cs="Segoe UI"/>
                <w:b/>
                <w:sz w:val="18"/>
                <w:szCs w:val="18"/>
              </w:rPr>
              <w:t>39 402 550 668</w:t>
            </w:r>
          </w:p>
        </w:tc>
      </w:tr>
      <w:tr w:rsidR="006E077F" w:rsidRPr="00344264" w14:paraId="2424A7FB" w14:textId="77777777" w:rsidTr="00EC5412">
        <w:trPr>
          <w:trHeight w:val="283"/>
          <w:jc w:val="center"/>
        </w:trPr>
        <w:tc>
          <w:tcPr>
            <w:tcW w:w="2459" w:type="pct"/>
            <w:vAlign w:val="center"/>
          </w:tcPr>
          <w:p w14:paraId="3C32BA00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Štátny rozpočet</w:t>
            </w:r>
          </w:p>
        </w:tc>
        <w:tc>
          <w:tcPr>
            <w:tcW w:w="847" w:type="pct"/>
            <w:vAlign w:val="center"/>
          </w:tcPr>
          <w:p w14:paraId="01165943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15 964 543 949</w:t>
            </w:r>
          </w:p>
        </w:tc>
        <w:tc>
          <w:tcPr>
            <w:tcW w:w="847" w:type="pct"/>
            <w:vAlign w:val="center"/>
          </w:tcPr>
          <w:p w14:paraId="516B08D9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15 644 077 630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23F5ECD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15 669 260 824</w:t>
            </w:r>
          </w:p>
        </w:tc>
      </w:tr>
      <w:tr w:rsidR="006E077F" w:rsidRPr="00344264" w14:paraId="3A061D35" w14:textId="77777777" w:rsidTr="00EC5412">
        <w:trPr>
          <w:trHeight w:val="283"/>
          <w:jc w:val="center"/>
        </w:trPr>
        <w:tc>
          <w:tcPr>
            <w:tcW w:w="2459" w:type="pct"/>
            <w:vAlign w:val="center"/>
          </w:tcPr>
          <w:p w14:paraId="2D4D02EE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Sociálna poisťovňa</w:t>
            </w:r>
          </w:p>
        </w:tc>
        <w:tc>
          <w:tcPr>
            <w:tcW w:w="847" w:type="pct"/>
            <w:vAlign w:val="center"/>
          </w:tcPr>
          <w:p w14:paraId="7E762785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12 986 278 964</w:t>
            </w:r>
          </w:p>
        </w:tc>
        <w:tc>
          <w:tcPr>
            <w:tcW w:w="847" w:type="pct"/>
            <w:vAlign w:val="center"/>
          </w:tcPr>
          <w:p w14:paraId="15D708F6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13 825 469 895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57F91B7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14 003 990 015</w:t>
            </w:r>
          </w:p>
        </w:tc>
      </w:tr>
      <w:tr w:rsidR="006E077F" w:rsidRPr="00344264" w14:paraId="4BD8375B" w14:textId="77777777" w:rsidTr="00EC5412">
        <w:trPr>
          <w:trHeight w:val="283"/>
          <w:jc w:val="center"/>
        </w:trPr>
        <w:tc>
          <w:tcPr>
            <w:tcW w:w="2459" w:type="pct"/>
            <w:vAlign w:val="center"/>
          </w:tcPr>
          <w:p w14:paraId="179B3A52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Verejné zdravotné poistenie</w:t>
            </w:r>
          </w:p>
        </w:tc>
        <w:tc>
          <w:tcPr>
            <w:tcW w:w="847" w:type="pct"/>
            <w:vAlign w:val="center"/>
          </w:tcPr>
          <w:p w14:paraId="39191AE1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4 765 738 989</w:t>
            </w:r>
          </w:p>
        </w:tc>
        <w:tc>
          <w:tcPr>
            <w:tcW w:w="847" w:type="pct"/>
            <w:vAlign w:val="center"/>
          </w:tcPr>
          <w:p w14:paraId="13290155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4 858 804 216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2724DA52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5 205 057 946</w:t>
            </w:r>
          </w:p>
        </w:tc>
      </w:tr>
      <w:tr w:rsidR="006E077F" w:rsidRPr="00344264" w14:paraId="4691E0DA" w14:textId="77777777" w:rsidTr="00EC5412">
        <w:trPr>
          <w:trHeight w:val="283"/>
          <w:jc w:val="center"/>
        </w:trPr>
        <w:tc>
          <w:tcPr>
            <w:tcW w:w="2459" w:type="pct"/>
            <w:vAlign w:val="center"/>
          </w:tcPr>
          <w:p w14:paraId="40D08768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Zdravotnícke zariadenia zaradené v ústrednej správe</w:t>
            </w:r>
          </w:p>
        </w:tc>
        <w:tc>
          <w:tcPr>
            <w:tcW w:w="847" w:type="pct"/>
            <w:vAlign w:val="center"/>
          </w:tcPr>
          <w:p w14:paraId="1AE78975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2 593 846 357</w:t>
            </w:r>
          </w:p>
        </w:tc>
        <w:tc>
          <w:tcPr>
            <w:tcW w:w="847" w:type="pct"/>
            <w:vAlign w:val="center"/>
          </w:tcPr>
          <w:p w14:paraId="3F911DD4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2 741 823 688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D321D11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2 873 903 425</w:t>
            </w:r>
          </w:p>
        </w:tc>
      </w:tr>
      <w:tr w:rsidR="006E077F" w:rsidRPr="00344264" w14:paraId="6338A656" w14:textId="77777777" w:rsidTr="00EC5412">
        <w:trPr>
          <w:trHeight w:val="283"/>
          <w:jc w:val="center"/>
        </w:trPr>
        <w:tc>
          <w:tcPr>
            <w:tcW w:w="2459" w:type="pct"/>
            <w:vAlign w:val="center"/>
          </w:tcPr>
          <w:p w14:paraId="656BF691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Verejné vysoké školy</w:t>
            </w:r>
          </w:p>
        </w:tc>
        <w:tc>
          <w:tcPr>
            <w:tcW w:w="847" w:type="pct"/>
            <w:vAlign w:val="center"/>
          </w:tcPr>
          <w:p w14:paraId="79DEFDAD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447 320 657</w:t>
            </w:r>
          </w:p>
        </w:tc>
        <w:tc>
          <w:tcPr>
            <w:tcW w:w="847" w:type="pct"/>
            <w:vAlign w:val="center"/>
          </w:tcPr>
          <w:p w14:paraId="7AB6D05A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366 647 819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2640C4C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404 282 779</w:t>
            </w:r>
          </w:p>
        </w:tc>
      </w:tr>
      <w:tr w:rsidR="006E077F" w:rsidRPr="00344264" w14:paraId="6D516C60" w14:textId="77777777" w:rsidTr="00EC5412">
        <w:trPr>
          <w:trHeight w:val="283"/>
          <w:jc w:val="center"/>
        </w:trPr>
        <w:tc>
          <w:tcPr>
            <w:tcW w:w="2459" w:type="pct"/>
            <w:vAlign w:val="center"/>
          </w:tcPr>
          <w:p w14:paraId="0F520C35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Železnice Slovenskej republiky</w:t>
            </w:r>
          </w:p>
        </w:tc>
        <w:tc>
          <w:tcPr>
            <w:tcW w:w="847" w:type="pct"/>
            <w:vAlign w:val="center"/>
          </w:tcPr>
          <w:p w14:paraId="59AB145C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423 329 755</w:t>
            </w:r>
          </w:p>
        </w:tc>
        <w:tc>
          <w:tcPr>
            <w:tcW w:w="847" w:type="pct"/>
            <w:vAlign w:val="center"/>
          </w:tcPr>
          <w:p w14:paraId="1338F5BA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159 853 559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B378E0E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198 333 350</w:t>
            </w:r>
          </w:p>
        </w:tc>
      </w:tr>
      <w:tr w:rsidR="006E077F" w:rsidRPr="00344264" w14:paraId="73968143" w14:textId="77777777" w:rsidTr="00EC5412">
        <w:trPr>
          <w:trHeight w:val="283"/>
          <w:jc w:val="center"/>
        </w:trPr>
        <w:tc>
          <w:tcPr>
            <w:tcW w:w="2459" w:type="pct"/>
            <w:vAlign w:val="center"/>
          </w:tcPr>
          <w:p w14:paraId="67B78F0A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Environmentálny fond</w:t>
            </w:r>
          </w:p>
        </w:tc>
        <w:tc>
          <w:tcPr>
            <w:tcW w:w="847" w:type="pct"/>
            <w:vAlign w:val="center"/>
          </w:tcPr>
          <w:p w14:paraId="07F76FB1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283 575 065</w:t>
            </w:r>
          </w:p>
        </w:tc>
        <w:tc>
          <w:tcPr>
            <w:tcW w:w="847" w:type="pct"/>
            <w:vAlign w:val="center"/>
          </w:tcPr>
          <w:p w14:paraId="3A8492D9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321 729 582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B02557E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269 748 545</w:t>
            </w:r>
          </w:p>
        </w:tc>
      </w:tr>
      <w:tr w:rsidR="006E077F" w:rsidRPr="00344264" w14:paraId="024C7379" w14:textId="77777777" w:rsidTr="00EC5412">
        <w:trPr>
          <w:trHeight w:val="283"/>
          <w:jc w:val="center"/>
        </w:trPr>
        <w:tc>
          <w:tcPr>
            <w:tcW w:w="2459" w:type="pct"/>
            <w:vAlign w:val="center"/>
          </w:tcPr>
          <w:p w14:paraId="6FE9D3E9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Železničná spoločnosť Slovensko, a. s.</w:t>
            </w:r>
          </w:p>
        </w:tc>
        <w:tc>
          <w:tcPr>
            <w:tcW w:w="847" w:type="pct"/>
            <w:vAlign w:val="center"/>
          </w:tcPr>
          <w:p w14:paraId="78737320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214 169 400</w:t>
            </w:r>
          </w:p>
        </w:tc>
        <w:tc>
          <w:tcPr>
            <w:tcW w:w="847" w:type="pct"/>
            <w:vAlign w:val="center"/>
          </w:tcPr>
          <w:p w14:paraId="0014789B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98 312 606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2C638E07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178 140 600</w:t>
            </w:r>
          </w:p>
        </w:tc>
      </w:tr>
      <w:tr w:rsidR="006E077F" w:rsidRPr="00344264" w14:paraId="63601374" w14:textId="77777777" w:rsidTr="00EC5412">
        <w:trPr>
          <w:trHeight w:val="283"/>
          <w:jc w:val="center"/>
        </w:trPr>
        <w:tc>
          <w:tcPr>
            <w:tcW w:w="2459" w:type="pct"/>
            <w:vAlign w:val="center"/>
          </w:tcPr>
          <w:p w14:paraId="49F68A4D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Jadrová a vyraďovacia spoločnosť, a. s.</w:t>
            </w:r>
          </w:p>
        </w:tc>
        <w:tc>
          <w:tcPr>
            <w:tcW w:w="847" w:type="pct"/>
            <w:vAlign w:val="center"/>
          </w:tcPr>
          <w:p w14:paraId="12247F4C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126 587 515</w:t>
            </w:r>
          </w:p>
        </w:tc>
        <w:tc>
          <w:tcPr>
            <w:tcW w:w="847" w:type="pct"/>
            <w:vAlign w:val="center"/>
          </w:tcPr>
          <w:p w14:paraId="1D34507E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81 210 825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B00A8FE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162 459 419</w:t>
            </w:r>
          </w:p>
        </w:tc>
      </w:tr>
      <w:tr w:rsidR="006E077F" w:rsidRPr="00344264" w14:paraId="760186FF" w14:textId="77777777" w:rsidTr="00EC5412">
        <w:trPr>
          <w:trHeight w:val="283"/>
          <w:jc w:val="center"/>
        </w:trPr>
        <w:tc>
          <w:tcPr>
            <w:tcW w:w="2459" w:type="pct"/>
            <w:vAlign w:val="center"/>
          </w:tcPr>
          <w:p w14:paraId="77D73AA7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Rezerva podľa § 30aa ods. 5 zákona č. 523/2004 Z. z.</w:t>
            </w:r>
          </w:p>
        </w:tc>
        <w:tc>
          <w:tcPr>
            <w:tcW w:w="847" w:type="pct"/>
            <w:vAlign w:val="center"/>
          </w:tcPr>
          <w:p w14:paraId="16F21FFE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117 544 850</w:t>
            </w:r>
          </w:p>
        </w:tc>
        <w:tc>
          <w:tcPr>
            <w:tcW w:w="847" w:type="pct"/>
            <w:vAlign w:val="center"/>
          </w:tcPr>
          <w:p w14:paraId="61C2088C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120 300 762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BCEC251" w14:textId="77777777" w:rsidR="006E077F" w:rsidRPr="00344264" w:rsidRDefault="006E077F" w:rsidP="00EC5412">
            <w:pPr>
              <w:spacing w:after="0" w:line="259" w:lineRule="auto"/>
              <w:jc w:val="right"/>
              <w:rPr>
                <w:rFonts w:eastAsia="Calibri" w:cs="Segoe UI"/>
                <w:sz w:val="18"/>
                <w:szCs w:val="18"/>
              </w:rPr>
            </w:pPr>
            <w:r w:rsidRPr="00344264">
              <w:rPr>
                <w:rFonts w:eastAsia="Calibri" w:cs="Segoe UI"/>
                <w:sz w:val="18"/>
                <w:szCs w:val="18"/>
              </w:rPr>
              <w:t>126 484 844</w:t>
            </w:r>
          </w:p>
        </w:tc>
      </w:tr>
      <w:tr w:rsidR="006E077F" w:rsidRPr="00344264" w14:paraId="725558E1" w14:textId="77777777" w:rsidTr="00EC5412">
        <w:trPr>
          <w:trHeight w:val="283"/>
          <w:jc w:val="center"/>
        </w:trPr>
        <w:tc>
          <w:tcPr>
            <w:tcW w:w="2459" w:type="pct"/>
            <w:tcBorders>
              <w:bottom w:val="single" w:sz="4" w:space="0" w:color="314364"/>
            </w:tcBorders>
            <w:vAlign w:val="center"/>
          </w:tcPr>
          <w:p w14:paraId="33A4E24B" w14:textId="77777777" w:rsidR="006E077F" w:rsidRPr="00344264" w:rsidRDefault="006E077F" w:rsidP="00EC5412">
            <w:pPr>
              <w:spacing w:after="0" w:line="259" w:lineRule="auto"/>
              <w:rPr>
                <w:rFonts w:eastAsia="Calibri" w:cs="Segoe UI"/>
                <w:i/>
                <w:sz w:val="18"/>
                <w:szCs w:val="18"/>
              </w:rPr>
            </w:pPr>
            <w:r w:rsidRPr="00344264">
              <w:rPr>
                <w:rFonts w:eastAsia="Calibri" w:cs="Segoe UI"/>
                <w:i/>
                <w:sz w:val="18"/>
                <w:szCs w:val="18"/>
              </w:rPr>
              <w:t>Ďalšie subjekty spadajúce pod limit</w:t>
            </w:r>
          </w:p>
        </w:tc>
        <w:tc>
          <w:tcPr>
            <w:tcW w:w="847" w:type="pct"/>
            <w:tcBorders>
              <w:bottom w:val="single" w:sz="4" w:space="0" w:color="314364"/>
            </w:tcBorders>
            <w:vAlign w:val="center"/>
          </w:tcPr>
          <w:p w14:paraId="578A2240" w14:textId="77777777" w:rsidR="006E077F" w:rsidRPr="00344264" w:rsidRDefault="006E077F" w:rsidP="00EC5412">
            <w:pPr>
              <w:spacing w:after="0"/>
              <w:jc w:val="right"/>
              <w:rPr>
                <w:rFonts w:cs="Segoe UI"/>
                <w:i/>
                <w:color w:val="000000"/>
                <w:sz w:val="18"/>
                <w:szCs w:val="18"/>
              </w:rPr>
            </w:pPr>
            <w:r w:rsidRPr="00344264">
              <w:rPr>
                <w:rFonts w:cs="Segoe UI"/>
                <w:i/>
                <w:color w:val="000000"/>
                <w:sz w:val="18"/>
                <w:szCs w:val="18"/>
              </w:rPr>
              <w:t>386 196 085</w:t>
            </w:r>
          </w:p>
        </w:tc>
        <w:tc>
          <w:tcPr>
            <w:tcW w:w="847" w:type="pct"/>
            <w:tcBorders>
              <w:bottom w:val="single" w:sz="4" w:space="0" w:color="314364"/>
            </w:tcBorders>
            <w:vAlign w:val="center"/>
          </w:tcPr>
          <w:p w14:paraId="6950C445" w14:textId="77777777" w:rsidR="006E077F" w:rsidRPr="00344264" w:rsidRDefault="006E077F" w:rsidP="00EC5412">
            <w:pPr>
              <w:spacing w:after="0"/>
              <w:jc w:val="right"/>
              <w:rPr>
                <w:rFonts w:cs="Segoe UI"/>
                <w:i/>
                <w:color w:val="000000"/>
                <w:sz w:val="18"/>
                <w:szCs w:val="18"/>
              </w:rPr>
            </w:pPr>
            <w:r w:rsidRPr="00344264">
              <w:rPr>
                <w:rFonts w:cs="Segoe UI"/>
                <w:i/>
                <w:color w:val="000000"/>
                <w:sz w:val="18"/>
                <w:szCs w:val="18"/>
              </w:rPr>
              <w:t>245 498 100</w:t>
            </w:r>
          </w:p>
        </w:tc>
        <w:tc>
          <w:tcPr>
            <w:tcW w:w="847" w:type="pct"/>
            <w:tcBorders>
              <w:bottom w:val="single" w:sz="4" w:space="0" w:color="314364"/>
            </w:tcBorders>
            <w:shd w:val="clear" w:color="auto" w:fill="auto"/>
            <w:vAlign w:val="center"/>
          </w:tcPr>
          <w:p w14:paraId="5A866ECB" w14:textId="77777777" w:rsidR="006E077F" w:rsidRPr="00344264" w:rsidRDefault="006E077F" w:rsidP="00EC5412">
            <w:pPr>
              <w:spacing w:after="0"/>
              <w:jc w:val="right"/>
              <w:rPr>
                <w:rFonts w:cs="Segoe UI"/>
                <w:i/>
                <w:color w:val="000000"/>
                <w:sz w:val="18"/>
                <w:szCs w:val="18"/>
              </w:rPr>
            </w:pPr>
            <w:r w:rsidRPr="00344264">
              <w:rPr>
                <w:rFonts w:cs="Segoe UI"/>
                <w:i/>
                <w:color w:val="000000"/>
                <w:sz w:val="18"/>
                <w:szCs w:val="18"/>
              </w:rPr>
              <w:t>310 888 921</w:t>
            </w:r>
          </w:p>
        </w:tc>
      </w:tr>
    </w:tbl>
    <w:p w14:paraId="69F14315" w14:textId="77777777" w:rsidR="008044E9" w:rsidRDefault="006E077F" w:rsidP="008044E9">
      <w:pPr>
        <w:pStyle w:val="Bezriadkovania"/>
        <w:spacing w:after="120" w:line="276" w:lineRule="auto"/>
        <w:jc w:val="both"/>
        <w:rPr>
          <w:rFonts w:ascii="Segoe UI" w:eastAsia="Calibri" w:hAnsi="Segoe UI" w:cs="Times New Roman"/>
          <w:i/>
          <w:color w:val="314364"/>
          <w:sz w:val="16"/>
          <w:lang w:eastAsia="en-US"/>
        </w:rPr>
      </w:pPr>
      <w:r w:rsidRPr="00B52912">
        <w:rPr>
          <w:rFonts w:ascii="Segoe UI" w:eastAsia="Calibri" w:hAnsi="Segoe UI" w:cs="Times New Roman"/>
          <w:i/>
          <w:color w:val="314364"/>
          <w:sz w:val="16"/>
          <w:lang w:eastAsia="en-US"/>
        </w:rPr>
        <w:t xml:space="preserve">Zdroj: </w:t>
      </w:r>
      <w:r>
        <w:rPr>
          <w:rFonts w:ascii="Segoe UI" w:eastAsia="Calibri" w:hAnsi="Segoe UI" w:cs="Times New Roman"/>
          <w:i/>
          <w:color w:val="314364"/>
          <w:sz w:val="16"/>
          <w:lang w:eastAsia="en-US"/>
        </w:rPr>
        <w:t>návrh RVS 2024-2026</w:t>
      </w:r>
      <w:r w:rsidR="008044E9">
        <w:rPr>
          <w:rFonts w:ascii="Segoe UI" w:eastAsia="Calibri" w:hAnsi="Segoe UI" w:cs="Times New Roman"/>
          <w:i/>
          <w:color w:val="314364"/>
          <w:sz w:val="16"/>
          <w:lang w:eastAsia="en-US"/>
        </w:rPr>
        <w:t xml:space="preserve">, spracovanie NKÚ SR </w:t>
      </w:r>
    </w:p>
    <w:p w14:paraId="50BC76C4" w14:textId="2DF7471F" w:rsidR="00435210" w:rsidRDefault="003D1B82" w:rsidP="008044E9">
      <w:pPr>
        <w:pStyle w:val="Bezriadkovania"/>
        <w:spacing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3D1B82">
        <w:rPr>
          <w:rFonts w:ascii="Segoe UI" w:hAnsi="Segoe UI" w:cs="Segoe UI"/>
          <w:b/>
          <w:sz w:val="20"/>
          <w:szCs w:val="20"/>
        </w:rPr>
        <w:t xml:space="preserve">LVV je vykazovaný na akruálnom základe, pričom ŠR je na hotovostnom základe. </w:t>
      </w:r>
      <w:r>
        <w:rPr>
          <w:rFonts w:ascii="Segoe UI" w:hAnsi="Segoe UI" w:cs="Segoe UI"/>
          <w:sz w:val="20"/>
          <w:szCs w:val="20"/>
        </w:rPr>
        <w:t xml:space="preserve">To znamená, že napríklad celkové výdavky ŠR </w:t>
      </w:r>
      <w:r w:rsidRPr="00793ED3">
        <w:rPr>
          <w:rFonts w:ascii="Segoe UI" w:hAnsi="Segoe UI" w:cs="Segoe UI"/>
          <w:sz w:val="20"/>
          <w:szCs w:val="20"/>
        </w:rPr>
        <w:t>na rok 2024 sa</w:t>
      </w:r>
      <w:r>
        <w:rPr>
          <w:rFonts w:ascii="Segoe UI" w:hAnsi="Segoe UI" w:cs="Segoe UI"/>
          <w:sz w:val="20"/>
          <w:szCs w:val="20"/>
        </w:rPr>
        <w:t xml:space="preserve"> v návrhu</w:t>
      </w:r>
      <w:r w:rsidRPr="00793ED3">
        <w:rPr>
          <w:rFonts w:ascii="Segoe UI" w:hAnsi="Segoe UI" w:cs="Segoe UI"/>
          <w:sz w:val="20"/>
          <w:szCs w:val="20"/>
        </w:rPr>
        <w:t xml:space="preserve"> určujú sumou 22</w:t>
      </w:r>
      <w:r>
        <w:rPr>
          <w:rFonts w:ascii="Segoe UI" w:hAnsi="Segoe UI" w:cs="Segoe UI"/>
          <w:sz w:val="20"/>
          <w:szCs w:val="20"/>
        </w:rPr>
        <w:t xml:space="preserve"> mld. eur (na hotovostnej báze), no LVV pre ŠR je o 6 mld. nižší, na úrovni 16 mld. eur (na akruálnej báze). Rozdiel vychádza okrem samotnej akrualizácie aj z podstaty výpočtu a vykazovania, keď spomínané výdavky ŠR na spolufinancovanie či transfer Sociálnej poisťovni nie sú súčasťou limitu ŠR.</w:t>
      </w:r>
    </w:p>
    <w:p w14:paraId="02703653" w14:textId="31799B9F" w:rsidR="00B9405C" w:rsidRDefault="00B9405C" w:rsidP="008044E9">
      <w:pPr>
        <w:pStyle w:val="Bezriadkovania"/>
        <w:spacing w:after="120" w:line="276" w:lineRule="auto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Mriekatabuky1"/>
        <w:tblW w:w="0" w:type="auto"/>
        <w:tblBorders>
          <w:top w:val="single" w:sz="4" w:space="0" w:color="314364"/>
          <w:left w:val="single" w:sz="4" w:space="0" w:color="314364"/>
          <w:bottom w:val="single" w:sz="4" w:space="0" w:color="314364"/>
          <w:right w:val="single" w:sz="4" w:space="0" w:color="314364"/>
          <w:insideH w:val="none" w:sz="0" w:space="0" w:color="auto"/>
          <w:insideV w:val="none" w:sz="0" w:space="0" w:color="auto"/>
        </w:tblBorders>
        <w:shd w:val="clear" w:color="auto" w:fill="EBF0FB"/>
        <w:tblLook w:val="04A0" w:firstRow="1" w:lastRow="0" w:firstColumn="1" w:lastColumn="0" w:noHBand="0" w:noVBand="1"/>
      </w:tblPr>
      <w:tblGrid>
        <w:gridCol w:w="9060"/>
      </w:tblGrid>
      <w:tr w:rsidR="006E077F" w:rsidRPr="002772DE" w14:paraId="548556EA" w14:textId="77777777" w:rsidTr="003244B5">
        <w:tc>
          <w:tcPr>
            <w:tcW w:w="9060" w:type="dxa"/>
            <w:shd w:val="clear" w:color="auto" w:fill="EBF0FB"/>
          </w:tcPr>
          <w:p w14:paraId="5697F4AE" w14:textId="73A4892F" w:rsidR="006E077F" w:rsidRPr="002772DE" w:rsidRDefault="003C1F82" w:rsidP="003244B5">
            <w:pPr>
              <w:spacing w:before="120"/>
              <w:ind w:right="16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Box 1</w:t>
            </w:r>
            <w:r w:rsidR="006E077F" w:rsidRPr="002772DE">
              <w:rPr>
                <w:rFonts w:cs="Times New Roman"/>
                <w:b/>
              </w:rPr>
              <w:t xml:space="preserve">: </w:t>
            </w:r>
            <w:r w:rsidR="006E077F">
              <w:rPr>
                <w:rFonts w:cs="Times New Roman"/>
                <w:b/>
              </w:rPr>
              <w:t>V</w:t>
            </w:r>
            <w:r w:rsidR="006E077F" w:rsidRPr="002772DE">
              <w:rPr>
                <w:rFonts w:cs="Times New Roman"/>
                <w:b/>
              </w:rPr>
              <w:t>ýpoč</w:t>
            </w:r>
            <w:r w:rsidR="006E077F">
              <w:rPr>
                <w:rFonts w:cs="Times New Roman"/>
                <w:b/>
              </w:rPr>
              <w:t>e</w:t>
            </w:r>
            <w:r w:rsidR="006E077F" w:rsidRPr="002772DE">
              <w:rPr>
                <w:rFonts w:cs="Times New Roman"/>
                <w:b/>
              </w:rPr>
              <w:t>t limitu verejných výdavkov</w:t>
            </w:r>
          </w:p>
          <w:p w14:paraId="1E92A954" w14:textId="6B61181E" w:rsidR="006E077F" w:rsidRPr="002772DE" w:rsidRDefault="006E077F" w:rsidP="003244B5">
            <w:pPr>
              <w:rPr>
                <w:rFonts w:eastAsia="Times New Roman" w:cs="Segoe UI"/>
                <w:sz w:val="18"/>
                <w:szCs w:val="20"/>
              </w:rPr>
            </w:pPr>
            <w:r w:rsidRPr="002772DE">
              <w:rPr>
                <w:rFonts w:eastAsia="Times New Roman" w:cs="Segoe UI"/>
                <w:b/>
                <w:sz w:val="18"/>
                <w:szCs w:val="20"/>
              </w:rPr>
              <w:t>Rámce výpočtu LVV sú uvedené v §30aa zákona o rozpočtových pravidlách VS a ďalej špecifikované v metodike RRZ.</w:t>
            </w:r>
            <w:r w:rsidRPr="002772DE">
              <w:rPr>
                <w:rFonts w:eastAsia="Times New Roman" w:cs="Segoe UI"/>
                <w:sz w:val="18"/>
                <w:szCs w:val="20"/>
              </w:rPr>
              <w:t xml:space="preserve"> LVV sa počíta zo zápornej hodnoty plánovaného salda VS upraveného o vplyv hospodárskeho cyklu a o jednorazové vplyvy, od ktorého sa odpočítajú výdavky na správu dlhu VS, odvod do rozpočtu EÚ a spolufinancovanie. Pripočíta sa predpokladaný výsledok hospodárenia územnej samosprávy, predpokladané daňové príjmy vrátane príjmov poistných fondov, upravené o vplyv hospodárskeho cyklu a jednorazové vplyvy, predpokladané nedaňové príjmy, granty a transfery upravené o jednorazové vplyvy okrem prostriedkov z</w:t>
            </w:r>
            <w:r w:rsidR="00F20331">
              <w:rPr>
                <w:rFonts w:eastAsia="Times New Roman" w:cs="Segoe UI"/>
                <w:sz w:val="18"/>
                <w:szCs w:val="20"/>
              </w:rPr>
              <w:t> </w:t>
            </w:r>
            <w:r w:rsidRPr="002772DE">
              <w:rPr>
                <w:rFonts w:eastAsia="Times New Roman" w:cs="Segoe UI"/>
                <w:sz w:val="18"/>
                <w:szCs w:val="20"/>
              </w:rPr>
              <w:t xml:space="preserve">rozpočtu EÚ. V rámci LVV sa rozpočtujú v čase </w:t>
            </w:r>
            <w:r w:rsidR="003A4E42">
              <w:rPr>
                <w:rFonts w:eastAsia="Times New Roman" w:cs="Segoe UI"/>
                <w:sz w:val="18"/>
                <w:szCs w:val="20"/>
              </w:rPr>
              <w:t>rastúce</w:t>
            </w:r>
            <w:r w:rsidRPr="002772DE">
              <w:rPr>
                <w:rFonts w:eastAsia="Times New Roman" w:cs="Segoe UI"/>
                <w:sz w:val="18"/>
                <w:szCs w:val="20"/>
              </w:rPr>
              <w:t xml:space="preserve"> rezervy tak, aby sa zabezpečilo krytie nepredvídaných rozpočtových vplyvov. Numerický výpočet LVV prezentuje tabuľka </w:t>
            </w:r>
            <w:r w:rsidR="00800CD1">
              <w:rPr>
                <w:rFonts w:eastAsia="Times New Roman" w:cs="Segoe UI"/>
                <w:sz w:val="18"/>
                <w:szCs w:val="20"/>
              </w:rPr>
              <w:t>3</w:t>
            </w:r>
            <w:r w:rsidRPr="002772DE">
              <w:rPr>
                <w:rFonts w:eastAsia="Times New Roman" w:cs="Segoe UI"/>
                <w:sz w:val="18"/>
                <w:szCs w:val="20"/>
              </w:rPr>
              <w:t>.</w:t>
            </w:r>
          </w:p>
          <w:p w14:paraId="7B76C77D" w14:textId="15A3A0EF" w:rsidR="006E077F" w:rsidRPr="002772DE" w:rsidRDefault="006E077F" w:rsidP="00191436">
            <w:pPr>
              <w:keepNext/>
              <w:spacing w:after="0"/>
              <w:rPr>
                <w:rFonts w:cs="Times New Roman"/>
                <w:b/>
                <w:iCs/>
                <w:color w:val="314364"/>
                <w:sz w:val="18"/>
                <w:szCs w:val="18"/>
              </w:rPr>
            </w:pPr>
            <w:r w:rsidRPr="002772DE">
              <w:rPr>
                <w:rFonts w:cs="Times New Roman"/>
                <w:b/>
                <w:iCs/>
                <w:color w:val="314364"/>
                <w:sz w:val="18"/>
                <w:szCs w:val="18"/>
              </w:rPr>
              <w:t xml:space="preserve">Tabuľka </w:t>
            </w:r>
            <w:r w:rsidR="00800CD1">
              <w:rPr>
                <w:rFonts w:cs="Times New Roman"/>
                <w:b/>
                <w:iCs/>
                <w:color w:val="314364"/>
                <w:sz w:val="18"/>
                <w:szCs w:val="18"/>
              </w:rPr>
              <w:t>3</w:t>
            </w:r>
            <w:r w:rsidRPr="002772DE">
              <w:rPr>
                <w:rFonts w:cs="Times New Roman"/>
                <w:b/>
                <w:iCs/>
                <w:color w:val="314364"/>
                <w:sz w:val="18"/>
                <w:szCs w:val="18"/>
              </w:rPr>
              <w:t xml:space="preserve">: Výpočet limitu verejných výdavkov schválený NR SR 1. 2. 2023 </w:t>
            </w:r>
          </w:p>
          <w:tbl>
            <w:tblPr>
              <w:tblW w:w="5000" w:type="pct"/>
              <w:jc w:val="center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3869"/>
              <w:gridCol w:w="1660"/>
              <w:gridCol w:w="1659"/>
              <w:gridCol w:w="1656"/>
            </w:tblGrid>
            <w:tr w:rsidR="006E077F" w:rsidRPr="00800CD1" w14:paraId="3F4E44C3" w14:textId="77777777" w:rsidTr="003244B5">
              <w:trPr>
                <w:trHeight w:val="283"/>
                <w:tblHeader/>
                <w:jc w:val="center"/>
              </w:trPr>
              <w:tc>
                <w:tcPr>
                  <w:tcW w:w="2187" w:type="pct"/>
                  <w:tcBorders>
                    <w:bottom w:val="single" w:sz="4" w:space="0" w:color="314364"/>
                  </w:tcBorders>
                  <w:shd w:val="clear" w:color="auto" w:fill="314364"/>
                  <w:vAlign w:val="center"/>
                </w:tcPr>
                <w:p w14:paraId="16D00DA9" w14:textId="77777777" w:rsidR="006E077F" w:rsidRPr="00800CD1" w:rsidRDefault="006E077F" w:rsidP="00191436">
                  <w:pPr>
                    <w:spacing w:after="0" w:line="259" w:lineRule="auto"/>
                    <w:rPr>
                      <w:rFonts w:eastAsia="Calibri" w:cs="Segoe UI"/>
                      <w:b/>
                      <w:color w:val="FFFFFF"/>
                      <w:sz w:val="16"/>
                      <w:szCs w:val="16"/>
                    </w:rPr>
                  </w:pPr>
                </w:p>
              </w:tc>
              <w:tc>
                <w:tcPr>
                  <w:tcW w:w="938" w:type="pct"/>
                  <w:tcBorders>
                    <w:bottom w:val="single" w:sz="4" w:space="0" w:color="314364"/>
                  </w:tcBorders>
                  <w:shd w:val="clear" w:color="auto" w:fill="314364"/>
                  <w:vAlign w:val="center"/>
                </w:tcPr>
                <w:p w14:paraId="46A8BAA0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b/>
                      <w:color w:val="FFFFFF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b/>
                      <w:color w:val="FFFFFF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38" w:type="pct"/>
                  <w:tcBorders>
                    <w:bottom w:val="single" w:sz="4" w:space="0" w:color="314364"/>
                  </w:tcBorders>
                  <w:shd w:val="clear" w:color="auto" w:fill="314364"/>
                  <w:vAlign w:val="center"/>
                </w:tcPr>
                <w:p w14:paraId="520C68BC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b/>
                      <w:color w:val="FFFFFF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b/>
                      <w:color w:val="FFFFFF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36" w:type="pct"/>
                  <w:tcBorders>
                    <w:bottom w:val="single" w:sz="4" w:space="0" w:color="314364"/>
                  </w:tcBorders>
                  <w:shd w:val="clear" w:color="auto" w:fill="314364"/>
                  <w:vAlign w:val="center"/>
                </w:tcPr>
                <w:p w14:paraId="411AE19E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b/>
                      <w:color w:val="FFFFFF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b/>
                      <w:color w:val="FFFFFF"/>
                      <w:sz w:val="16"/>
                      <w:szCs w:val="16"/>
                    </w:rPr>
                    <w:t>2025</w:t>
                  </w:r>
                </w:p>
              </w:tc>
            </w:tr>
            <w:tr w:rsidR="006E077F" w:rsidRPr="00800CD1" w14:paraId="4C32A1B1" w14:textId="77777777" w:rsidTr="003244B5">
              <w:trPr>
                <w:trHeight w:val="283"/>
                <w:jc w:val="center"/>
              </w:trPr>
              <w:tc>
                <w:tcPr>
                  <w:tcW w:w="2187" w:type="pct"/>
                  <w:tcBorders>
                    <w:top w:val="single" w:sz="4" w:space="0" w:color="314364"/>
                  </w:tcBorders>
                  <w:vAlign w:val="center"/>
                </w:tcPr>
                <w:p w14:paraId="38B0C8ED" w14:textId="77777777" w:rsidR="006E077F" w:rsidRPr="00800CD1" w:rsidRDefault="006E077F" w:rsidP="00191436">
                  <w:pPr>
                    <w:spacing w:after="0" w:line="259" w:lineRule="auto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(-) Plánované štrukturálne saldo VS</w:t>
                  </w:r>
                </w:p>
              </w:tc>
              <w:tc>
                <w:tcPr>
                  <w:tcW w:w="938" w:type="pct"/>
                  <w:tcBorders>
                    <w:top w:val="single" w:sz="4" w:space="0" w:color="314364"/>
                  </w:tcBorders>
                  <w:vAlign w:val="center"/>
                </w:tcPr>
                <w:p w14:paraId="71190F00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-4 203 641 795</w:t>
                  </w:r>
                </w:p>
              </w:tc>
              <w:tc>
                <w:tcPr>
                  <w:tcW w:w="938" w:type="pct"/>
                  <w:tcBorders>
                    <w:top w:val="single" w:sz="4" w:space="0" w:color="314364"/>
                  </w:tcBorders>
                  <w:vAlign w:val="center"/>
                </w:tcPr>
                <w:p w14:paraId="69616A35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-4 728 602 743</w:t>
                  </w:r>
                </w:p>
              </w:tc>
              <w:tc>
                <w:tcPr>
                  <w:tcW w:w="936" w:type="pct"/>
                  <w:tcBorders>
                    <w:top w:val="single" w:sz="4" w:space="0" w:color="314364"/>
                  </w:tcBorders>
                  <w:shd w:val="clear" w:color="auto" w:fill="auto"/>
                  <w:vAlign w:val="center"/>
                </w:tcPr>
                <w:p w14:paraId="59347328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-4 315 331 350</w:t>
                  </w:r>
                </w:p>
              </w:tc>
            </w:tr>
            <w:tr w:rsidR="006E077F" w:rsidRPr="00800CD1" w14:paraId="4B375E0E" w14:textId="77777777" w:rsidTr="003244B5">
              <w:trPr>
                <w:trHeight w:val="283"/>
                <w:jc w:val="center"/>
              </w:trPr>
              <w:tc>
                <w:tcPr>
                  <w:tcW w:w="2187" w:type="pct"/>
                  <w:vAlign w:val="center"/>
                </w:tcPr>
                <w:p w14:paraId="4D71ED2D" w14:textId="77777777" w:rsidR="006E077F" w:rsidRPr="00800CD1" w:rsidRDefault="006E077F" w:rsidP="00191436">
                  <w:pPr>
                    <w:spacing w:after="0" w:line="259" w:lineRule="auto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(-) Konsolidované výdavky na správu dlhu VS</w:t>
                  </w:r>
                </w:p>
              </w:tc>
              <w:tc>
                <w:tcPr>
                  <w:tcW w:w="938" w:type="pct"/>
                  <w:vAlign w:val="center"/>
                </w:tcPr>
                <w:p w14:paraId="26A4A413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1 304 966 774</w:t>
                  </w:r>
                </w:p>
              </w:tc>
              <w:tc>
                <w:tcPr>
                  <w:tcW w:w="938" w:type="pct"/>
                  <w:vAlign w:val="center"/>
                </w:tcPr>
                <w:p w14:paraId="153746BF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1 645 060 256</w:t>
                  </w:r>
                </w:p>
              </w:tc>
              <w:tc>
                <w:tcPr>
                  <w:tcW w:w="936" w:type="pct"/>
                  <w:shd w:val="clear" w:color="auto" w:fill="auto"/>
                  <w:vAlign w:val="center"/>
                </w:tcPr>
                <w:p w14:paraId="04A1B8B3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1 906 490 285</w:t>
                  </w:r>
                </w:p>
              </w:tc>
            </w:tr>
            <w:tr w:rsidR="006E077F" w:rsidRPr="00800CD1" w14:paraId="734D9D10" w14:textId="77777777" w:rsidTr="003244B5">
              <w:trPr>
                <w:trHeight w:val="283"/>
                <w:jc w:val="center"/>
              </w:trPr>
              <w:tc>
                <w:tcPr>
                  <w:tcW w:w="2187" w:type="pct"/>
                  <w:vAlign w:val="center"/>
                </w:tcPr>
                <w:p w14:paraId="26200D50" w14:textId="77777777" w:rsidR="006E077F" w:rsidRPr="00800CD1" w:rsidRDefault="006E077F" w:rsidP="00A20EAE">
                  <w:pPr>
                    <w:spacing w:after="0" w:line="259" w:lineRule="auto"/>
                    <w:jc w:val="lef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(-) Výdavky zo štátneho rozpočtu na spolufinancovanie</w:t>
                  </w:r>
                </w:p>
              </w:tc>
              <w:tc>
                <w:tcPr>
                  <w:tcW w:w="938" w:type="pct"/>
                  <w:vAlign w:val="center"/>
                </w:tcPr>
                <w:p w14:paraId="36AB81D1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1 302 592 333</w:t>
                  </w:r>
                </w:p>
              </w:tc>
              <w:tc>
                <w:tcPr>
                  <w:tcW w:w="938" w:type="pct"/>
                  <w:vAlign w:val="center"/>
                </w:tcPr>
                <w:p w14:paraId="6C9FFAE7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700 243 922</w:t>
                  </w:r>
                </w:p>
              </w:tc>
              <w:tc>
                <w:tcPr>
                  <w:tcW w:w="936" w:type="pct"/>
                  <w:shd w:val="clear" w:color="auto" w:fill="auto"/>
                  <w:vAlign w:val="center"/>
                </w:tcPr>
                <w:p w14:paraId="506950CD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804 072 045</w:t>
                  </w:r>
                </w:p>
              </w:tc>
            </w:tr>
            <w:tr w:rsidR="006E077F" w:rsidRPr="00800CD1" w14:paraId="75D7AD9D" w14:textId="77777777" w:rsidTr="003244B5">
              <w:trPr>
                <w:trHeight w:val="283"/>
                <w:jc w:val="center"/>
              </w:trPr>
              <w:tc>
                <w:tcPr>
                  <w:tcW w:w="2187" w:type="pct"/>
                  <w:vAlign w:val="center"/>
                </w:tcPr>
                <w:p w14:paraId="038F71CB" w14:textId="77777777" w:rsidR="006E077F" w:rsidRPr="00800CD1" w:rsidRDefault="006E077F" w:rsidP="00191436">
                  <w:pPr>
                    <w:spacing w:after="0" w:line="259" w:lineRule="auto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(-) Odvody Európskej únii</w:t>
                  </w:r>
                </w:p>
              </w:tc>
              <w:tc>
                <w:tcPr>
                  <w:tcW w:w="938" w:type="pct"/>
                  <w:vAlign w:val="center"/>
                </w:tcPr>
                <w:p w14:paraId="310D1957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1 027 581 000</w:t>
                  </w:r>
                </w:p>
              </w:tc>
              <w:tc>
                <w:tcPr>
                  <w:tcW w:w="938" w:type="pct"/>
                  <w:vAlign w:val="center"/>
                </w:tcPr>
                <w:p w14:paraId="5E91F8F8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1 049 205 000</w:t>
                  </w:r>
                </w:p>
              </w:tc>
              <w:tc>
                <w:tcPr>
                  <w:tcW w:w="936" w:type="pct"/>
                  <w:shd w:val="clear" w:color="auto" w:fill="auto"/>
                  <w:vAlign w:val="center"/>
                </w:tcPr>
                <w:p w14:paraId="21091E2F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1 098 920 000</w:t>
                  </w:r>
                </w:p>
              </w:tc>
            </w:tr>
            <w:tr w:rsidR="006E077F" w:rsidRPr="00800CD1" w14:paraId="21953151" w14:textId="77777777" w:rsidTr="003244B5">
              <w:trPr>
                <w:trHeight w:val="283"/>
                <w:jc w:val="center"/>
              </w:trPr>
              <w:tc>
                <w:tcPr>
                  <w:tcW w:w="2187" w:type="pct"/>
                  <w:vAlign w:val="center"/>
                </w:tcPr>
                <w:p w14:paraId="6E2C573E" w14:textId="77777777" w:rsidR="006E077F" w:rsidRPr="00800CD1" w:rsidRDefault="006E077F" w:rsidP="00A20EAE">
                  <w:pPr>
                    <w:spacing w:after="0" w:line="259" w:lineRule="auto"/>
                    <w:jc w:val="lef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(+) Predpokladaný výsledok hospodárenia územnej samosprávy</w:t>
                  </w:r>
                </w:p>
              </w:tc>
              <w:tc>
                <w:tcPr>
                  <w:tcW w:w="938" w:type="pct"/>
                  <w:vAlign w:val="center"/>
                </w:tcPr>
                <w:p w14:paraId="361BE56D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-113 378 927</w:t>
                  </w:r>
                </w:p>
              </w:tc>
              <w:tc>
                <w:tcPr>
                  <w:tcW w:w="938" w:type="pct"/>
                  <w:vAlign w:val="center"/>
                </w:tcPr>
                <w:p w14:paraId="673D62D5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-266 092 226</w:t>
                  </w:r>
                </w:p>
              </w:tc>
              <w:tc>
                <w:tcPr>
                  <w:tcW w:w="936" w:type="pct"/>
                  <w:shd w:val="clear" w:color="auto" w:fill="auto"/>
                  <w:vAlign w:val="center"/>
                </w:tcPr>
                <w:p w14:paraId="39057639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-44 024 680</w:t>
                  </w:r>
                </w:p>
              </w:tc>
            </w:tr>
            <w:tr w:rsidR="006E077F" w:rsidRPr="00800CD1" w14:paraId="3AF7AE06" w14:textId="77777777" w:rsidTr="003244B5">
              <w:trPr>
                <w:trHeight w:val="283"/>
                <w:jc w:val="center"/>
              </w:trPr>
              <w:tc>
                <w:tcPr>
                  <w:tcW w:w="2187" w:type="pct"/>
                  <w:vAlign w:val="center"/>
                </w:tcPr>
                <w:p w14:paraId="7391A446" w14:textId="77777777" w:rsidR="006E077F" w:rsidRPr="00800CD1" w:rsidRDefault="006E077F" w:rsidP="00A20EAE">
                  <w:pPr>
                    <w:spacing w:after="0" w:line="259" w:lineRule="auto"/>
                    <w:jc w:val="lef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(+) Predpokladané konsolidované daňové príjmy bez jednorazových, cyklu a samospráv</w:t>
                  </w:r>
                </w:p>
              </w:tc>
              <w:tc>
                <w:tcPr>
                  <w:tcW w:w="938" w:type="pct"/>
                  <w:vAlign w:val="center"/>
                </w:tcPr>
                <w:p w14:paraId="355805F2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37 758 057 838</w:t>
                  </w:r>
                </w:p>
              </w:tc>
              <w:tc>
                <w:tcPr>
                  <w:tcW w:w="938" w:type="pct"/>
                  <w:vAlign w:val="center"/>
                </w:tcPr>
                <w:p w14:paraId="0CE8D9C7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40 241 810 335</w:t>
                  </w:r>
                </w:p>
              </w:tc>
              <w:tc>
                <w:tcPr>
                  <w:tcW w:w="936" w:type="pct"/>
                  <w:shd w:val="clear" w:color="auto" w:fill="auto"/>
                  <w:vAlign w:val="center"/>
                </w:tcPr>
                <w:p w14:paraId="5BF757FF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42 113 745 137</w:t>
                  </w:r>
                </w:p>
              </w:tc>
            </w:tr>
            <w:tr w:rsidR="006E077F" w:rsidRPr="00800CD1" w14:paraId="7B19EF95" w14:textId="77777777" w:rsidTr="003244B5">
              <w:trPr>
                <w:trHeight w:val="283"/>
                <w:jc w:val="center"/>
              </w:trPr>
              <w:tc>
                <w:tcPr>
                  <w:tcW w:w="2187" w:type="pct"/>
                  <w:vAlign w:val="center"/>
                </w:tcPr>
                <w:p w14:paraId="4ADBF498" w14:textId="77777777" w:rsidR="006E077F" w:rsidRPr="00800CD1" w:rsidRDefault="006E077F" w:rsidP="00A20EAE">
                  <w:pPr>
                    <w:spacing w:after="0" w:line="259" w:lineRule="auto"/>
                    <w:jc w:val="lef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(+) Predpokladané konsolidované nedaňové príjmy bez jednorazových, EU fondov, POO a samospráv</w:t>
                  </w:r>
                </w:p>
              </w:tc>
              <w:tc>
                <w:tcPr>
                  <w:tcW w:w="938" w:type="pct"/>
                  <w:vAlign w:val="center"/>
                </w:tcPr>
                <w:p w14:paraId="734351F1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3 107 974 342</w:t>
                  </w:r>
                </w:p>
              </w:tc>
              <w:tc>
                <w:tcPr>
                  <w:tcW w:w="938" w:type="pct"/>
                  <w:vAlign w:val="center"/>
                </w:tcPr>
                <w:p w14:paraId="78AB8BE0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2 999 288 088</w:t>
                  </w:r>
                </w:p>
              </w:tc>
              <w:tc>
                <w:tcPr>
                  <w:tcW w:w="936" w:type="pct"/>
                  <w:shd w:val="clear" w:color="auto" w:fill="auto"/>
                  <w:vAlign w:val="center"/>
                </w:tcPr>
                <w:p w14:paraId="6821FDFE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3 045 913 454</w:t>
                  </w:r>
                </w:p>
              </w:tc>
            </w:tr>
            <w:tr w:rsidR="006E077F" w:rsidRPr="00800CD1" w14:paraId="2467A3B5" w14:textId="77777777" w:rsidTr="003244B5">
              <w:trPr>
                <w:trHeight w:val="283"/>
                <w:jc w:val="center"/>
              </w:trPr>
              <w:tc>
                <w:tcPr>
                  <w:tcW w:w="2187" w:type="pct"/>
                  <w:vAlign w:val="center"/>
                </w:tcPr>
                <w:p w14:paraId="2D092011" w14:textId="77777777" w:rsidR="006E077F" w:rsidRPr="00800CD1" w:rsidRDefault="006E077F" w:rsidP="00191436">
                  <w:pPr>
                    <w:spacing w:after="0" w:line="259" w:lineRule="auto"/>
                    <w:rPr>
                      <w:rFonts w:eastAsia="Calibri" w:cs="Segoe UI"/>
                      <w:b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b/>
                      <w:sz w:val="16"/>
                      <w:szCs w:val="16"/>
                    </w:rPr>
                    <w:t>Limit verejných výdavkov (podľa ods. 3)</w:t>
                  </w:r>
                </w:p>
              </w:tc>
              <w:tc>
                <w:tcPr>
                  <w:tcW w:w="938" w:type="pct"/>
                  <w:vAlign w:val="center"/>
                </w:tcPr>
                <w:p w14:paraId="521FE63F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b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b/>
                      <w:sz w:val="16"/>
                      <w:szCs w:val="16"/>
                    </w:rPr>
                    <w:t>41 321 154 940</w:t>
                  </w:r>
                </w:p>
              </w:tc>
              <w:tc>
                <w:tcPr>
                  <w:tcW w:w="938" w:type="pct"/>
                  <w:vAlign w:val="center"/>
                </w:tcPr>
                <w:p w14:paraId="2CD0CFF6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b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b/>
                      <w:sz w:val="16"/>
                      <w:szCs w:val="16"/>
                    </w:rPr>
                    <w:t>44 309 099 762</w:t>
                  </w:r>
                </w:p>
              </w:tc>
              <w:tc>
                <w:tcPr>
                  <w:tcW w:w="936" w:type="pct"/>
                  <w:shd w:val="clear" w:color="auto" w:fill="auto"/>
                  <w:vAlign w:val="center"/>
                </w:tcPr>
                <w:p w14:paraId="61C6D85F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b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b/>
                      <w:sz w:val="16"/>
                      <w:szCs w:val="16"/>
                    </w:rPr>
                    <w:t>45 621 482 931</w:t>
                  </w:r>
                </w:p>
              </w:tc>
            </w:tr>
            <w:tr w:rsidR="006E077F" w:rsidRPr="00800CD1" w14:paraId="52C952A9" w14:textId="77777777" w:rsidTr="003244B5">
              <w:trPr>
                <w:trHeight w:val="283"/>
                <w:jc w:val="center"/>
              </w:trPr>
              <w:tc>
                <w:tcPr>
                  <w:tcW w:w="2187" w:type="pct"/>
                  <w:vAlign w:val="center"/>
                </w:tcPr>
                <w:p w14:paraId="37001F83" w14:textId="77777777" w:rsidR="006E077F" w:rsidRPr="00800CD1" w:rsidRDefault="006E077F" w:rsidP="00191436">
                  <w:pPr>
                    <w:spacing w:after="0" w:line="259" w:lineRule="auto"/>
                    <w:rPr>
                      <w:rFonts w:eastAsia="Calibri" w:cs="Segoe UI"/>
                      <w:i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i/>
                      <w:sz w:val="16"/>
                      <w:szCs w:val="16"/>
                    </w:rPr>
                    <w:t>Jednorazové výdavky mimo limitu zahrnuté v podkladových údajoch</w:t>
                  </w:r>
                </w:p>
              </w:tc>
              <w:tc>
                <w:tcPr>
                  <w:tcW w:w="938" w:type="pct"/>
                  <w:vAlign w:val="center"/>
                </w:tcPr>
                <w:p w14:paraId="1AC5A661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3 762 232 059</w:t>
                  </w:r>
                </w:p>
              </w:tc>
              <w:tc>
                <w:tcPr>
                  <w:tcW w:w="938" w:type="pct"/>
                  <w:vAlign w:val="center"/>
                </w:tcPr>
                <w:p w14:paraId="2B8C9D26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12 232 059</w:t>
                  </w:r>
                </w:p>
              </w:tc>
              <w:tc>
                <w:tcPr>
                  <w:tcW w:w="936" w:type="pct"/>
                  <w:shd w:val="clear" w:color="auto" w:fill="auto"/>
                  <w:vAlign w:val="center"/>
                </w:tcPr>
                <w:p w14:paraId="4C758056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12 232 059</w:t>
                  </w:r>
                </w:p>
              </w:tc>
            </w:tr>
            <w:tr w:rsidR="006E077F" w:rsidRPr="00800CD1" w14:paraId="16D63281" w14:textId="77777777" w:rsidTr="003244B5">
              <w:trPr>
                <w:trHeight w:val="283"/>
                <w:jc w:val="center"/>
              </w:trPr>
              <w:tc>
                <w:tcPr>
                  <w:tcW w:w="2187" w:type="pct"/>
                  <w:vAlign w:val="center"/>
                </w:tcPr>
                <w:p w14:paraId="1074FB0F" w14:textId="77777777" w:rsidR="006E077F" w:rsidRPr="00800CD1" w:rsidRDefault="006E077F" w:rsidP="00191436">
                  <w:pPr>
                    <w:spacing w:after="0" w:line="259" w:lineRule="auto"/>
                    <w:rPr>
                      <w:rFonts w:eastAsia="Calibri" w:cs="Segoe UI"/>
                      <w:i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i/>
                      <w:sz w:val="16"/>
                      <w:szCs w:val="16"/>
                    </w:rPr>
                    <w:t xml:space="preserve"> - výdavky súvisiace s pandémiou</w:t>
                  </w:r>
                </w:p>
              </w:tc>
              <w:tc>
                <w:tcPr>
                  <w:tcW w:w="938" w:type="pct"/>
                  <w:vAlign w:val="center"/>
                </w:tcPr>
                <w:p w14:paraId="72D023DF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250 000 000</w:t>
                  </w:r>
                </w:p>
              </w:tc>
              <w:tc>
                <w:tcPr>
                  <w:tcW w:w="938" w:type="pct"/>
                  <w:vAlign w:val="center"/>
                </w:tcPr>
                <w:p w14:paraId="35FD0F68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36" w:type="pct"/>
                  <w:shd w:val="clear" w:color="auto" w:fill="auto"/>
                  <w:vAlign w:val="center"/>
                </w:tcPr>
                <w:p w14:paraId="4844EA1D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0</w:t>
                  </w:r>
                </w:p>
              </w:tc>
            </w:tr>
            <w:tr w:rsidR="006E077F" w:rsidRPr="00800CD1" w14:paraId="3764695F" w14:textId="77777777" w:rsidTr="003244B5">
              <w:trPr>
                <w:trHeight w:val="283"/>
                <w:jc w:val="center"/>
              </w:trPr>
              <w:tc>
                <w:tcPr>
                  <w:tcW w:w="2187" w:type="pct"/>
                  <w:vAlign w:val="center"/>
                </w:tcPr>
                <w:p w14:paraId="325C3BC8" w14:textId="77777777" w:rsidR="006E077F" w:rsidRPr="00800CD1" w:rsidRDefault="006E077F" w:rsidP="00191436">
                  <w:pPr>
                    <w:spacing w:after="0" w:line="259" w:lineRule="auto"/>
                    <w:rPr>
                      <w:rFonts w:eastAsia="Calibri" w:cs="Segoe UI"/>
                      <w:i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i/>
                      <w:sz w:val="16"/>
                      <w:szCs w:val="16"/>
                    </w:rPr>
                    <w:t xml:space="preserve"> - výdavky súvisiace s pomocou Ukrajine</w:t>
                  </w:r>
                </w:p>
              </w:tc>
              <w:tc>
                <w:tcPr>
                  <w:tcW w:w="938" w:type="pct"/>
                  <w:vAlign w:val="center"/>
                </w:tcPr>
                <w:p w14:paraId="176E34FC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100 000 000</w:t>
                  </w:r>
                </w:p>
              </w:tc>
              <w:tc>
                <w:tcPr>
                  <w:tcW w:w="938" w:type="pct"/>
                  <w:vAlign w:val="center"/>
                </w:tcPr>
                <w:p w14:paraId="79F36C67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36" w:type="pct"/>
                  <w:shd w:val="clear" w:color="auto" w:fill="auto"/>
                  <w:vAlign w:val="center"/>
                </w:tcPr>
                <w:p w14:paraId="0A92A8DA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0</w:t>
                  </w:r>
                </w:p>
              </w:tc>
            </w:tr>
            <w:tr w:rsidR="006E077F" w:rsidRPr="00800CD1" w14:paraId="03FEBAE1" w14:textId="77777777" w:rsidTr="003244B5">
              <w:trPr>
                <w:trHeight w:val="283"/>
                <w:jc w:val="center"/>
              </w:trPr>
              <w:tc>
                <w:tcPr>
                  <w:tcW w:w="2187" w:type="pct"/>
                  <w:tcBorders>
                    <w:bottom w:val="single" w:sz="4" w:space="0" w:color="314364"/>
                  </w:tcBorders>
                  <w:vAlign w:val="center"/>
                </w:tcPr>
                <w:p w14:paraId="222B2181" w14:textId="77777777" w:rsidR="006E077F" w:rsidRPr="00800CD1" w:rsidRDefault="006E077F" w:rsidP="00191436">
                  <w:pPr>
                    <w:spacing w:after="0" w:line="259" w:lineRule="auto"/>
                    <w:rPr>
                      <w:rFonts w:eastAsia="Calibri" w:cs="Segoe UI"/>
                      <w:i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i/>
                      <w:sz w:val="16"/>
                      <w:szCs w:val="16"/>
                    </w:rPr>
                    <w:t xml:space="preserve"> - výdavky súvisiace s energetickou krízou</w:t>
                  </w:r>
                </w:p>
              </w:tc>
              <w:tc>
                <w:tcPr>
                  <w:tcW w:w="938" w:type="pct"/>
                  <w:tcBorders>
                    <w:bottom w:val="single" w:sz="4" w:space="0" w:color="314364"/>
                  </w:tcBorders>
                  <w:vAlign w:val="center"/>
                </w:tcPr>
                <w:p w14:paraId="6BB109FB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3 400 000 000</w:t>
                  </w:r>
                </w:p>
              </w:tc>
              <w:tc>
                <w:tcPr>
                  <w:tcW w:w="938" w:type="pct"/>
                  <w:tcBorders>
                    <w:bottom w:val="single" w:sz="4" w:space="0" w:color="314364"/>
                  </w:tcBorders>
                  <w:vAlign w:val="center"/>
                </w:tcPr>
                <w:p w14:paraId="01D8E443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36" w:type="pct"/>
                  <w:tcBorders>
                    <w:bottom w:val="single" w:sz="4" w:space="0" w:color="314364"/>
                  </w:tcBorders>
                  <w:shd w:val="clear" w:color="auto" w:fill="auto"/>
                  <w:vAlign w:val="center"/>
                </w:tcPr>
                <w:p w14:paraId="78B99E67" w14:textId="77777777" w:rsidR="006E077F" w:rsidRPr="00800CD1" w:rsidRDefault="006E077F" w:rsidP="00191436">
                  <w:pPr>
                    <w:spacing w:after="0" w:line="259" w:lineRule="auto"/>
                    <w:jc w:val="right"/>
                    <w:rPr>
                      <w:rFonts w:eastAsia="Calibri" w:cs="Segoe UI"/>
                      <w:sz w:val="16"/>
                      <w:szCs w:val="16"/>
                    </w:rPr>
                  </w:pPr>
                  <w:r w:rsidRPr="00800CD1">
                    <w:rPr>
                      <w:rFonts w:eastAsia="Calibri" w:cs="Segoe UI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5E53EBAE" w14:textId="77777777" w:rsidR="006E077F" w:rsidRPr="002772DE" w:rsidRDefault="006E077F" w:rsidP="003244B5">
            <w:pPr>
              <w:rPr>
                <w:rFonts w:cs="Times New Roman"/>
                <w:i/>
                <w:color w:val="314364"/>
                <w:sz w:val="18"/>
              </w:rPr>
            </w:pPr>
            <w:r w:rsidRPr="002772DE">
              <w:rPr>
                <w:rFonts w:cs="Times New Roman"/>
                <w:i/>
                <w:color w:val="314364"/>
                <w:sz w:val="16"/>
              </w:rPr>
              <w:t>Zdroj: RRZ</w:t>
            </w:r>
          </w:p>
        </w:tc>
      </w:tr>
    </w:tbl>
    <w:p w14:paraId="7D5DA439" w14:textId="7F4D6AD4" w:rsidR="00435210" w:rsidRDefault="00435210" w:rsidP="00435210">
      <w:pPr>
        <w:pStyle w:val="Nadpis1"/>
        <w:numPr>
          <w:ilvl w:val="0"/>
          <w:numId w:val="0"/>
        </w:numPr>
        <w:ind w:left="357" w:hanging="357"/>
      </w:pPr>
      <w:bookmarkStart w:id="15" w:name="_Toc86919170"/>
      <w:bookmarkStart w:id="16" w:name="_Toc86396376"/>
      <w:bookmarkEnd w:id="15"/>
    </w:p>
    <w:p w14:paraId="580832B0" w14:textId="77777777" w:rsidR="00435210" w:rsidRDefault="00435210">
      <w:pPr>
        <w:spacing w:after="160" w:line="259" w:lineRule="auto"/>
        <w:jc w:val="left"/>
        <w:rPr>
          <w:rFonts w:eastAsiaTheme="majorEastAsia" w:cstheme="majorBidi"/>
          <w:b/>
          <w:color w:val="314364"/>
          <w:position w:val="10"/>
          <w:sz w:val="32"/>
          <w:szCs w:val="32"/>
        </w:rPr>
      </w:pPr>
      <w:r>
        <w:br w:type="page"/>
      </w:r>
    </w:p>
    <w:p w14:paraId="754B57D8" w14:textId="15050A02" w:rsidR="00C30CC5" w:rsidRDefault="00C30CC5" w:rsidP="00C30CC5">
      <w:pPr>
        <w:pStyle w:val="Nadpis1"/>
      </w:pPr>
      <w:bookmarkStart w:id="17" w:name="_Toc149040439"/>
      <w:r>
        <w:lastRenderedPageBreak/>
        <w:t>Rozpočtové vzťahy SR a</w:t>
      </w:r>
      <w:r w:rsidR="00865D0E">
        <w:t> </w:t>
      </w:r>
      <w:r>
        <w:t>EÚ</w:t>
      </w:r>
      <w:bookmarkEnd w:id="16"/>
      <w:bookmarkEnd w:id="17"/>
    </w:p>
    <w:p w14:paraId="0E66C973" w14:textId="15D403EC" w:rsidR="00865D0E" w:rsidRDefault="00865D0E" w:rsidP="00865D0E">
      <w:pPr>
        <w:rPr>
          <w:rFonts w:cs="Segoe UI"/>
          <w:color w:val="000000" w:themeColor="text1"/>
          <w:szCs w:val="20"/>
        </w:rPr>
      </w:pPr>
      <w:r w:rsidRPr="00C71A19">
        <w:rPr>
          <w:rFonts w:cs="Segoe UI"/>
          <w:b/>
          <w:color w:val="000000" w:themeColor="text1"/>
          <w:szCs w:val="20"/>
        </w:rPr>
        <w:t>Prostriedky z</w:t>
      </w:r>
      <w:r w:rsidR="00C71A19" w:rsidRPr="00C71A19">
        <w:rPr>
          <w:rFonts w:cs="Segoe UI"/>
          <w:b/>
          <w:color w:val="000000" w:themeColor="text1"/>
          <w:szCs w:val="20"/>
        </w:rPr>
        <w:t xml:space="preserve"> PO</w:t>
      </w:r>
      <w:r w:rsidRPr="00C71A19">
        <w:rPr>
          <w:rFonts w:cs="Segoe UI"/>
          <w:b/>
          <w:color w:val="000000" w:themeColor="text1"/>
          <w:szCs w:val="20"/>
        </w:rPr>
        <w:t xml:space="preserve"> 2014 – 2020 sa na rok 2024 rozpočtujú už len pre poľnohospodárske fondy </w:t>
      </w:r>
      <w:r w:rsidR="001F7D00">
        <w:rPr>
          <w:rFonts w:cs="Segoe UI"/>
          <w:b/>
          <w:color w:val="000000" w:themeColor="text1"/>
          <w:szCs w:val="20"/>
        </w:rPr>
        <w:t xml:space="preserve"> </w:t>
      </w:r>
      <w:r w:rsidRPr="00C71A19">
        <w:rPr>
          <w:rFonts w:cs="Segoe UI"/>
          <w:b/>
          <w:color w:val="000000" w:themeColor="text1"/>
          <w:szCs w:val="20"/>
        </w:rPr>
        <w:t>z dôvodu pred</w:t>
      </w:r>
      <w:r w:rsidR="00C71A19" w:rsidRPr="00C71A19">
        <w:rPr>
          <w:rFonts w:cs="Segoe UI"/>
          <w:b/>
          <w:color w:val="000000" w:themeColor="text1"/>
          <w:szCs w:val="20"/>
        </w:rPr>
        <w:t>ĺ</w:t>
      </w:r>
      <w:r w:rsidRPr="00C71A19">
        <w:rPr>
          <w:rFonts w:cs="Segoe UI"/>
          <w:b/>
          <w:color w:val="000000" w:themeColor="text1"/>
          <w:szCs w:val="20"/>
        </w:rPr>
        <w:t xml:space="preserve">ženia </w:t>
      </w:r>
      <w:r w:rsidR="00C71A19" w:rsidRPr="00C71A19">
        <w:rPr>
          <w:rFonts w:cs="Segoe UI"/>
          <w:b/>
          <w:color w:val="000000" w:themeColor="text1"/>
          <w:szCs w:val="20"/>
        </w:rPr>
        <w:t>PO</w:t>
      </w:r>
      <w:r w:rsidRPr="00C71A19">
        <w:rPr>
          <w:rFonts w:cs="Segoe UI"/>
          <w:b/>
          <w:color w:val="000000" w:themeColor="text1"/>
          <w:szCs w:val="20"/>
        </w:rPr>
        <w:t xml:space="preserve"> do roku 2025</w:t>
      </w:r>
      <w:r w:rsidR="00EF3355">
        <w:rPr>
          <w:rFonts w:cs="Segoe UI"/>
          <w:b/>
          <w:color w:val="000000" w:themeColor="text1"/>
          <w:szCs w:val="20"/>
        </w:rPr>
        <w:t xml:space="preserve"> v objeme 115 mil. eur</w:t>
      </w:r>
      <w:r w:rsidR="00E379FA" w:rsidRPr="00E379FA">
        <w:rPr>
          <w:rStyle w:val="Odkaznapoznmkupodiarou"/>
          <w:rFonts w:cs="Segoe UI"/>
          <w:color w:val="000000" w:themeColor="text1"/>
          <w:szCs w:val="20"/>
        </w:rPr>
        <w:footnoteReference w:id="7"/>
      </w:r>
      <w:r w:rsidRPr="00E379FA">
        <w:rPr>
          <w:rFonts w:cs="Segoe UI"/>
          <w:color w:val="000000" w:themeColor="text1"/>
          <w:szCs w:val="20"/>
        </w:rPr>
        <w:t>.</w:t>
      </w:r>
      <w:r w:rsidRPr="004E0B10">
        <w:rPr>
          <w:rFonts w:cs="Segoe UI"/>
          <w:color w:val="000000" w:themeColor="text1"/>
          <w:szCs w:val="20"/>
        </w:rPr>
        <w:t xml:space="preserve"> Prostriedky </w:t>
      </w:r>
      <w:r w:rsidR="00DA1658">
        <w:rPr>
          <w:rFonts w:cs="Segoe UI"/>
          <w:color w:val="000000" w:themeColor="text1"/>
          <w:szCs w:val="20"/>
        </w:rPr>
        <w:t xml:space="preserve">zo štrukturálnych fondov </w:t>
      </w:r>
      <w:r w:rsidRPr="004E0B10">
        <w:rPr>
          <w:rFonts w:cs="Segoe UI"/>
          <w:color w:val="000000" w:themeColor="text1"/>
          <w:szCs w:val="20"/>
        </w:rPr>
        <w:t>boli</w:t>
      </w:r>
      <w:r w:rsidR="001F7D00">
        <w:rPr>
          <w:rFonts w:cs="Segoe UI"/>
          <w:color w:val="000000" w:themeColor="text1"/>
          <w:szCs w:val="20"/>
        </w:rPr>
        <w:t xml:space="preserve"> </w:t>
      </w:r>
      <w:r w:rsidRPr="004E0B10">
        <w:rPr>
          <w:rFonts w:cs="Segoe UI"/>
          <w:color w:val="000000" w:themeColor="text1"/>
          <w:szCs w:val="20"/>
        </w:rPr>
        <w:t xml:space="preserve">rozpočtované do 100 % alokácie </w:t>
      </w:r>
      <w:r w:rsidR="001F7D00">
        <w:rPr>
          <w:rFonts w:cs="Segoe UI"/>
          <w:color w:val="000000" w:themeColor="text1"/>
          <w:szCs w:val="20"/>
        </w:rPr>
        <w:t xml:space="preserve">už </w:t>
      </w:r>
      <w:r w:rsidRPr="004E0B10">
        <w:rPr>
          <w:rFonts w:cs="Segoe UI"/>
          <w:color w:val="000000" w:themeColor="text1"/>
          <w:szCs w:val="20"/>
        </w:rPr>
        <w:t>v návrhu rozpočtu na rok 202</w:t>
      </w:r>
      <w:r w:rsidR="00654A4C">
        <w:rPr>
          <w:rFonts w:cs="Segoe UI"/>
          <w:color w:val="000000" w:themeColor="text1"/>
          <w:szCs w:val="20"/>
        </w:rPr>
        <w:t>3</w:t>
      </w:r>
      <w:r>
        <w:rPr>
          <w:rStyle w:val="Odkaznapoznmkupodiarou"/>
          <w:rFonts w:cs="Segoe UI"/>
          <w:color w:val="000000" w:themeColor="text1"/>
          <w:szCs w:val="20"/>
        </w:rPr>
        <w:footnoteReference w:id="8"/>
      </w:r>
      <w:r w:rsidRPr="004E0B10">
        <w:rPr>
          <w:rFonts w:cs="Segoe UI"/>
          <w:color w:val="000000" w:themeColor="text1"/>
          <w:szCs w:val="20"/>
        </w:rPr>
        <w:t xml:space="preserve">. </w:t>
      </w:r>
    </w:p>
    <w:p w14:paraId="4F303A5E" w14:textId="5A88F765" w:rsidR="00804EE7" w:rsidRDefault="00865D0E" w:rsidP="00804EE7">
      <w:pPr>
        <w:rPr>
          <w:rFonts w:cs="Segoe UI"/>
          <w:szCs w:val="20"/>
        </w:rPr>
      </w:pPr>
      <w:r w:rsidRPr="00D35B6D">
        <w:rPr>
          <w:rFonts w:cs="Segoe UI"/>
          <w:b/>
          <w:szCs w:val="20"/>
        </w:rPr>
        <w:t xml:space="preserve">Príjmy </w:t>
      </w:r>
      <w:r w:rsidR="00C71A19" w:rsidRPr="00D35B6D">
        <w:rPr>
          <w:rFonts w:cs="Segoe UI"/>
          <w:b/>
          <w:szCs w:val="20"/>
        </w:rPr>
        <w:t>z</w:t>
      </w:r>
      <w:r w:rsidRPr="00D35B6D">
        <w:rPr>
          <w:rFonts w:cs="Segoe UI"/>
          <w:b/>
          <w:szCs w:val="20"/>
        </w:rPr>
        <w:t xml:space="preserve"> EÚ </w:t>
      </w:r>
      <w:r w:rsidR="00C71A19" w:rsidRPr="00D35B6D">
        <w:rPr>
          <w:rFonts w:cs="Segoe UI"/>
          <w:b/>
          <w:szCs w:val="20"/>
        </w:rPr>
        <w:t xml:space="preserve">v PO 2021 – 2027 </w:t>
      </w:r>
      <w:r w:rsidRPr="00D35B6D">
        <w:rPr>
          <w:rFonts w:cs="Segoe UI"/>
          <w:b/>
          <w:szCs w:val="20"/>
        </w:rPr>
        <w:t xml:space="preserve">sú rozpočtované na rok 2024 v rámci </w:t>
      </w:r>
      <w:r w:rsidR="00C71A19" w:rsidRPr="00D35B6D">
        <w:rPr>
          <w:rFonts w:cs="Segoe UI"/>
          <w:b/>
          <w:szCs w:val="20"/>
        </w:rPr>
        <w:t>ôsmich</w:t>
      </w:r>
      <w:r w:rsidRPr="00D35B6D">
        <w:rPr>
          <w:rFonts w:cs="Segoe UI"/>
          <w:b/>
          <w:szCs w:val="20"/>
        </w:rPr>
        <w:t xml:space="preserve"> kapitol v celkovom objeme 1,</w:t>
      </w:r>
      <w:r w:rsidR="00E379FA" w:rsidRPr="00D35B6D">
        <w:rPr>
          <w:rFonts w:cs="Segoe UI"/>
          <w:b/>
          <w:szCs w:val="20"/>
        </w:rPr>
        <w:t>1</w:t>
      </w:r>
      <w:r w:rsidRPr="00D35B6D">
        <w:rPr>
          <w:rFonts w:cs="Segoe UI"/>
          <w:b/>
          <w:szCs w:val="20"/>
        </w:rPr>
        <w:t>2 mld. eur.</w:t>
      </w:r>
      <w:r w:rsidRPr="00D35B6D">
        <w:rPr>
          <w:rFonts w:cs="Segoe UI"/>
          <w:szCs w:val="20"/>
        </w:rPr>
        <w:t xml:space="preserve"> Najväčšiu časť týchto prostriedkov (</w:t>
      </w:r>
      <w:r w:rsidR="00E379FA" w:rsidRPr="00D35B6D">
        <w:rPr>
          <w:rFonts w:cs="Segoe UI"/>
          <w:szCs w:val="20"/>
        </w:rPr>
        <w:t>64</w:t>
      </w:r>
      <w:r w:rsidR="00654A4C" w:rsidRPr="00D35B6D">
        <w:rPr>
          <w:rFonts w:cs="Segoe UI"/>
          <w:szCs w:val="20"/>
        </w:rPr>
        <w:t>2</w:t>
      </w:r>
      <w:r w:rsidRPr="00D35B6D">
        <w:rPr>
          <w:rFonts w:cs="Segoe UI"/>
          <w:szCs w:val="20"/>
        </w:rPr>
        <w:t xml:space="preserve"> mil. eur) tvoria poľnohospodárske fondy. Štrukturálne</w:t>
      </w:r>
      <w:r w:rsidR="00654A4C" w:rsidRPr="00D35B6D">
        <w:rPr>
          <w:rFonts w:cs="Segoe UI"/>
          <w:szCs w:val="20"/>
        </w:rPr>
        <w:t xml:space="preserve"> operácie</w:t>
      </w:r>
      <w:r w:rsidRPr="00D35B6D">
        <w:rPr>
          <w:rFonts w:cs="Segoe UI"/>
          <w:szCs w:val="20"/>
        </w:rPr>
        <w:t xml:space="preserve"> sú rozpočtované na úrovni 480 mil. eur</w:t>
      </w:r>
      <w:r w:rsidRPr="00D35B6D">
        <w:rPr>
          <w:rStyle w:val="Odkaznapoznmkupodiarou"/>
          <w:rFonts w:cs="Segoe UI"/>
          <w:szCs w:val="20"/>
        </w:rPr>
        <w:footnoteReference w:id="9"/>
      </w:r>
      <w:r w:rsidRPr="00D35B6D">
        <w:rPr>
          <w:rFonts w:cs="Segoe UI"/>
          <w:szCs w:val="20"/>
        </w:rPr>
        <w:t xml:space="preserve">. Výdavky jednotlivých kapitol na rok 2024 sú rozpočtované na základe odhadov rezortov so zohľadnením nepoužitých prostriedkov z predchádzajúcich rokov v rámci PO 2021 – 2027. Tieto prostriedky EÚ, ktoré sú zaradené do príjmov a výdavkov </w:t>
      </w:r>
      <w:r w:rsidR="00DA1658" w:rsidRPr="00D35B6D">
        <w:rPr>
          <w:rFonts w:cs="Segoe UI"/>
          <w:szCs w:val="20"/>
        </w:rPr>
        <w:t>ŠR</w:t>
      </w:r>
      <w:r w:rsidRPr="00D35B6D">
        <w:rPr>
          <w:rFonts w:cs="Segoe UI"/>
          <w:szCs w:val="20"/>
        </w:rPr>
        <w:t xml:space="preserve"> sa v návrhu vyrovnaného rozpočtu na rok 2024 rozpočtujú s neutrálnym dopadom na verejné financie. Vzhľadom na vyrovnaný rozpočet nie sú odvody do všeobecného rozpočtu EÚ na rok 2024 kryté v plnej výške a zároveň sa príspevok do Európskeho rozvojového fondu na rok 2024 </w:t>
      </w:r>
      <w:r w:rsidR="00C57C50" w:rsidRPr="00D35B6D">
        <w:rPr>
          <w:rFonts w:cs="Segoe UI"/>
          <w:szCs w:val="20"/>
        </w:rPr>
        <w:t>v návrhu RVS</w:t>
      </w:r>
      <w:r w:rsidR="00611403" w:rsidRPr="00D35B6D">
        <w:rPr>
          <w:rFonts w:cs="Segoe UI"/>
          <w:szCs w:val="20"/>
        </w:rPr>
        <w:t xml:space="preserve"> </w:t>
      </w:r>
      <w:r w:rsidRPr="00D35B6D">
        <w:rPr>
          <w:rFonts w:cs="Segoe UI"/>
          <w:szCs w:val="20"/>
        </w:rPr>
        <w:t>neuvádza. Celková výška odvodov a príspevkov S</w:t>
      </w:r>
      <w:r w:rsidR="00C57C50" w:rsidRPr="00D35B6D">
        <w:rPr>
          <w:rFonts w:cs="Segoe UI"/>
          <w:szCs w:val="20"/>
        </w:rPr>
        <w:t xml:space="preserve">lovenska </w:t>
      </w:r>
      <w:r w:rsidRPr="00D35B6D">
        <w:rPr>
          <w:rFonts w:cs="Segoe UI"/>
          <w:szCs w:val="20"/>
        </w:rPr>
        <w:t>do všeobecného rozpočtu EÚ na rok 2024 je 419,1 mil. eur. Z toho vyplýva, že S</w:t>
      </w:r>
      <w:r w:rsidR="00C57C50" w:rsidRPr="00D35B6D">
        <w:rPr>
          <w:rFonts w:cs="Segoe UI"/>
          <w:szCs w:val="20"/>
        </w:rPr>
        <w:t>lovensko</w:t>
      </w:r>
      <w:r w:rsidRPr="00D35B6D">
        <w:rPr>
          <w:rFonts w:cs="Segoe UI"/>
          <w:szCs w:val="20"/>
        </w:rPr>
        <w:t xml:space="preserve"> bude aj v budúcom roku čistým prijímateľom (+818,1 mil. eur) finančných prostriedkov z rozpočtu EÚ. Najväčší objem financií podľa návrhu </w:t>
      </w:r>
      <w:r w:rsidR="00C57C50" w:rsidRPr="00D35B6D">
        <w:rPr>
          <w:rFonts w:cs="Segoe UI"/>
          <w:szCs w:val="20"/>
        </w:rPr>
        <w:t>RVS</w:t>
      </w:r>
      <w:r w:rsidRPr="00D35B6D">
        <w:rPr>
          <w:rFonts w:cs="Segoe UI"/>
          <w:szCs w:val="20"/>
        </w:rPr>
        <w:t xml:space="preserve"> na rok 2024 zo štrukturálnych a poľnohospodárskych fondov EÚ (tabuľka </w:t>
      </w:r>
      <w:r w:rsidR="001F7D00" w:rsidRPr="00D35B6D">
        <w:rPr>
          <w:rFonts w:cs="Segoe UI"/>
          <w:szCs w:val="20"/>
        </w:rPr>
        <w:t>4</w:t>
      </w:r>
      <w:r w:rsidRPr="00D35B6D">
        <w:rPr>
          <w:rFonts w:cs="Segoe UI"/>
          <w:szCs w:val="20"/>
        </w:rPr>
        <w:t xml:space="preserve">) bude mať MPRV SR (757 mil. eur). Tento objem prostriedkov </w:t>
      </w:r>
      <w:r w:rsidR="00C57C50" w:rsidRPr="00D35B6D">
        <w:rPr>
          <w:rFonts w:cs="Segoe UI"/>
          <w:szCs w:val="20"/>
        </w:rPr>
        <w:t xml:space="preserve">EÚ </w:t>
      </w:r>
      <w:r w:rsidRPr="00D35B6D">
        <w:rPr>
          <w:rFonts w:cs="Segoe UI"/>
          <w:szCs w:val="20"/>
        </w:rPr>
        <w:t>tvorí zároveň 92 % rozpočtu celej kapitoly</w:t>
      </w:r>
      <w:r w:rsidR="00C94AB9" w:rsidRPr="00D35B6D">
        <w:rPr>
          <w:rFonts w:cs="Segoe UI"/>
          <w:szCs w:val="20"/>
        </w:rPr>
        <w:t xml:space="preserve"> (graf 4)</w:t>
      </w:r>
      <w:r w:rsidRPr="00D35B6D">
        <w:rPr>
          <w:rFonts w:cs="Segoe UI"/>
          <w:szCs w:val="20"/>
        </w:rPr>
        <w:t xml:space="preserve">. </w:t>
      </w:r>
      <w:r w:rsidR="00804EE7" w:rsidRPr="00D35B6D">
        <w:rPr>
          <w:rFonts w:cs="Segoe UI"/>
          <w:szCs w:val="20"/>
        </w:rPr>
        <w:t>Vyšší objem prostriedkov na MPRV SR oproti iným kapitolám je spôsobený súbežným čerpaním poľnohospodárskych fondov z dvoch programových období.</w:t>
      </w:r>
    </w:p>
    <w:p w14:paraId="5387CB9C" w14:textId="0471F9AA" w:rsidR="00D35B6D" w:rsidRPr="00D35B6D" w:rsidRDefault="00D35B6D" w:rsidP="00804EE7">
      <w:pPr>
        <w:rPr>
          <w:rFonts w:cs="Segoe UI"/>
          <w:szCs w:val="20"/>
        </w:rPr>
      </w:pPr>
      <w:r w:rsidRPr="00D35B6D">
        <w:rPr>
          <w:rFonts w:cs="Segoe UI"/>
          <w:b/>
          <w:szCs w:val="20"/>
        </w:rPr>
        <w:t>Vzhľadom na uplatňované pravidlo čerpania n+3 je zároveň rok 2024 prvým rokom, v ktorom môže vzniknúť dekomitment</w:t>
      </w:r>
      <w:r w:rsidR="00E055D4" w:rsidRPr="00E055D4">
        <w:rPr>
          <w:rStyle w:val="Odkaznapoznmkupodiarou"/>
          <w:rFonts w:cs="Segoe UI"/>
          <w:szCs w:val="20"/>
        </w:rPr>
        <w:footnoteReference w:id="10"/>
      </w:r>
      <w:r w:rsidRPr="00E055D4">
        <w:rPr>
          <w:rFonts w:cs="Segoe UI"/>
          <w:szCs w:val="20"/>
        </w:rPr>
        <w:t>.</w:t>
      </w:r>
      <w:r w:rsidRPr="00D35B6D">
        <w:rPr>
          <w:rFonts w:cs="Segoe UI"/>
          <w:szCs w:val="20"/>
        </w:rPr>
        <w:t xml:space="preserve"> Aby sa zabránilo </w:t>
      </w:r>
      <w:r w:rsidR="00E055D4">
        <w:rPr>
          <w:rFonts w:cs="Segoe UI"/>
          <w:szCs w:val="20"/>
        </w:rPr>
        <w:t>prepadnutiu prostriedkov</w:t>
      </w:r>
      <w:r w:rsidRPr="00D35B6D">
        <w:rPr>
          <w:rFonts w:cs="Segoe UI"/>
          <w:szCs w:val="20"/>
        </w:rPr>
        <w:t xml:space="preserve"> za rok 2021, bude potrebné do konca </w:t>
      </w:r>
      <w:r>
        <w:rPr>
          <w:rFonts w:cs="Segoe UI"/>
          <w:szCs w:val="20"/>
        </w:rPr>
        <w:t xml:space="preserve">roka </w:t>
      </w:r>
      <w:r w:rsidRPr="00D35B6D">
        <w:rPr>
          <w:rFonts w:cs="Segoe UI"/>
          <w:szCs w:val="20"/>
        </w:rPr>
        <w:t>2024 vyčerpať a následne na EK deklarovať výdavky za ročný záväzok 2021.</w:t>
      </w:r>
    </w:p>
    <w:p w14:paraId="25262960" w14:textId="25D20097" w:rsidR="00865D0E" w:rsidRDefault="00865D0E" w:rsidP="00865D0E">
      <w:pPr>
        <w:pStyle w:val="Popis"/>
        <w:keepNext/>
        <w:rPr>
          <w:color w:val="314364"/>
        </w:rPr>
      </w:pPr>
      <w:r w:rsidRPr="00C71A19">
        <w:rPr>
          <w:color w:val="314364"/>
        </w:rPr>
        <w:t xml:space="preserve">Graf </w:t>
      </w:r>
      <w:r w:rsidR="00C71A19" w:rsidRPr="00C71A19">
        <w:rPr>
          <w:color w:val="314364"/>
        </w:rPr>
        <w:t>4</w:t>
      </w:r>
      <w:r w:rsidR="00C71A19">
        <w:rPr>
          <w:color w:val="314364"/>
        </w:rPr>
        <w:t>:</w:t>
      </w:r>
      <w:r w:rsidRPr="00C71A19">
        <w:rPr>
          <w:color w:val="314364"/>
        </w:rPr>
        <w:t xml:space="preserve"> Po</w:t>
      </w:r>
      <w:r w:rsidR="00804EE7">
        <w:rPr>
          <w:color w:val="314364"/>
        </w:rPr>
        <w:t>diel</w:t>
      </w:r>
      <w:r w:rsidRPr="00C71A19">
        <w:rPr>
          <w:color w:val="314364"/>
        </w:rPr>
        <w:t xml:space="preserve"> prostriedkov z rozpočtu EÚ a POO na celkových výdavkov v</w:t>
      </w:r>
      <w:r w:rsidR="00FF21EE">
        <w:rPr>
          <w:color w:val="314364"/>
        </w:rPr>
        <w:t> </w:t>
      </w:r>
      <w:r w:rsidRPr="00C71A19">
        <w:rPr>
          <w:color w:val="314364"/>
        </w:rPr>
        <w:t>rezortoc</w:t>
      </w:r>
      <w:r w:rsidR="00FF21EE">
        <w:rPr>
          <w:color w:val="314364"/>
        </w:rPr>
        <w:t>h v 2024</w:t>
      </w:r>
      <w:r w:rsidRPr="00C71A19">
        <w:rPr>
          <w:color w:val="314364"/>
        </w:rPr>
        <w:t xml:space="preserve"> </w:t>
      </w:r>
      <w:r w:rsidR="00C71A19" w:rsidRPr="00C71A19">
        <w:rPr>
          <w:color w:val="314364"/>
        </w:rPr>
        <w:t>(</w:t>
      </w:r>
      <w:r w:rsidRPr="00C71A19">
        <w:rPr>
          <w:color w:val="314364"/>
        </w:rPr>
        <w:t>%</w:t>
      </w:r>
      <w:r w:rsidR="00C71A19" w:rsidRPr="00C71A19">
        <w:rPr>
          <w:color w:val="31436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70"/>
      </w:tblGrid>
      <w:tr w:rsidR="000E5B51" w14:paraId="7DD9F7D7" w14:textId="77777777" w:rsidTr="000E5B51">
        <w:tc>
          <w:tcPr>
            <w:tcW w:w="9060" w:type="dxa"/>
            <w:tcBorders>
              <w:top w:val="single" w:sz="4" w:space="0" w:color="314364" w:themeColor="text2"/>
              <w:left w:val="nil"/>
              <w:bottom w:val="single" w:sz="4" w:space="0" w:color="314364" w:themeColor="text2"/>
              <w:right w:val="nil"/>
            </w:tcBorders>
          </w:tcPr>
          <w:p w14:paraId="0FA6676A" w14:textId="5638C707" w:rsidR="000E5B51" w:rsidRDefault="000E5B51" w:rsidP="000E5B51">
            <w:pPr>
              <w:spacing w:after="0"/>
            </w:pPr>
            <w:r w:rsidRPr="004E0B10">
              <w:rPr>
                <w:noProof/>
                <w:lang w:eastAsia="sk-SK"/>
              </w:rPr>
              <w:drawing>
                <wp:inline distT="0" distB="0" distL="0" distR="0" wp14:anchorId="5B383E32" wp14:editId="7C35A8DA">
                  <wp:extent cx="5759450" cy="2800350"/>
                  <wp:effectExtent l="0" t="0" r="0" b="0"/>
                  <wp:docPr id="4" name="Graf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440E11C1" w14:textId="29C9F8D5" w:rsidR="00865D0E" w:rsidRPr="00C71A19" w:rsidRDefault="00865D0E" w:rsidP="00804EE7">
      <w:pPr>
        <w:rPr>
          <w:i/>
          <w:color w:val="314364" w:themeColor="text2"/>
          <w:sz w:val="16"/>
        </w:rPr>
      </w:pPr>
      <w:r w:rsidRPr="004E0B10">
        <w:rPr>
          <w:rFonts w:cs="Segoe UI"/>
          <w:sz w:val="18"/>
          <w:szCs w:val="18"/>
        </w:rPr>
        <w:t xml:space="preserve"> </w:t>
      </w:r>
      <w:r w:rsidRPr="00C71A19">
        <w:rPr>
          <w:i/>
          <w:color w:val="314364" w:themeColor="text2"/>
          <w:sz w:val="16"/>
        </w:rPr>
        <w:t xml:space="preserve">Zdroj: Návrh </w:t>
      </w:r>
      <w:r w:rsidR="00C71A19">
        <w:rPr>
          <w:i/>
          <w:color w:val="314364" w:themeColor="text2"/>
          <w:sz w:val="16"/>
        </w:rPr>
        <w:t>RVS</w:t>
      </w:r>
      <w:r w:rsidRPr="00C71A19">
        <w:rPr>
          <w:i/>
          <w:color w:val="314364" w:themeColor="text2"/>
          <w:sz w:val="16"/>
        </w:rPr>
        <w:t xml:space="preserve"> na roky 2024 – 2026</w:t>
      </w:r>
    </w:p>
    <w:p w14:paraId="77B05C2B" w14:textId="3162C55D" w:rsidR="00AF6740" w:rsidRDefault="007B1BC7" w:rsidP="00865D0E">
      <w:pPr>
        <w:rPr>
          <w:rFonts w:cs="Segoe UI"/>
          <w:color w:val="000000" w:themeColor="text1"/>
          <w:szCs w:val="20"/>
        </w:rPr>
      </w:pPr>
      <w:r w:rsidRPr="007B1BC7">
        <w:rPr>
          <w:rFonts w:cs="Segoe UI"/>
          <w:b/>
          <w:color w:val="000000" w:themeColor="text1"/>
          <w:szCs w:val="20"/>
        </w:rPr>
        <w:lastRenderedPageBreak/>
        <w:t>Prostriedky z Plánu obnovy a odolnosti na rok 2024 sú rozpočtované v objeme 1,25 mld. eur v 12 kapitolách.</w:t>
      </w:r>
      <w:r w:rsidRPr="004E0B10">
        <w:rPr>
          <w:rFonts w:cs="Segoe UI"/>
          <w:color w:val="000000" w:themeColor="text1"/>
          <w:szCs w:val="20"/>
        </w:rPr>
        <w:t xml:space="preserve"> Najväčší objem prostriedkov z</w:t>
      </w:r>
      <w:r>
        <w:rPr>
          <w:rFonts w:cs="Segoe UI"/>
          <w:color w:val="000000" w:themeColor="text1"/>
          <w:szCs w:val="20"/>
        </w:rPr>
        <w:t> </w:t>
      </w:r>
      <w:r w:rsidRPr="004E0B10">
        <w:rPr>
          <w:rFonts w:cs="Segoe UI"/>
          <w:color w:val="000000" w:themeColor="text1"/>
          <w:szCs w:val="20"/>
        </w:rPr>
        <w:t>POO</w:t>
      </w:r>
      <w:r>
        <w:rPr>
          <w:rFonts w:cs="Segoe UI"/>
          <w:color w:val="000000" w:themeColor="text1"/>
          <w:szCs w:val="20"/>
        </w:rPr>
        <w:t xml:space="preserve"> (tabuľka </w:t>
      </w:r>
      <w:r w:rsidR="00611403">
        <w:rPr>
          <w:rFonts w:cs="Segoe UI"/>
          <w:color w:val="000000" w:themeColor="text1"/>
          <w:szCs w:val="20"/>
        </w:rPr>
        <w:t>4</w:t>
      </w:r>
      <w:r>
        <w:rPr>
          <w:rFonts w:cs="Segoe UI"/>
          <w:color w:val="000000" w:themeColor="text1"/>
          <w:szCs w:val="20"/>
        </w:rPr>
        <w:t>)</w:t>
      </w:r>
      <w:r w:rsidRPr="004E0B10">
        <w:rPr>
          <w:rFonts w:cs="Segoe UI"/>
          <w:color w:val="000000" w:themeColor="text1"/>
          <w:szCs w:val="20"/>
        </w:rPr>
        <w:t xml:space="preserve"> je rozpočtovaný na MŽP SR (241,7 mil. eur), MZ SR (227,5 mil. eur) a MD SR (225,6 mil. eur).</w:t>
      </w:r>
    </w:p>
    <w:p w14:paraId="3901B022" w14:textId="39C1BAA0" w:rsidR="001F7D00" w:rsidRPr="00A46532" w:rsidRDefault="00A46532" w:rsidP="00865D0E">
      <w:pPr>
        <w:rPr>
          <w:rFonts w:cs="Segoe UI"/>
          <w:color w:val="000000" w:themeColor="text1"/>
          <w:szCs w:val="20"/>
        </w:rPr>
      </w:pPr>
      <w:r w:rsidRPr="00A46532">
        <w:rPr>
          <w:rFonts w:cs="Segoe UI"/>
          <w:b/>
          <w:color w:val="000000" w:themeColor="text1"/>
          <w:szCs w:val="20"/>
        </w:rPr>
        <w:t xml:space="preserve">Slovensku boli v rámci POO vyplatené zatiaľ dve žiadosti o platbu spolu v sume 1,27 mld. eur </w:t>
      </w:r>
      <w:r w:rsidRPr="00A46532">
        <w:rPr>
          <w:rFonts w:cs="Segoe UI"/>
          <w:color w:val="000000" w:themeColor="text1"/>
          <w:szCs w:val="20"/>
        </w:rPr>
        <w:t xml:space="preserve">(z </w:t>
      </w:r>
      <w:r>
        <w:rPr>
          <w:rFonts w:cs="Segoe UI"/>
          <w:color w:val="000000" w:themeColor="text1"/>
          <w:szCs w:val="20"/>
        </w:rPr>
        <w:t> </w:t>
      </w:r>
      <w:r w:rsidRPr="00A46532">
        <w:rPr>
          <w:rFonts w:cs="Segoe UI"/>
          <w:color w:val="000000" w:themeColor="text1"/>
          <w:szCs w:val="20"/>
        </w:rPr>
        <w:t xml:space="preserve">celkového </w:t>
      </w:r>
      <w:r>
        <w:rPr>
          <w:rFonts w:cs="Segoe UI"/>
          <w:color w:val="000000" w:themeColor="text1"/>
          <w:szCs w:val="20"/>
        </w:rPr>
        <w:t xml:space="preserve">plánovaného </w:t>
      </w:r>
      <w:r w:rsidRPr="00A46532">
        <w:rPr>
          <w:rFonts w:cs="Segoe UI"/>
          <w:color w:val="000000" w:themeColor="text1"/>
          <w:szCs w:val="20"/>
        </w:rPr>
        <w:t xml:space="preserve">objemu 6,4 mld. eur). V septembri 2023 bola podaná tretia žiadosť o platbu (815 mil. eur), s </w:t>
      </w:r>
      <w:r w:rsidR="003A4E42" w:rsidRPr="00A46532">
        <w:rPr>
          <w:rFonts w:cs="Segoe UI"/>
          <w:color w:val="000000" w:themeColor="text1"/>
          <w:szCs w:val="20"/>
        </w:rPr>
        <w:t xml:space="preserve">vyplatením </w:t>
      </w:r>
      <w:r w:rsidRPr="00A46532">
        <w:rPr>
          <w:rFonts w:cs="Segoe UI"/>
          <w:color w:val="000000" w:themeColor="text1"/>
          <w:szCs w:val="20"/>
        </w:rPr>
        <w:t>ktorej sa</w:t>
      </w:r>
      <w:r>
        <w:rPr>
          <w:rFonts w:cs="Segoe UI"/>
          <w:color w:val="000000" w:themeColor="text1"/>
          <w:szCs w:val="20"/>
        </w:rPr>
        <w:t xml:space="preserve"> počí</w:t>
      </w:r>
      <w:r w:rsidRPr="00A46532">
        <w:rPr>
          <w:rFonts w:cs="Segoe UI"/>
          <w:color w:val="000000" w:themeColor="text1"/>
          <w:szCs w:val="20"/>
        </w:rPr>
        <w:t xml:space="preserve">talo aj </w:t>
      </w:r>
      <w:r>
        <w:rPr>
          <w:rFonts w:cs="Segoe UI"/>
          <w:color w:val="000000" w:themeColor="text1"/>
          <w:szCs w:val="20"/>
        </w:rPr>
        <w:t>v schválenom</w:t>
      </w:r>
      <w:r w:rsidRPr="00A46532">
        <w:rPr>
          <w:rFonts w:cs="Segoe UI"/>
          <w:color w:val="000000" w:themeColor="text1"/>
          <w:szCs w:val="20"/>
        </w:rPr>
        <w:t xml:space="preserve"> RVS na rok 2023, v ktorom celkové výdavky z POO </w:t>
      </w:r>
      <w:r>
        <w:rPr>
          <w:rFonts w:cs="Segoe UI"/>
          <w:color w:val="000000" w:themeColor="text1"/>
          <w:szCs w:val="20"/>
        </w:rPr>
        <w:t xml:space="preserve">na rok 2023 </w:t>
      </w:r>
      <w:r w:rsidRPr="00A46532">
        <w:rPr>
          <w:rFonts w:cs="Segoe UI"/>
          <w:color w:val="000000" w:themeColor="text1"/>
          <w:szCs w:val="20"/>
        </w:rPr>
        <w:t xml:space="preserve">boli </w:t>
      </w:r>
      <w:r>
        <w:rPr>
          <w:rFonts w:cs="Segoe UI"/>
          <w:color w:val="000000" w:themeColor="text1"/>
          <w:szCs w:val="20"/>
        </w:rPr>
        <w:t xml:space="preserve">plánované </w:t>
      </w:r>
      <w:r w:rsidRPr="00A46532">
        <w:rPr>
          <w:rFonts w:cs="Segoe UI"/>
          <w:color w:val="000000" w:themeColor="text1"/>
          <w:szCs w:val="20"/>
        </w:rPr>
        <w:t xml:space="preserve">na úrovni 2,01 mld. eur. Ku koncu septembra 2023 sa z týchto rozpočtovaných výdavkov </w:t>
      </w:r>
      <w:r>
        <w:rPr>
          <w:rFonts w:cs="Segoe UI"/>
          <w:color w:val="000000" w:themeColor="text1"/>
          <w:szCs w:val="20"/>
        </w:rPr>
        <w:t>v</w:t>
      </w:r>
      <w:r w:rsidRPr="00A46532">
        <w:rPr>
          <w:rFonts w:cs="Segoe UI"/>
          <w:color w:val="000000" w:themeColor="text1"/>
          <w:szCs w:val="20"/>
        </w:rPr>
        <w:t>yčerpalo 316,28 mil. eur, s čím súvisia výdavky na platbu DPH na úrovni 11,8</w:t>
      </w:r>
      <w:r w:rsidR="00C94AB9">
        <w:rPr>
          <w:rFonts w:cs="Segoe UI"/>
          <w:color w:val="000000" w:themeColor="text1"/>
          <w:szCs w:val="20"/>
        </w:rPr>
        <w:t> </w:t>
      </w:r>
      <w:r w:rsidRPr="00A46532">
        <w:rPr>
          <w:rFonts w:cs="Segoe UI"/>
          <w:color w:val="000000" w:themeColor="text1"/>
          <w:szCs w:val="20"/>
        </w:rPr>
        <w:t xml:space="preserve">mil. eur. </w:t>
      </w:r>
      <w:r w:rsidR="00C17156">
        <w:rPr>
          <w:rFonts w:cs="Segoe UI"/>
          <w:color w:val="000000" w:themeColor="text1"/>
          <w:szCs w:val="20"/>
        </w:rPr>
        <w:t>Bežn</w:t>
      </w:r>
      <w:r w:rsidR="004F324F" w:rsidRPr="00D02142">
        <w:rPr>
          <w:rFonts w:cs="Segoe UI"/>
          <w:color w:val="000000" w:themeColor="text1"/>
          <w:szCs w:val="20"/>
        </w:rPr>
        <w:t xml:space="preserve">é výdavky </w:t>
      </w:r>
      <w:r w:rsidR="00C17156">
        <w:rPr>
          <w:rFonts w:cs="Segoe UI"/>
          <w:color w:val="000000" w:themeColor="text1"/>
          <w:szCs w:val="20"/>
        </w:rPr>
        <w:t xml:space="preserve">boli </w:t>
      </w:r>
      <w:r w:rsidR="004F324F" w:rsidRPr="00D02142">
        <w:rPr>
          <w:rFonts w:cs="Segoe UI"/>
          <w:color w:val="000000" w:themeColor="text1"/>
          <w:szCs w:val="20"/>
        </w:rPr>
        <w:t xml:space="preserve">čerpané </w:t>
      </w:r>
      <w:r w:rsidR="00C17156">
        <w:rPr>
          <w:rFonts w:cs="Segoe UI"/>
          <w:color w:val="000000" w:themeColor="text1"/>
          <w:szCs w:val="20"/>
        </w:rPr>
        <w:t>vo výške 90,9</w:t>
      </w:r>
      <w:r w:rsidR="000201F0">
        <w:rPr>
          <w:rFonts w:cs="Segoe UI"/>
          <w:color w:val="000000" w:themeColor="text1"/>
          <w:szCs w:val="20"/>
        </w:rPr>
        <w:t>4</w:t>
      </w:r>
      <w:r w:rsidR="00C17156">
        <w:rPr>
          <w:rFonts w:cs="Segoe UI"/>
          <w:color w:val="000000" w:themeColor="text1"/>
          <w:szCs w:val="20"/>
        </w:rPr>
        <w:t xml:space="preserve"> mil. eur</w:t>
      </w:r>
      <w:r w:rsidR="004F324F" w:rsidRPr="00D02142">
        <w:rPr>
          <w:rFonts w:cs="Segoe UI"/>
          <w:color w:val="000000" w:themeColor="text1"/>
          <w:szCs w:val="20"/>
        </w:rPr>
        <w:t xml:space="preserve"> a kapitálové </w:t>
      </w:r>
      <w:r w:rsidR="00C17156">
        <w:rPr>
          <w:rFonts w:cs="Segoe UI"/>
          <w:color w:val="000000" w:themeColor="text1"/>
          <w:szCs w:val="20"/>
        </w:rPr>
        <w:t xml:space="preserve">výdavky </w:t>
      </w:r>
      <w:r w:rsidR="00B60600">
        <w:rPr>
          <w:rFonts w:cs="Segoe UI"/>
          <w:color w:val="000000" w:themeColor="text1"/>
          <w:szCs w:val="20"/>
        </w:rPr>
        <w:t>predstavovali</w:t>
      </w:r>
      <w:r w:rsidR="004F324F" w:rsidRPr="00D02142">
        <w:rPr>
          <w:rFonts w:cs="Segoe UI"/>
          <w:color w:val="000000" w:themeColor="text1"/>
          <w:szCs w:val="20"/>
        </w:rPr>
        <w:t xml:space="preserve"> </w:t>
      </w:r>
      <w:r w:rsidR="004F324F">
        <w:rPr>
          <w:rFonts w:cs="Segoe UI"/>
          <w:color w:val="000000" w:themeColor="text1"/>
          <w:szCs w:val="20"/>
        </w:rPr>
        <w:t>225</w:t>
      </w:r>
      <w:r w:rsidR="000201F0">
        <w:rPr>
          <w:rFonts w:cs="Segoe UI"/>
          <w:color w:val="000000" w:themeColor="text1"/>
          <w:szCs w:val="20"/>
        </w:rPr>
        <w:t>,34</w:t>
      </w:r>
      <w:r w:rsidR="004F324F">
        <w:rPr>
          <w:rFonts w:cs="Segoe UI"/>
          <w:color w:val="000000" w:themeColor="text1"/>
          <w:szCs w:val="20"/>
        </w:rPr>
        <w:t xml:space="preserve"> mil. eur</w:t>
      </w:r>
      <w:r w:rsidR="00B60600">
        <w:rPr>
          <w:rFonts w:cs="Segoe UI"/>
          <w:color w:val="000000" w:themeColor="text1"/>
          <w:szCs w:val="20"/>
        </w:rPr>
        <w:t>.</w:t>
      </w:r>
      <w:r w:rsidR="004F324F" w:rsidRPr="00D02142">
        <w:rPr>
          <w:rFonts w:cs="Segoe UI"/>
          <w:color w:val="000000" w:themeColor="text1"/>
          <w:szCs w:val="20"/>
        </w:rPr>
        <w:t xml:space="preserve"> </w:t>
      </w:r>
      <w:r w:rsidR="00B60600">
        <w:rPr>
          <w:rFonts w:cs="Segoe UI"/>
          <w:color w:val="000000" w:themeColor="text1"/>
          <w:szCs w:val="20"/>
        </w:rPr>
        <w:t xml:space="preserve">Do konca roka zostáva </w:t>
      </w:r>
      <w:r w:rsidR="004F324F" w:rsidRPr="00D02142">
        <w:rPr>
          <w:rFonts w:cs="Segoe UI"/>
          <w:color w:val="000000" w:themeColor="text1"/>
          <w:szCs w:val="20"/>
        </w:rPr>
        <w:t xml:space="preserve">podľa schváleného rozpočtu </w:t>
      </w:r>
      <w:r w:rsidR="00B60600">
        <w:rPr>
          <w:rFonts w:cs="Segoe UI"/>
          <w:color w:val="000000" w:themeColor="text1"/>
          <w:szCs w:val="20"/>
        </w:rPr>
        <w:t>vyčerpať</w:t>
      </w:r>
      <w:r w:rsidR="004F324F" w:rsidRPr="00D02142">
        <w:rPr>
          <w:rFonts w:cs="Segoe UI"/>
          <w:color w:val="000000" w:themeColor="text1"/>
          <w:szCs w:val="20"/>
        </w:rPr>
        <w:t xml:space="preserve"> ešte 1,69 mld. eur. </w:t>
      </w:r>
      <w:r w:rsidR="00B60600">
        <w:rPr>
          <w:rFonts w:cs="Segoe UI"/>
          <w:color w:val="000000" w:themeColor="text1"/>
          <w:szCs w:val="20"/>
        </w:rPr>
        <w:t>Aj keď sa c</w:t>
      </w:r>
      <w:r w:rsidR="004F324F" w:rsidRPr="00D02142">
        <w:rPr>
          <w:rFonts w:cs="Segoe UI"/>
          <w:color w:val="000000" w:themeColor="text1"/>
          <w:szCs w:val="20"/>
        </w:rPr>
        <w:t xml:space="preserve">elkovo </w:t>
      </w:r>
      <w:r w:rsidR="00B60600">
        <w:rPr>
          <w:rFonts w:cs="Segoe UI"/>
          <w:color w:val="000000" w:themeColor="text1"/>
          <w:szCs w:val="20"/>
        </w:rPr>
        <w:t>z</w:t>
      </w:r>
      <w:r w:rsidR="004F324F" w:rsidRPr="00D02142">
        <w:rPr>
          <w:rFonts w:cs="Segoe UI"/>
          <w:color w:val="000000" w:themeColor="text1"/>
          <w:szCs w:val="20"/>
        </w:rPr>
        <w:t xml:space="preserve"> POO k 30. 9. 2023 nevyčerpalo ani 16 % rozpočtu, niektoré </w:t>
      </w:r>
      <w:r w:rsidR="00BF7921">
        <w:rPr>
          <w:rFonts w:cs="Segoe UI"/>
          <w:color w:val="000000" w:themeColor="text1"/>
          <w:szCs w:val="20"/>
        </w:rPr>
        <w:t xml:space="preserve">výdavkové </w:t>
      </w:r>
      <w:r w:rsidR="004F324F" w:rsidRPr="00D02142">
        <w:rPr>
          <w:rFonts w:cs="Segoe UI"/>
          <w:color w:val="000000" w:themeColor="text1"/>
          <w:szCs w:val="20"/>
        </w:rPr>
        <w:t>položky vo viacerých kapitolách presiahli úroveň 100 % z rozpočtovanej sumy na celý rok 2023</w:t>
      </w:r>
      <w:r w:rsidR="004F324F" w:rsidRPr="0050756F">
        <w:rPr>
          <w:rFonts w:cs="Segoe UI"/>
          <w:color w:val="000000" w:themeColor="text1"/>
          <w:szCs w:val="20"/>
        </w:rPr>
        <w:t xml:space="preserve">. </w:t>
      </w:r>
      <w:r w:rsidR="00AD4386" w:rsidRPr="0050756F">
        <w:rPr>
          <w:rFonts w:cs="Segoe UI"/>
          <w:color w:val="000000" w:themeColor="text1"/>
          <w:szCs w:val="20"/>
        </w:rPr>
        <w:t>Najviac prekročenou položkou v rámci POO za rok 2023 oproti schválenému rozpočtu bol zatiaľ nákup osobných automobilov v kapitole MV SR (29 mil. eur namiesto rozpočtovaných 0,21 mil. eur), nákup výpočtovej techniky na viacerých rezortoch (6,7 mil. eur namiesto rozpočtovaných 0,21 mil. eur) alebo preplatenie štúdií, expertíz a posudkov na MŠVVŠ SR a MIRRI SR (2,8 mil. eur namiesto rozpočtovaných 0,19 mil. eur).</w:t>
      </w:r>
      <w:r w:rsidR="00AD4386" w:rsidRPr="00AD4386">
        <w:rPr>
          <w:rFonts w:cs="Segoe UI"/>
          <w:color w:val="000000" w:themeColor="text1"/>
          <w:szCs w:val="20"/>
        </w:rPr>
        <w:t xml:space="preserve"> </w:t>
      </w:r>
      <w:r w:rsidRPr="00A46532">
        <w:rPr>
          <w:rFonts w:cs="Segoe UI"/>
          <w:color w:val="000000" w:themeColor="text1"/>
          <w:szCs w:val="20"/>
        </w:rPr>
        <w:t>D</w:t>
      </w:r>
      <w:r w:rsidR="007B1BC7" w:rsidRPr="00A46532">
        <w:rPr>
          <w:rFonts w:cs="Segoe UI"/>
          <w:color w:val="000000" w:themeColor="text1"/>
          <w:szCs w:val="20"/>
        </w:rPr>
        <w:t xml:space="preserve">o konca roka 2023 plánuje </w:t>
      </w:r>
      <w:r w:rsidR="004D118B">
        <w:rPr>
          <w:rFonts w:cs="Segoe UI"/>
          <w:color w:val="000000" w:themeColor="text1"/>
          <w:szCs w:val="20"/>
        </w:rPr>
        <w:t xml:space="preserve">Slovensko </w:t>
      </w:r>
      <w:r w:rsidR="007B1BC7" w:rsidRPr="00A46532">
        <w:rPr>
          <w:rFonts w:cs="Segoe UI"/>
          <w:color w:val="000000" w:themeColor="text1"/>
          <w:szCs w:val="20"/>
        </w:rPr>
        <w:t>predložiť aj štvrtú žiadosť o platbu (923 mil. eur).</w:t>
      </w:r>
    </w:p>
    <w:p w14:paraId="6ACBF6B2" w14:textId="559BDDCA" w:rsidR="00865D0E" w:rsidRPr="00351C1E" w:rsidRDefault="001F7D00" w:rsidP="001F7D00">
      <w:pPr>
        <w:keepNext/>
        <w:spacing w:after="0"/>
        <w:rPr>
          <w:rFonts w:cs="Segoe UI"/>
          <w:color w:val="000000" w:themeColor="text1"/>
          <w:szCs w:val="20"/>
        </w:rPr>
      </w:pPr>
      <w:r w:rsidRPr="00B52912">
        <w:rPr>
          <w:rFonts w:eastAsia="Calibri" w:cs="Times New Roman"/>
          <w:b/>
          <w:iCs/>
          <w:color w:val="314364"/>
          <w:szCs w:val="18"/>
        </w:rPr>
        <w:t xml:space="preserve">Tabuľka </w:t>
      </w:r>
      <w:r>
        <w:rPr>
          <w:rFonts w:eastAsia="Calibri" w:cs="Times New Roman"/>
          <w:b/>
          <w:iCs/>
          <w:color w:val="314364"/>
          <w:szCs w:val="18"/>
        </w:rPr>
        <w:t>4</w:t>
      </w:r>
      <w:r w:rsidRPr="00B52912">
        <w:rPr>
          <w:rFonts w:eastAsia="Calibri" w:cs="Times New Roman"/>
          <w:b/>
          <w:iCs/>
          <w:color w:val="314364"/>
          <w:szCs w:val="18"/>
        </w:rPr>
        <w:t xml:space="preserve">: </w:t>
      </w:r>
      <w:r w:rsidR="00804EE7">
        <w:rPr>
          <w:rFonts w:eastAsia="Calibri" w:cs="Times New Roman"/>
          <w:b/>
          <w:iCs/>
          <w:color w:val="314364"/>
          <w:szCs w:val="18"/>
        </w:rPr>
        <w:t xml:space="preserve">Prostriedky z rozpočtu EÚ a POO v jednotlivých kapitolách </w:t>
      </w:r>
      <w:r w:rsidR="00C94AB9">
        <w:rPr>
          <w:rFonts w:eastAsia="Calibri" w:cs="Times New Roman"/>
          <w:b/>
          <w:iCs/>
          <w:color w:val="314364"/>
          <w:szCs w:val="18"/>
        </w:rPr>
        <w:t xml:space="preserve">v 2024 </w:t>
      </w:r>
      <w:r w:rsidR="00804EE7">
        <w:rPr>
          <w:rFonts w:eastAsia="Calibri" w:cs="Times New Roman"/>
          <w:b/>
          <w:iCs/>
          <w:color w:val="314364"/>
          <w:szCs w:val="18"/>
        </w:rPr>
        <w:t>(v mil. eur)</w:t>
      </w:r>
      <w:r w:rsidR="00865D0E" w:rsidRPr="004E0B10">
        <w:fldChar w:fldCharType="begin"/>
      </w:r>
      <w:r w:rsidR="00865D0E" w:rsidRPr="004E0B10">
        <w:instrText xml:space="preserve"> LINK </w:instrText>
      </w:r>
      <w:r w:rsidR="00865D0E">
        <w:instrText xml:space="preserve">Excel.Sheet.12 "D:\\SYSTÉMOVÉ PRIEČINKY\\Desktop\\Stan k vyrovnanému rozpočtu\\šablóna na grafy.xlsx" Hárok4!R2C6:R16C8 </w:instrText>
      </w:r>
      <w:r w:rsidR="00865D0E" w:rsidRPr="004E0B10">
        <w:instrText xml:space="preserve">\a \f 4 \h  \* MERGEFORMAT </w:instrText>
      </w:r>
      <w:r w:rsidR="00865D0E" w:rsidRPr="004E0B10">
        <w:fldChar w:fldCharType="separate"/>
      </w:r>
    </w:p>
    <w:tbl>
      <w:tblPr>
        <w:tblW w:w="9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8"/>
        <w:gridCol w:w="1405"/>
        <w:gridCol w:w="1405"/>
      </w:tblGrid>
      <w:tr w:rsidR="00865D0E" w:rsidRPr="001B77C9" w14:paraId="637FE459" w14:textId="77777777" w:rsidTr="008055E4">
        <w:trPr>
          <w:trHeight w:val="567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314364"/>
            <w:vAlign w:val="center"/>
            <w:hideMark/>
          </w:tcPr>
          <w:p w14:paraId="2DC405D9" w14:textId="77777777" w:rsidR="00865D0E" w:rsidRPr="001B77C9" w:rsidRDefault="00865D0E" w:rsidP="008055E4">
            <w:pPr>
              <w:spacing w:after="0"/>
              <w:jc w:val="left"/>
              <w:rPr>
                <w:rFonts w:eastAsia="Times New Roman" w:cs="Segoe UI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b/>
                <w:bCs/>
                <w:color w:val="FFFFFF"/>
                <w:sz w:val="18"/>
                <w:szCs w:val="18"/>
                <w:lang w:eastAsia="sk-SK"/>
              </w:rPr>
              <w:t>Kapitola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314364"/>
            <w:vAlign w:val="center"/>
            <w:hideMark/>
          </w:tcPr>
          <w:p w14:paraId="542120FC" w14:textId="77777777" w:rsidR="00865D0E" w:rsidRPr="001B77C9" w:rsidRDefault="00865D0E" w:rsidP="008055E4">
            <w:pPr>
              <w:spacing w:after="0" w:line="240" w:lineRule="auto"/>
              <w:jc w:val="right"/>
              <w:rPr>
                <w:rFonts w:eastAsia="Times New Roman" w:cs="Segoe UI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b/>
                <w:bCs/>
                <w:color w:val="FFFFFF"/>
                <w:sz w:val="18"/>
                <w:szCs w:val="18"/>
                <w:lang w:eastAsia="sk-SK"/>
              </w:rPr>
              <w:t>Prostriedky z rozpočtu EÚ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314364"/>
            <w:vAlign w:val="center"/>
            <w:hideMark/>
          </w:tcPr>
          <w:p w14:paraId="15FB4482" w14:textId="77777777" w:rsidR="00865D0E" w:rsidRPr="001B77C9" w:rsidRDefault="00865D0E" w:rsidP="008055E4">
            <w:pPr>
              <w:spacing w:after="0" w:line="240" w:lineRule="auto"/>
              <w:jc w:val="right"/>
              <w:rPr>
                <w:rFonts w:eastAsia="Times New Roman" w:cs="Segoe UI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b/>
                <w:bCs/>
                <w:color w:val="FFFFFF"/>
                <w:sz w:val="18"/>
                <w:szCs w:val="18"/>
                <w:lang w:eastAsia="sk-SK"/>
              </w:rPr>
              <w:t>Prostriedky z POO</w:t>
            </w:r>
          </w:p>
        </w:tc>
      </w:tr>
      <w:tr w:rsidR="00865D0E" w:rsidRPr="001B77C9" w14:paraId="724551C5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82238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sz w:val="18"/>
                <w:szCs w:val="18"/>
                <w:lang w:eastAsia="sk-SK"/>
              </w:rPr>
              <w:t>Úrad vlády SR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589CD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42D94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115,9</w:t>
            </w:r>
          </w:p>
        </w:tc>
      </w:tr>
      <w:tr w:rsidR="00865D0E" w:rsidRPr="001B77C9" w14:paraId="001A8F53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EDC96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sz w:val="18"/>
                <w:szCs w:val="18"/>
                <w:lang w:eastAsia="sk-SK"/>
              </w:rPr>
              <w:t>Ministerstvo investícií, regionálneho rozvoja a informatizácie SR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16799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77,0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00AC8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142,6</w:t>
            </w:r>
          </w:p>
        </w:tc>
      </w:tr>
      <w:tr w:rsidR="00865D0E" w:rsidRPr="001B77C9" w14:paraId="5940E0AF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90F83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sz w:val="18"/>
                <w:szCs w:val="18"/>
                <w:lang w:eastAsia="sk-SK"/>
              </w:rPr>
              <w:t>Ministerstvo vnútra SR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4DC73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9,3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9F10B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27,1</w:t>
            </w:r>
          </w:p>
        </w:tc>
      </w:tr>
      <w:tr w:rsidR="00865D0E" w:rsidRPr="001B77C9" w14:paraId="5A33C3B3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8739F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Ministerstvo spravodlivosti SR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862D7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4C844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11,3</w:t>
            </w:r>
          </w:p>
        </w:tc>
      </w:tr>
      <w:tr w:rsidR="00865D0E" w:rsidRPr="001B77C9" w14:paraId="1E1FA6AE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7928E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sz w:val="18"/>
                <w:szCs w:val="18"/>
                <w:lang w:eastAsia="sk-SK"/>
              </w:rPr>
              <w:t>Ministerstvo financií SR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E13F8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10EC0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1,5</w:t>
            </w:r>
          </w:p>
        </w:tc>
      </w:tr>
      <w:tr w:rsidR="00865D0E" w:rsidRPr="001B77C9" w14:paraId="799FE58B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A2D43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sz w:val="18"/>
                <w:szCs w:val="18"/>
                <w:lang w:eastAsia="sk-SK"/>
              </w:rPr>
              <w:t>Ministerstvo životného prostredia SR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74B31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83,1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C6732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241,7</w:t>
            </w:r>
          </w:p>
        </w:tc>
      </w:tr>
      <w:tr w:rsidR="00865D0E" w:rsidRPr="001B77C9" w14:paraId="09C22884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5F36B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sz w:val="18"/>
                <w:szCs w:val="18"/>
                <w:lang w:eastAsia="sk-SK"/>
              </w:rPr>
              <w:t>Ministerstvo školstva, vedy, výskumu a športu SR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81554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108,5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71FF7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111,3</w:t>
            </w:r>
          </w:p>
        </w:tc>
      </w:tr>
      <w:tr w:rsidR="00865D0E" w:rsidRPr="001B77C9" w14:paraId="7CC7B0E0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90500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sz w:val="18"/>
                <w:szCs w:val="18"/>
                <w:lang w:eastAsia="sk-SK"/>
              </w:rPr>
              <w:t>Ministerstvo zdravotníctva SR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1C1EB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92405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227,5</w:t>
            </w:r>
          </w:p>
        </w:tc>
      </w:tr>
      <w:tr w:rsidR="00865D0E" w:rsidRPr="001B77C9" w14:paraId="2A82439D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97225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sz w:val="18"/>
                <w:szCs w:val="18"/>
                <w:lang w:eastAsia="sk-SK"/>
              </w:rPr>
              <w:t>Ministerstvo práce, sociálnych vecí a rodiny SR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CB728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60,1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B3878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44,3</w:t>
            </w:r>
          </w:p>
        </w:tc>
      </w:tr>
      <w:tr w:rsidR="00865D0E" w:rsidRPr="001B77C9" w14:paraId="2C3C148B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8A6B7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sz w:val="18"/>
                <w:szCs w:val="18"/>
                <w:lang w:eastAsia="sk-SK"/>
              </w:rPr>
              <w:t>Ministerstvo hospodárstva SR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09BA9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72,1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092C9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100,9</w:t>
            </w:r>
          </w:p>
        </w:tc>
      </w:tr>
      <w:tr w:rsidR="00865D0E" w:rsidRPr="001B77C9" w14:paraId="683FB363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CE513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sz w:val="18"/>
                <w:szCs w:val="18"/>
                <w:lang w:eastAsia="sk-SK"/>
              </w:rPr>
              <w:t>Ministerstvo pôdohospodárstva a rozvoja vidieka SR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D5CD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757,0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319C0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</w:t>
            </w:r>
          </w:p>
        </w:tc>
      </w:tr>
      <w:tr w:rsidR="00865D0E" w:rsidRPr="001B77C9" w14:paraId="7A54E8F0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1D898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sz w:val="18"/>
                <w:szCs w:val="18"/>
                <w:lang w:eastAsia="sk-SK"/>
              </w:rPr>
              <w:t>Ministerstvo dopravy SR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F3430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70,1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1B761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225,6</w:t>
            </w:r>
          </w:p>
        </w:tc>
      </w:tr>
      <w:tr w:rsidR="00865D0E" w:rsidRPr="001B77C9" w14:paraId="00D80F6D" w14:textId="77777777" w:rsidTr="008055E4">
        <w:trPr>
          <w:trHeight w:val="278"/>
        </w:trPr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94430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sz w:val="18"/>
                <w:szCs w:val="18"/>
                <w:lang w:eastAsia="sk-SK"/>
              </w:rPr>
              <w:t>Úrad pre verejné obstarávanie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9A8CD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D7F43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0,4</w:t>
            </w:r>
          </w:p>
        </w:tc>
      </w:tr>
      <w:tr w:rsidR="00865D0E" w:rsidRPr="001B77C9" w14:paraId="632FC3CB" w14:textId="77777777" w:rsidTr="008055E4">
        <w:trPr>
          <w:trHeight w:val="290"/>
        </w:trPr>
        <w:tc>
          <w:tcPr>
            <w:tcW w:w="6278" w:type="dxa"/>
            <w:tcBorders>
              <w:top w:val="nil"/>
              <w:left w:val="nil"/>
              <w:bottom w:val="single" w:sz="8" w:space="0" w:color="314364"/>
              <w:right w:val="nil"/>
            </w:tcBorders>
            <w:shd w:val="clear" w:color="000000" w:fill="FFFFFF"/>
            <w:noWrap/>
            <w:vAlign w:val="center"/>
            <w:hideMark/>
          </w:tcPr>
          <w:p w14:paraId="7BD47327" w14:textId="77777777" w:rsidR="00865D0E" w:rsidRPr="001B77C9" w:rsidRDefault="00865D0E">
            <w:pPr>
              <w:spacing w:after="0" w:line="240" w:lineRule="auto"/>
              <w:jc w:val="lef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b/>
                <w:bCs/>
                <w:sz w:val="18"/>
                <w:szCs w:val="18"/>
                <w:lang w:eastAsia="sk-SK"/>
              </w:rPr>
              <w:t>Spolu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52A5F8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b/>
                <w:bCs/>
                <w:color w:val="000000"/>
                <w:sz w:val="18"/>
                <w:szCs w:val="18"/>
                <w:lang w:eastAsia="sk-SK"/>
              </w:rPr>
              <w:t>1 237,2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B5D16B" w14:textId="77777777" w:rsidR="00865D0E" w:rsidRPr="001B77C9" w:rsidRDefault="00865D0E">
            <w:pPr>
              <w:spacing w:after="0" w:line="240" w:lineRule="auto"/>
              <w:jc w:val="right"/>
              <w:rPr>
                <w:rFonts w:eastAsia="Times New Roman" w:cs="Segoe U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1B77C9">
              <w:rPr>
                <w:rFonts w:eastAsia="Times New Roman" w:cs="Segoe UI"/>
                <w:b/>
                <w:bCs/>
                <w:color w:val="000000"/>
                <w:sz w:val="18"/>
                <w:szCs w:val="18"/>
                <w:lang w:eastAsia="sk-SK"/>
              </w:rPr>
              <w:t>1 250,2</w:t>
            </w:r>
          </w:p>
        </w:tc>
      </w:tr>
    </w:tbl>
    <w:p w14:paraId="584E965B" w14:textId="04AD9121" w:rsidR="000E5B51" w:rsidRDefault="00865D0E" w:rsidP="0083385B">
      <w:pPr>
        <w:pStyle w:val="Bezriadkovania"/>
        <w:spacing w:after="120" w:line="276" w:lineRule="auto"/>
        <w:jc w:val="both"/>
        <w:rPr>
          <w:rFonts w:ascii="Segoe UI" w:eastAsia="Calibri" w:hAnsi="Segoe UI" w:cs="Times New Roman"/>
          <w:i/>
          <w:color w:val="314364"/>
          <w:sz w:val="16"/>
          <w:lang w:eastAsia="en-US"/>
        </w:rPr>
      </w:pPr>
      <w:r w:rsidRPr="004E0B10">
        <w:rPr>
          <w:rFonts w:cs="Segoe UI"/>
          <w:color w:val="000000" w:themeColor="text1"/>
          <w:szCs w:val="20"/>
        </w:rPr>
        <w:fldChar w:fldCharType="end"/>
      </w:r>
      <w:r w:rsidRPr="004E0B10">
        <w:rPr>
          <w:rFonts w:cs="Segoe UI"/>
          <w:sz w:val="18"/>
          <w:szCs w:val="18"/>
        </w:rPr>
        <w:t xml:space="preserve"> </w:t>
      </w:r>
      <w:r w:rsidRPr="0083385B">
        <w:rPr>
          <w:rFonts w:ascii="Segoe UI" w:eastAsia="Calibri" w:hAnsi="Segoe UI" w:cs="Times New Roman"/>
          <w:i/>
          <w:color w:val="314364"/>
          <w:sz w:val="16"/>
          <w:lang w:eastAsia="en-US"/>
        </w:rPr>
        <w:t xml:space="preserve">Zdroj: Návrh </w:t>
      </w:r>
      <w:r w:rsidR="001F7D00" w:rsidRPr="0083385B">
        <w:rPr>
          <w:rFonts w:ascii="Segoe UI" w:eastAsia="Calibri" w:hAnsi="Segoe UI" w:cs="Times New Roman"/>
          <w:i/>
          <w:color w:val="314364"/>
          <w:sz w:val="16"/>
          <w:lang w:eastAsia="en-US"/>
        </w:rPr>
        <w:t>RVS</w:t>
      </w:r>
      <w:r w:rsidRPr="0083385B">
        <w:rPr>
          <w:rFonts w:ascii="Segoe UI" w:eastAsia="Calibri" w:hAnsi="Segoe UI" w:cs="Times New Roman"/>
          <w:i/>
          <w:color w:val="314364"/>
          <w:sz w:val="16"/>
          <w:lang w:eastAsia="en-US"/>
        </w:rPr>
        <w:t xml:space="preserve"> na roky 2024 – 2026</w:t>
      </w:r>
      <w:r w:rsidR="000E5B51">
        <w:rPr>
          <w:rFonts w:ascii="Segoe UI" w:eastAsia="Calibri" w:hAnsi="Segoe UI" w:cs="Times New Roman"/>
          <w:i/>
          <w:color w:val="314364"/>
          <w:sz w:val="16"/>
          <w:lang w:eastAsia="en-US"/>
        </w:rPr>
        <w:br w:type="page"/>
      </w:r>
    </w:p>
    <w:p w14:paraId="6EABA9F8" w14:textId="7870A3E8" w:rsidR="000D05F7" w:rsidRPr="007E17E1" w:rsidRDefault="00EC6F47" w:rsidP="000D05F7">
      <w:pPr>
        <w:pStyle w:val="Nadpis1"/>
      </w:pPr>
      <w:bookmarkStart w:id="18" w:name="_Toc86396377"/>
      <w:bookmarkStart w:id="19" w:name="_Toc149040440"/>
      <w:r>
        <w:lastRenderedPageBreak/>
        <w:t>Súhrnné r</w:t>
      </w:r>
      <w:r w:rsidR="00AE01AE" w:rsidRPr="007E17E1">
        <w:t>iziká návrhu</w:t>
      </w:r>
      <w:r w:rsidR="000D05F7" w:rsidRPr="007E17E1">
        <w:t xml:space="preserve"> </w:t>
      </w:r>
      <w:r w:rsidR="00CC180B" w:rsidRPr="007E17E1">
        <w:t>ŠR</w:t>
      </w:r>
      <w:r w:rsidR="000D05F7" w:rsidRPr="007E17E1">
        <w:t xml:space="preserve"> na rok 202</w:t>
      </w:r>
      <w:bookmarkEnd w:id="18"/>
      <w:r w:rsidR="007033E5">
        <w:t>4</w:t>
      </w:r>
      <w:bookmarkEnd w:id="19"/>
    </w:p>
    <w:p w14:paraId="2F3F72C6" w14:textId="7289D7F2" w:rsidR="00CE4599" w:rsidRDefault="00CE4599" w:rsidP="0083385B">
      <w:pPr>
        <w:rPr>
          <w:rFonts w:eastAsia="Calibri" w:cs="Segoe UI"/>
          <w:szCs w:val="20"/>
        </w:rPr>
      </w:pPr>
      <w:r w:rsidRPr="006C2234">
        <w:rPr>
          <w:rFonts w:eastAsia="Calibri" w:cs="Segoe UI"/>
          <w:b/>
          <w:szCs w:val="20"/>
        </w:rPr>
        <w:t>V súlade so zákonom o rozpočtovej zodpovednosti vláda SR pripravila návrh vyrovnaného RVS na roky 2024 až 2026 v nadväznosti na aktuálne platné sankcie vyplývajúce z dlhovej brzdy.</w:t>
      </w:r>
      <w:r w:rsidR="006C2234">
        <w:rPr>
          <w:rFonts w:eastAsia="Calibri" w:cs="Segoe UI"/>
          <w:szCs w:val="20"/>
        </w:rPr>
        <w:t xml:space="preserve"> </w:t>
      </w:r>
    </w:p>
    <w:p w14:paraId="3022DBD7" w14:textId="5BE6996A" w:rsidR="00CE4599" w:rsidRPr="006A5B76" w:rsidRDefault="006C2234" w:rsidP="0083385B">
      <w:pPr>
        <w:rPr>
          <w:rFonts w:cs="Segoe UI"/>
          <w:szCs w:val="20"/>
        </w:rPr>
      </w:pPr>
      <w:r w:rsidRPr="006C2234">
        <w:rPr>
          <w:rFonts w:eastAsia="Calibri" w:cs="Segoe UI"/>
          <w:b/>
          <w:szCs w:val="20"/>
        </w:rPr>
        <w:t>V súčasnosti však predstavuje vyrovnaný rozpočet VS neprijateľnú možnosť pre SR</w:t>
      </w:r>
      <w:r w:rsidR="006804E0">
        <w:rPr>
          <w:rFonts w:eastAsia="Calibri" w:cs="Segoe UI"/>
          <w:b/>
          <w:szCs w:val="20"/>
        </w:rPr>
        <w:t>, keďže</w:t>
      </w:r>
      <w:r w:rsidRPr="006C2234">
        <w:rPr>
          <w:rFonts w:eastAsia="Calibri" w:cs="Segoe UI"/>
          <w:b/>
          <w:szCs w:val="20"/>
        </w:rPr>
        <w:t xml:space="preserve"> hospodárenie podľa neho by</w:t>
      </w:r>
      <w:r w:rsidR="00503DB6">
        <w:rPr>
          <w:rFonts w:eastAsia="Calibri" w:cs="Segoe UI"/>
          <w:b/>
          <w:szCs w:val="20"/>
        </w:rPr>
        <w:t>,</w:t>
      </w:r>
      <w:r w:rsidRPr="006C2234">
        <w:rPr>
          <w:rFonts w:eastAsia="Calibri" w:cs="Segoe UI"/>
          <w:b/>
          <w:szCs w:val="20"/>
        </w:rPr>
        <w:t xml:space="preserve"> aj podľa NKÚ SR</w:t>
      </w:r>
      <w:r w:rsidR="006804E0">
        <w:rPr>
          <w:rFonts w:eastAsia="Calibri" w:cs="Segoe UI"/>
          <w:b/>
          <w:szCs w:val="20"/>
        </w:rPr>
        <w:t>,</w:t>
      </w:r>
      <w:r w:rsidR="006804E0" w:rsidRPr="006804E0">
        <w:rPr>
          <w:rFonts w:eastAsia="Calibri" w:cs="Segoe UI"/>
          <w:b/>
          <w:szCs w:val="20"/>
        </w:rPr>
        <w:t xml:space="preserve"> znamenalo ohrozenie fungovania štátu</w:t>
      </w:r>
      <w:r w:rsidRPr="00503DB6">
        <w:rPr>
          <w:rFonts w:eastAsia="Calibri" w:cs="Segoe UI"/>
          <w:b/>
          <w:szCs w:val="20"/>
        </w:rPr>
        <w:t>.</w:t>
      </w:r>
      <w:r>
        <w:rPr>
          <w:rFonts w:eastAsia="Calibri" w:cs="Segoe UI"/>
          <w:szCs w:val="20"/>
        </w:rPr>
        <w:t xml:space="preserve"> </w:t>
      </w:r>
      <w:r w:rsidR="006804E0">
        <w:rPr>
          <w:rFonts w:eastAsia="Calibri" w:cs="Segoe UI"/>
          <w:szCs w:val="20"/>
        </w:rPr>
        <w:t xml:space="preserve">Návrh rozpočtu nereaguje ani na závažné riziká súvisiace s vojnou na Ukrajine a pretrvávajúcou energetickou krízou. </w:t>
      </w:r>
      <w:r w:rsidR="00CE4599" w:rsidRPr="006A5B76">
        <w:rPr>
          <w:rFonts w:cs="Segoe UI"/>
          <w:szCs w:val="20"/>
        </w:rPr>
        <w:t xml:space="preserve">Podľa návrhu zákona o ŠR na rok 2024 sa celkové príjmy ŠR </w:t>
      </w:r>
      <w:r w:rsidR="0083385B">
        <w:rPr>
          <w:rFonts w:cs="Segoe UI"/>
          <w:szCs w:val="20"/>
        </w:rPr>
        <w:t>odhadujú v sume</w:t>
      </w:r>
      <w:r w:rsidR="00CE4599" w:rsidRPr="006A5B76">
        <w:rPr>
          <w:rFonts w:cs="Segoe UI"/>
          <w:szCs w:val="20"/>
        </w:rPr>
        <w:t xml:space="preserve"> 19</w:t>
      </w:r>
      <w:r w:rsidR="00E51DC9">
        <w:rPr>
          <w:rFonts w:cs="Segoe UI"/>
          <w:szCs w:val="20"/>
        </w:rPr>
        <w:t>,</w:t>
      </w:r>
      <w:r w:rsidR="00CE4599" w:rsidRPr="006A5B76">
        <w:rPr>
          <w:rFonts w:cs="Segoe UI"/>
          <w:szCs w:val="20"/>
        </w:rPr>
        <w:t>6 ml</w:t>
      </w:r>
      <w:r w:rsidR="00E51DC9">
        <w:rPr>
          <w:rFonts w:cs="Segoe UI"/>
          <w:szCs w:val="20"/>
        </w:rPr>
        <w:t>d</w:t>
      </w:r>
      <w:r w:rsidR="00CE4599" w:rsidRPr="006A5B76">
        <w:rPr>
          <w:rFonts w:cs="Segoe UI"/>
          <w:szCs w:val="20"/>
        </w:rPr>
        <w:t xml:space="preserve">. eur a </w:t>
      </w:r>
      <w:r w:rsidR="00CE4599">
        <w:rPr>
          <w:rFonts w:cs="Segoe UI"/>
          <w:szCs w:val="20"/>
        </w:rPr>
        <w:t>c</w:t>
      </w:r>
      <w:r w:rsidR="00CE4599" w:rsidRPr="006A5B76">
        <w:rPr>
          <w:rFonts w:cs="Segoe UI"/>
          <w:szCs w:val="20"/>
        </w:rPr>
        <w:t xml:space="preserve">elkové výdavky </w:t>
      </w:r>
      <w:r w:rsidR="00CE4599">
        <w:rPr>
          <w:rFonts w:cs="Segoe UI"/>
          <w:szCs w:val="20"/>
        </w:rPr>
        <w:t xml:space="preserve">ŠR vo výške </w:t>
      </w:r>
      <w:r w:rsidR="00CE4599" w:rsidRPr="006A5B76">
        <w:rPr>
          <w:rFonts w:cs="Segoe UI"/>
          <w:szCs w:val="20"/>
        </w:rPr>
        <w:t>22 </w:t>
      </w:r>
      <w:r w:rsidR="00CE4599">
        <w:rPr>
          <w:rFonts w:cs="Segoe UI"/>
          <w:szCs w:val="20"/>
        </w:rPr>
        <w:t xml:space="preserve"> ml</w:t>
      </w:r>
      <w:r w:rsidR="00E51DC9">
        <w:rPr>
          <w:rFonts w:cs="Segoe UI"/>
          <w:szCs w:val="20"/>
        </w:rPr>
        <w:t>d</w:t>
      </w:r>
      <w:r w:rsidR="00CE4599">
        <w:rPr>
          <w:rFonts w:cs="Segoe UI"/>
          <w:szCs w:val="20"/>
        </w:rPr>
        <w:t>.</w:t>
      </w:r>
      <w:r w:rsidR="00CE4599" w:rsidRPr="006A5B76">
        <w:rPr>
          <w:rFonts w:cs="Segoe UI"/>
          <w:szCs w:val="20"/>
        </w:rPr>
        <w:t xml:space="preserve"> eur</w:t>
      </w:r>
      <w:r w:rsidR="00E51DC9">
        <w:rPr>
          <w:rFonts w:cs="Segoe UI"/>
          <w:szCs w:val="20"/>
        </w:rPr>
        <w:t xml:space="preserve"> (tabuľka 5)</w:t>
      </w:r>
      <w:r w:rsidR="00CE4599" w:rsidRPr="006A5B76">
        <w:rPr>
          <w:rFonts w:cs="Segoe UI"/>
          <w:szCs w:val="20"/>
        </w:rPr>
        <w:t>.</w:t>
      </w:r>
      <w:r w:rsidR="00CE4599">
        <w:rPr>
          <w:rFonts w:cs="Segoe UI"/>
          <w:szCs w:val="20"/>
        </w:rPr>
        <w:t xml:space="preserve"> </w:t>
      </w:r>
      <w:r w:rsidR="00CE4599" w:rsidRPr="006A5B76">
        <w:rPr>
          <w:rFonts w:cs="Segoe UI"/>
          <w:szCs w:val="20"/>
        </w:rPr>
        <w:t xml:space="preserve">Schodok </w:t>
      </w:r>
      <w:r w:rsidR="00CE4599">
        <w:rPr>
          <w:rFonts w:cs="Segoe UI"/>
          <w:szCs w:val="20"/>
        </w:rPr>
        <w:t xml:space="preserve">ŠR </w:t>
      </w:r>
      <w:r w:rsidR="0083385B">
        <w:rPr>
          <w:rFonts w:cs="Segoe UI"/>
          <w:szCs w:val="20"/>
        </w:rPr>
        <w:t>potom predstavuje</w:t>
      </w:r>
      <w:r w:rsidR="00CE4599" w:rsidRPr="006A5B76">
        <w:rPr>
          <w:rFonts w:cs="Segoe UI"/>
          <w:szCs w:val="20"/>
        </w:rPr>
        <w:t xml:space="preserve"> 2</w:t>
      </w:r>
      <w:r w:rsidR="00E51DC9">
        <w:rPr>
          <w:rFonts w:cs="Segoe UI"/>
          <w:szCs w:val="20"/>
        </w:rPr>
        <w:t>,</w:t>
      </w:r>
      <w:r w:rsidR="00CE4599">
        <w:rPr>
          <w:rFonts w:cs="Segoe UI"/>
          <w:szCs w:val="20"/>
        </w:rPr>
        <w:t>4 ml</w:t>
      </w:r>
      <w:r w:rsidR="00E51DC9">
        <w:rPr>
          <w:rFonts w:cs="Segoe UI"/>
          <w:szCs w:val="20"/>
        </w:rPr>
        <w:t>d</w:t>
      </w:r>
      <w:r w:rsidR="00CE4599">
        <w:rPr>
          <w:rFonts w:cs="Segoe UI"/>
          <w:szCs w:val="20"/>
        </w:rPr>
        <w:t>. eur, čo je o</w:t>
      </w:r>
      <w:r w:rsidR="00E51DC9">
        <w:rPr>
          <w:rFonts w:cs="Segoe UI"/>
          <w:szCs w:val="20"/>
        </w:rPr>
        <w:t> </w:t>
      </w:r>
      <w:r w:rsidR="00CE4599">
        <w:rPr>
          <w:rFonts w:cs="Segoe UI"/>
          <w:szCs w:val="20"/>
        </w:rPr>
        <w:t>5</w:t>
      </w:r>
      <w:r w:rsidR="00E51DC9">
        <w:rPr>
          <w:rFonts w:cs="Segoe UI"/>
          <w:szCs w:val="20"/>
        </w:rPr>
        <w:t>,</w:t>
      </w:r>
      <w:r w:rsidR="00CE4599">
        <w:rPr>
          <w:rFonts w:cs="Segoe UI"/>
          <w:szCs w:val="20"/>
        </w:rPr>
        <w:t>9</w:t>
      </w:r>
      <w:r w:rsidR="00E51DC9">
        <w:rPr>
          <w:rFonts w:cs="Segoe UI"/>
          <w:szCs w:val="20"/>
        </w:rPr>
        <w:t xml:space="preserve"> </w:t>
      </w:r>
      <w:r w:rsidR="00CE4599">
        <w:rPr>
          <w:rFonts w:cs="Segoe UI"/>
          <w:szCs w:val="20"/>
        </w:rPr>
        <w:t>ml</w:t>
      </w:r>
      <w:r w:rsidR="00E51DC9">
        <w:rPr>
          <w:rFonts w:cs="Segoe UI"/>
          <w:szCs w:val="20"/>
        </w:rPr>
        <w:t>d</w:t>
      </w:r>
      <w:r w:rsidR="00CE4599">
        <w:rPr>
          <w:rFonts w:cs="Segoe UI"/>
          <w:szCs w:val="20"/>
        </w:rPr>
        <w:t xml:space="preserve">. eur menej oproti </w:t>
      </w:r>
      <w:r w:rsidR="0083385B">
        <w:rPr>
          <w:rFonts w:cs="Segoe UI"/>
          <w:szCs w:val="20"/>
        </w:rPr>
        <w:t xml:space="preserve">schválenému </w:t>
      </w:r>
      <w:r w:rsidR="00CE4599">
        <w:rPr>
          <w:rFonts w:cs="Segoe UI"/>
          <w:szCs w:val="20"/>
        </w:rPr>
        <w:t>rozpočtu na rok 2023 (o 71 %).</w:t>
      </w:r>
    </w:p>
    <w:p w14:paraId="44588CA4" w14:textId="720BF26C" w:rsidR="00CE4599" w:rsidRPr="00E51DC9" w:rsidRDefault="00CE4599" w:rsidP="00E51DC9">
      <w:pPr>
        <w:keepNext/>
        <w:spacing w:after="0"/>
        <w:rPr>
          <w:rFonts w:eastAsia="Calibri" w:cs="Times New Roman"/>
          <w:b/>
          <w:iCs/>
          <w:color w:val="314364"/>
          <w:szCs w:val="18"/>
        </w:rPr>
      </w:pPr>
      <w:r w:rsidRPr="00E51DC9">
        <w:rPr>
          <w:rFonts w:eastAsia="Calibri" w:cs="Times New Roman"/>
          <w:b/>
          <w:iCs/>
          <w:color w:val="314364"/>
          <w:szCs w:val="18"/>
        </w:rPr>
        <w:t xml:space="preserve">Tabuľka </w:t>
      </w:r>
      <w:r w:rsidR="00E51DC9" w:rsidRPr="00E51DC9">
        <w:rPr>
          <w:rFonts w:eastAsia="Calibri" w:cs="Times New Roman"/>
          <w:b/>
          <w:iCs/>
          <w:color w:val="314364"/>
          <w:szCs w:val="18"/>
        </w:rPr>
        <w:t>5</w:t>
      </w:r>
      <w:r w:rsidRPr="00E51DC9">
        <w:rPr>
          <w:rFonts w:eastAsia="Calibri" w:cs="Times New Roman"/>
          <w:b/>
          <w:iCs/>
          <w:color w:val="314364"/>
          <w:szCs w:val="18"/>
        </w:rPr>
        <w:t xml:space="preserve">: Celkové príjmy, výdavky a schodok </w:t>
      </w:r>
      <w:r w:rsidR="00E51DC9">
        <w:rPr>
          <w:rFonts w:eastAsia="Calibri" w:cs="Times New Roman"/>
          <w:b/>
          <w:iCs/>
          <w:color w:val="314364"/>
          <w:szCs w:val="18"/>
        </w:rPr>
        <w:t>štátneho rozpočtu</w:t>
      </w:r>
      <w:r w:rsidRPr="00E51DC9">
        <w:rPr>
          <w:rFonts w:eastAsia="Calibri" w:cs="Times New Roman"/>
          <w:b/>
          <w:iCs/>
          <w:color w:val="314364"/>
          <w:szCs w:val="18"/>
        </w:rPr>
        <w:t xml:space="preserve"> (v mil. eur)</w:t>
      </w:r>
    </w:p>
    <w:tbl>
      <w:tblPr>
        <w:tblW w:w="5000" w:type="pct"/>
        <w:tblBorders>
          <w:bottom w:val="single" w:sz="4" w:space="0" w:color="314364" w:themeColor="text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389"/>
        <w:gridCol w:w="1390"/>
        <w:gridCol w:w="1390"/>
        <w:gridCol w:w="1390"/>
        <w:gridCol w:w="1390"/>
      </w:tblGrid>
      <w:tr w:rsidR="00CE4599" w:rsidRPr="00FB63E6" w14:paraId="49176C41" w14:textId="77777777" w:rsidTr="000E5B51">
        <w:trPr>
          <w:trHeight w:val="283"/>
        </w:trPr>
        <w:tc>
          <w:tcPr>
            <w:tcW w:w="1170" w:type="pct"/>
            <w:shd w:val="clear" w:color="auto" w:fill="314364"/>
            <w:noWrap/>
            <w:vAlign w:val="center"/>
            <w:hideMark/>
          </w:tcPr>
          <w:p w14:paraId="141838A3" w14:textId="77777777" w:rsidR="00CE4599" w:rsidRPr="009169F2" w:rsidRDefault="00CE4599" w:rsidP="000E5B51">
            <w:pPr>
              <w:spacing w:after="0"/>
              <w:jc w:val="left"/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  <w:t>Ukazovateľ</w:t>
            </w:r>
          </w:p>
        </w:tc>
        <w:tc>
          <w:tcPr>
            <w:tcW w:w="766" w:type="pct"/>
            <w:shd w:val="clear" w:color="auto" w:fill="314364"/>
            <w:noWrap/>
            <w:vAlign w:val="center"/>
            <w:hideMark/>
          </w:tcPr>
          <w:p w14:paraId="00417C84" w14:textId="73289E24" w:rsidR="00CE4599" w:rsidRPr="0087651D" w:rsidRDefault="00CE4599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</w:pPr>
            <w:r w:rsidRPr="0087651D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  <w:t>2022</w:t>
            </w:r>
            <w:r w:rsidR="0087651D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  <w:t xml:space="preserve"> S</w:t>
            </w:r>
          </w:p>
        </w:tc>
        <w:tc>
          <w:tcPr>
            <w:tcW w:w="766" w:type="pct"/>
            <w:shd w:val="clear" w:color="auto" w:fill="314364"/>
            <w:vAlign w:val="center"/>
            <w:hideMark/>
          </w:tcPr>
          <w:p w14:paraId="6B528960" w14:textId="1045856D" w:rsidR="00CE4599" w:rsidRPr="0087651D" w:rsidRDefault="0087651D" w:rsidP="0087651D">
            <w:pPr>
              <w:spacing w:after="0"/>
              <w:jc w:val="right"/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</w:pPr>
            <w:r w:rsidRPr="0087651D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  <w:t xml:space="preserve"> </w:t>
            </w:r>
            <w:r w:rsidR="00CE4599" w:rsidRPr="0087651D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  <w:t>2023</w:t>
            </w:r>
            <w:r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  <w:t xml:space="preserve"> R</w:t>
            </w:r>
          </w:p>
        </w:tc>
        <w:tc>
          <w:tcPr>
            <w:tcW w:w="766" w:type="pct"/>
            <w:shd w:val="clear" w:color="auto" w:fill="314364"/>
            <w:vAlign w:val="center"/>
            <w:hideMark/>
          </w:tcPr>
          <w:p w14:paraId="586D1545" w14:textId="7D064AD7" w:rsidR="00CE4599" w:rsidRPr="0087651D" w:rsidRDefault="00CE4599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</w:pPr>
            <w:r w:rsidRPr="0087651D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  <w:t>2024</w:t>
            </w:r>
            <w:r w:rsidR="0087651D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  <w:t xml:space="preserve"> NR</w:t>
            </w:r>
          </w:p>
        </w:tc>
        <w:tc>
          <w:tcPr>
            <w:tcW w:w="766" w:type="pct"/>
            <w:shd w:val="clear" w:color="auto" w:fill="314364"/>
            <w:vAlign w:val="center"/>
            <w:hideMark/>
          </w:tcPr>
          <w:p w14:paraId="6BD5E7C8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  <w:t>2024-2023</w:t>
            </w:r>
          </w:p>
        </w:tc>
        <w:tc>
          <w:tcPr>
            <w:tcW w:w="766" w:type="pct"/>
            <w:shd w:val="clear" w:color="auto" w:fill="314364"/>
            <w:vAlign w:val="center"/>
            <w:hideMark/>
          </w:tcPr>
          <w:p w14:paraId="0829DD32" w14:textId="3FC73D8B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  <w:t>2024/2023</w:t>
            </w:r>
            <w:r w:rsidR="0087651D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20"/>
                <w:lang w:eastAsia="sk-SK"/>
              </w:rPr>
              <w:t xml:space="preserve"> (%)</w:t>
            </w:r>
          </w:p>
        </w:tc>
      </w:tr>
      <w:tr w:rsidR="00CE4599" w:rsidRPr="00FB63E6" w14:paraId="61F427B2" w14:textId="77777777" w:rsidTr="000E5B51">
        <w:trPr>
          <w:trHeight w:val="283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2A0D015" w14:textId="77777777" w:rsidR="00CE4599" w:rsidRPr="009169F2" w:rsidRDefault="00CE4599" w:rsidP="000E5B51">
            <w:pPr>
              <w:spacing w:after="0"/>
              <w:jc w:val="left"/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  <w:t>Príjmy ŠR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0E5B80A3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  <w:t>19 030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676299DF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  <w:t>26 699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4CB5E3BE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  <w:t>19 623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78EEC0CB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  <w:t>-7 076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7A67249A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  <w:t>73,5</w:t>
            </w:r>
          </w:p>
        </w:tc>
      </w:tr>
      <w:tr w:rsidR="00CE4599" w:rsidRPr="00FB63E6" w14:paraId="1D11E524" w14:textId="77777777" w:rsidTr="000E5B51">
        <w:trPr>
          <w:trHeight w:val="283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6EA3CC53" w14:textId="77777777" w:rsidR="00CE4599" w:rsidRPr="009169F2" w:rsidRDefault="00CE4599" w:rsidP="000E5B51">
            <w:pPr>
              <w:spacing w:after="0"/>
              <w:jc w:val="left"/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  <w:t>Výdavky ŠR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1CE2853D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  <w:t>23 555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391E3D04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  <w:t>35 041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5817A3B5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  <w:t>22 038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1DF04E1E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  <w:t>-13 003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26F195F0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color w:val="000000"/>
                <w:sz w:val="18"/>
                <w:szCs w:val="20"/>
                <w:lang w:eastAsia="sk-SK"/>
              </w:rPr>
              <w:t>62,9</w:t>
            </w:r>
          </w:p>
        </w:tc>
      </w:tr>
      <w:tr w:rsidR="00CE4599" w:rsidRPr="00FB63E6" w14:paraId="7A110234" w14:textId="77777777" w:rsidTr="000E5B51">
        <w:trPr>
          <w:trHeight w:val="283"/>
        </w:trPr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2905E75" w14:textId="77777777" w:rsidR="00CE4599" w:rsidRPr="009169F2" w:rsidRDefault="00CE4599" w:rsidP="000E5B51">
            <w:pPr>
              <w:spacing w:after="0"/>
              <w:jc w:val="left"/>
              <w:rPr>
                <w:rFonts w:eastAsia="Times New Roman" w:cs="Segoe UI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b/>
                <w:bCs/>
                <w:color w:val="000000"/>
                <w:sz w:val="18"/>
                <w:szCs w:val="20"/>
                <w:lang w:eastAsia="sk-SK"/>
              </w:rPr>
              <w:t>Schodok ŠR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07849A2E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b/>
                <w:bCs/>
                <w:color w:val="000000"/>
                <w:sz w:val="18"/>
                <w:szCs w:val="20"/>
                <w:lang w:eastAsia="sk-SK"/>
              </w:rPr>
              <w:t>-4 525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051B8ADD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b/>
                <w:bCs/>
                <w:color w:val="000000"/>
                <w:sz w:val="18"/>
                <w:szCs w:val="20"/>
                <w:lang w:eastAsia="sk-SK"/>
              </w:rPr>
              <w:t>-8 341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0CAB03F3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b/>
                <w:bCs/>
                <w:color w:val="000000"/>
                <w:sz w:val="18"/>
                <w:szCs w:val="20"/>
                <w:lang w:eastAsia="sk-SK"/>
              </w:rPr>
              <w:t>-2 415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17C33594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b/>
                <w:bCs/>
                <w:color w:val="000000"/>
                <w:sz w:val="18"/>
                <w:szCs w:val="20"/>
                <w:lang w:eastAsia="sk-SK"/>
              </w:rPr>
              <w:t>5 926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36EB405D" w14:textId="77777777" w:rsidR="00CE4599" w:rsidRPr="009169F2" w:rsidRDefault="00CE4599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000000"/>
                <w:sz w:val="18"/>
                <w:szCs w:val="20"/>
                <w:lang w:eastAsia="sk-SK"/>
              </w:rPr>
            </w:pPr>
            <w:r w:rsidRPr="009169F2">
              <w:rPr>
                <w:rFonts w:eastAsia="Times New Roman" w:cs="Segoe UI"/>
                <w:b/>
                <w:bCs/>
                <w:color w:val="000000"/>
                <w:sz w:val="18"/>
                <w:szCs w:val="20"/>
                <w:lang w:eastAsia="sk-SK"/>
              </w:rPr>
              <w:t>29,0</w:t>
            </w:r>
          </w:p>
        </w:tc>
      </w:tr>
    </w:tbl>
    <w:p w14:paraId="798E7D99" w14:textId="77777777" w:rsidR="00CE4599" w:rsidRPr="0083385B" w:rsidRDefault="00CE4599" w:rsidP="0083385B">
      <w:pPr>
        <w:pStyle w:val="Bezriadkovania"/>
        <w:spacing w:after="120" w:line="276" w:lineRule="auto"/>
        <w:jc w:val="both"/>
        <w:rPr>
          <w:rFonts w:ascii="Segoe UI" w:eastAsia="Calibri" w:hAnsi="Segoe UI" w:cs="Times New Roman"/>
          <w:i/>
          <w:color w:val="314364"/>
          <w:sz w:val="16"/>
          <w:lang w:eastAsia="en-US"/>
        </w:rPr>
      </w:pPr>
      <w:r w:rsidRPr="0083385B">
        <w:rPr>
          <w:rFonts w:ascii="Segoe UI" w:eastAsia="Calibri" w:hAnsi="Segoe UI" w:cs="Times New Roman"/>
          <w:i/>
          <w:color w:val="314364"/>
          <w:sz w:val="16"/>
          <w:lang w:eastAsia="en-US"/>
        </w:rPr>
        <w:t>Zdroj: MF SR</w:t>
      </w:r>
    </w:p>
    <w:p w14:paraId="30674799" w14:textId="11238087" w:rsidR="00CE4599" w:rsidRPr="0070087A" w:rsidRDefault="00CE4599" w:rsidP="006C2234">
      <w:pPr>
        <w:rPr>
          <w:rFonts w:eastAsia="Times New Roman" w:cs="Times New Roman"/>
          <w:bCs/>
          <w:iCs/>
          <w:szCs w:val="24"/>
          <w:lang w:eastAsia="cs-CZ"/>
        </w:rPr>
      </w:pPr>
      <w:r w:rsidRPr="006C2234">
        <w:rPr>
          <w:rFonts w:cs="Segoe UI"/>
          <w:b/>
          <w:szCs w:val="20"/>
        </w:rPr>
        <w:t xml:space="preserve">Na zostavenie vyrovnaného rozpočtu negatívne vplývali </w:t>
      </w:r>
      <w:r w:rsidRPr="006C2234">
        <w:rPr>
          <w:rFonts w:cs="Segoe UI"/>
          <w:b/>
          <w:bCs/>
          <w:iCs/>
          <w:szCs w:val="20"/>
        </w:rPr>
        <w:t>vládou a parlamentom schválené legislatívne a nelegislatívne materiály s výrazným vplyvom na RVS, úpravy súvisiace s</w:t>
      </w:r>
      <w:r w:rsidR="0087651D">
        <w:rPr>
          <w:rFonts w:cs="Segoe UI"/>
          <w:b/>
          <w:bCs/>
          <w:iCs/>
          <w:szCs w:val="20"/>
        </w:rPr>
        <w:t> </w:t>
      </w:r>
      <w:r w:rsidRPr="006C2234">
        <w:rPr>
          <w:rFonts w:cs="Segoe UI"/>
          <w:b/>
          <w:bCs/>
          <w:iCs/>
          <w:szCs w:val="20"/>
        </w:rPr>
        <w:t>energetickou krízou, aktualizáciou výdavkov na IT, kapitálových výdavkov</w:t>
      </w:r>
      <w:r w:rsidR="000E5B51" w:rsidRPr="006C2234">
        <w:rPr>
          <w:rFonts w:cs="Segoe UI"/>
          <w:b/>
          <w:bCs/>
          <w:iCs/>
          <w:szCs w:val="20"/>
        </w:rPr>
        <w:t xml:space="preserve"> či</w:t>
      </w:r>
      <w:r w:rsidRPr="006C2234">
        <w:rPr>
          <w:rFonts w:cs="Segoe UI"/>
          <w:b/>
          <w:bCs/>
          <w:iCs/>
          <w:szCs w:val="20"/>
        </w:rPr>
        <w:t xml:space="preserve"> opakujúcich </w:t>
      </w:r>
      <w:r w:rsidR="000E5B51" w:rsidRPr="006C2234">
        <w:rPr>
          <w:rFonts w:cs="Segoe UI"/>
          <w:b/>
          <w:bCs/>
          <w:iCs/>
          <w:szCs w:val="20"/>
        </w:rPr>
        <w:t xml:space="preserve">sa </w:t>
      </w:r>
      <w:r w:rsidRPr="006C2234">
        <w:rPr>
          <w:rFonts w:cs="Segoe UI"/>
          <w:b/>
          <w:bCs/>
          <w:iCs/>
          <w:szCs w:val="20"/>
        </w:rPr>
        <w:t>rozpočtových opatrení.</w:t>
      </w:r>
      <w:r w:rsidR="006C2234">
        <w:rPr>
          <w:rFonts w:cs="Segoe UI"/>
          <w:b/>
          <w:bCs/>
          <w:iCs/>
          <w:szCs w:val="20"/>
        </w:rPr>
        <w:t xml:space="preserve"> </w:t>
      </w:r>
      <w:r>
        <w:rPr>
          <w:rFonts w:cs="Segoe UI"/>
          <w:bCs/>
          <w:iCs/>
          <w:szCs w:val="20"/>
        </w:rPr>
        <w:t>A</w:t>
      </w:r>
      <w:r w:rsidR="0087651D">
        <w:rPr>
          <w:rFonts w:cs="Segoe UI"/>
          <w:bCs/>
          <w:iCs/>
          <w:szCs w:val="20"/>
        </w:rPr>
        <w:t>j</w:t>
      </w:r>
      <w:r>
        <w:rPr>
          <w:rFonts w:cs="Segoe UI"/>
          <w:bCs/>
          <w:iCs/>
          <w:szCs w:val="20"/>
        </w:rPr>
        <w:t xml:space="preserve"> z týchto dôvodov musela vláda SR </w:t>
      </w:r>
      <w:r w:rsidRPr="0070087A">
        <w:rPr>
          <w:rFonts w:cs="Segoe UI"/>
          <w:bCs/>
          <w:iCs/>
          <w:szCs w:val="20"/>
        </w:rPr>
        <w:t>pristúpiť k viazaniu výdavkov</w:t>
      </w:r>
      <w:r>
        <w:rPr>
          <w:rFonts w:cs="Segoe UI"/>
          <w:bCs/>
          <w:iCs/>
          <w:szCs w:val="20"/>
        </w:rPr>
        <w:t xml:space="preserve"> </w:t>
      </w:r>
      <w:r w:rsidRPr="0070087A">
        <w:rPr>
          <w:rFonts w:eastAsia="Times New Roman" w:cs="Times New Roman"/>
          <w:bCs/>
          <w:iCs/>
          <w:szCs w:val="24"/>
          <w:lang w:eastAsia="cs-CZ"/>
        </w:rPr>
        <w:t xml:space="preserve">v rámci kapitol a ostatných subjektov </w:t>
      </w:r>
      <w:r w:rsidR="0083385B">
        <w:rPr>
          <w:rFonts w:eastAsia="Times New Roman" w:cs="Times New Roman"/>
          <w:bCs/>
          <w:iCs/>
          <w:szCs w:val="24"/>
          <w:lang w:eastAsia="cs-CZ"/>
        </w:rPr>
        <w:t>VS</w:t>
      </w:r>
      <w:r w:rsidRPr="0070087A">
        <w:rPr>
          <w:rFonts w:eastAsia="Times New Roman" w:cs="Times New Roman"/>
          <w:bCs/>
          <w:iCs/>
          <w:szCs w:val="24"/>
          <w:lang w:eastAsia="cs-CZ"/>
        </w:rPr>
        <w:t xml:space="preserve"> nasledovne:</w:t>
      </w:r>
    </w:p>
    <w:p w14:paraId="05328A8F" w14:textId="77777777" w:rsidR="00CE4599" w:rsidRPr="00B46F35" w:rsidRDefault="00CE4599" w:rsidP="00C0557A">
      <w:pPr>
        <w:numPr>
          <w:ilvl w:val="0"/>
          <w:numId w:val="3"/>
        </w:numPr>
        <w:spacing w:after="0"/>
        <w:ind w:left="357" w:hanging="357"/>
        <w:rPr>
          <w:rFonts w:cs="Segoe UI"/>
          <w:bCs/>
          <w:iCs/>
          <w:szCs w:val="20"/>
        </w:rPr>
      </w:pPr>
      <w:r w:rsidRPr="00B46F35">
        <w:rPr>
          <w:rFonts w:cs="Segoe UI"/>
          <w:bCs/>
          <w:iCs/>
          <w:szCs w:val="20"/>
        </w:rPr>
        <w:t>úplná eliminácia kapitálových výdavkov zo zdroja ŠR,</w:t>
      </w:r>
    </w:p>
    <w:p w14:paraId="7EFA387B" w14:textId="77777777" w:rsidR="00CE4599" w:rsidRPr="00B46F35" w:rsidRDefault="00CE4599" w:rsidP="00C0557A">
      <w:pPr>
        <w:numPr>
          <w:ilvl w:val="0"/>
          <w:numId w:val="3"/>
        </w:numPr>
        <w:spacing w:after="0"/>
        <w:ind w:left="357" w:hanging="357"/>
        <w:rPr>
          <w:rFonts w:cs="Segoe UI"/>
          <w:bCs/>
          <w:iCs/>
          <w:szCs w:val="20"/>
        </w:rPr>
      </w:pPr>
      <w:r w:rsidRPr="00B46F35">
        <w:rPr>
          <w:rFonts w:cs="Segoe UI"/>
          <w:bCs/>
          <w:iCs/>
          <w:szCs w:val="20"/>
        </w:rPr>
        <w:t>eliminácia rezerv a vynulovanie niektorých titulov v kapitole V</w:t>
      </w:r>
      <w:r>
        <w:rPr>
          <w:rFonts w:cs="Segoe UI"/>
          <w:bCs/>
          <w:iCs/>
          <w:szCs w:val="20"/>
        </w:rPr>
        <w:t>PS</w:t>
      </w:r>
      <w:r w:rsidRPr="00B46F35">
        <w:rPr>
          <w:rFonts w:cs="Segoe UI"/>
          <w:bCs/>
          <w:iCs/>
          <w:szCs w:val="20"/>
        </w:rPr>
        <w:t>,</w:t>
      </w:r>
    </w:p>
    <w:p w14:paraId="6055D126" w14:textId="33425055" w:rsidR="00CE4599" w:rsidRPr="00B46F35" w:rsidRDefault="00CE4599" w:rsidP="00C0557A">
      <w:pPr>
        <w:numPr>
          <w:ilvl w:val="0"/>
          <w:numId w:val="3"/>
        </w:numPr>
        <w:spacing w:after="0"/>
        <w:ind w:left="357" w:hanging="357"/>
        <w:rPr>
          <w:rFonts w:cs="Segoe UI"/>
          <w:bCs/>
          <w:iCs/>
          <w:szCs w:val="20"/>
        </w:rPr>
      </w:pPr>
      <w:r w:rsidRPr="00B46F35">
        <w:rPr>
          <w:rFonts w:cs="Segoe UI"/>
          <w:bCs/>
          <w:iCs/>
          <w:szCs w:val="20"/>
        </w:rPr>
        <w:t xml:space="preserve">zníženie osobných výdavkov (bez EÚ a výdavkov </w:t>
      </w:r>
      <w:r w:rsidR="0083385B" w:rsidRPr="00B46F35">
        <w:rPr>
          <w:rFonts w:cs="Segoe UI"/>
          <w:bCs/>
          <w:iCs/>
          <w:szCs w:val="20"/>
        </w:rPr>
        <w:t xml:space="preserve">POO </w:t>
      </w:r>
      <w:r w:rsidRPr="00B46F35">
        <w:rPr>
          <w:rFonts w:cs="Segoe UI"/>
          <w:bCs/>
          <w:iCs/>
          <w:szCs w:val="20"/>
        </w:rPr>
        <w:t xml:space="preserve">a zdravotníckych zariadení), </w:t>
      </w:r>
    </w:p>
    <w:p w14:paraId="5745926B" w14:textId="77777777" w:rsidR="00CE4599" w:rsidRPr="00B46F35" w:rsidRDefault="00CE4599" w:rsidP="00C0557A">
      <w:pPr>
        <w:numPr>
          <w:ilvl w:val="0"/>
          <w:numId w:val="3"/>
        </w:numPr>
        <w:spacing w:after="0"/>
        <w:ind w:left="357" w:hanging="357"/>
        <w:rPr>
          <w:rFonts w:cs="Segoe UI"/>
          <w:bCs/>
          <w:iCs/>
          <w:szCs w:val="20"/>
        </w:rPr>
      </w:pPr>
      <w:r w:rsidRPr="00B46F35">
        <w:rPr>
          <w:rFonts w:cs="Segoe UI"/>
          <w:bCs/>
          <w:iCs/>
          <w:szCs w:val="20"/>
        </w:rPr>
        <w:t>zníženie prevádzkových výdavkov,</w:t>
      </w:r>
    </w:p>
    <w:p w14:paraId="230EF721" w14:textId="77777777" w:rsidR="00CE4599" w:rsidRPr="00B46F35" w:rsidRDefault="00CE4599" w:rsidP="00C0557A">
      <w:pPr>
        <w:numPr>
          <w:ilvl w:val="0"/>
          <w:numId w:val="3"/>
        </w:numPr>
        <w:ind w:left="357" w:hanging="357"/>
        <w:rPr>
          <w:rFonts w:cs="Segoe UI"/>
          <w:bCs/>
          <w:iCs/>
          <w:szCs w:val="20"/>
        </w:rPr>
      </w:pPr>
      <w:r w:rsidRPr="00B46F35">
        <w:rPr>
          <w:rFonts w:cs="Segoe UI"/>
          <w:bCs/>
          <w:iCs/>
          <w:szCs w:val="20"/>
        </w:rPr>
        <w:t>nastavenie hospodárenia samosprávy na vyrovnaný rozpočet znížením výdavkovej obálky.</w:t>
      </w:r>
    </w:p>
    <w:p w14:paraId="7A387A12" w14:textId="5F96A75C" w:rsidR="00D33A80" w:rsidRDefault="007475AC" w:rsidP="00E055D4">
      <w:r w:rsidRPr="005D5D96">
        <w:rPr>
          <w:b/>
        </w:rPr>
        <w:t xml:space="preserve">Významné zníženie limitov počtu zamestnancov sa dotklo </w:t>
      </w:r>
      <w:r w:rsidR="005D5D96" w:rsidRPr="005D5D96">
        <w:rPr>
          <w:b/>
        </w:rPr>
        <w:t xml:space="preserve">takmer všetkých </w:t>
      </w:r>
      <w:r w:rsidRPr="005D5D96">
        <w:rPr>
          <w:b/>
        </w:rPr>
        <w:t>kapitol</w:t>
      </w:r>
      <w:r w:rsidR="00112147" w:rsidRPr="005D5D96">
        <w:rPr>
          <w:b/>
        </w:rPr>
        <w:t>.</w:t>
      </w:r>
      <w:r w:rsidRPr="005D5D96">
        <w:rPr>
          <w:b/>
        </w:rPr>
        <w:t xml:space="preserve"> </w:t>
      </w:r>
      <w:r w:rsidR="000F4C77" w:rsidRPr="00BF1141">
        <w:t>N</w:t>
      </w:r>
      <w:r w:rsidR="000F4C77" w:rsidRPr="00C23F00">
        <w:t xml:space="preserve">ajväčšie </w:t>
      </w:r>
      <w:r w:rsidR="000F4C77">
        <w:t xml:space="preserve">medziročné </w:t>
      </w:r>
      <w:r w:rsidR="000F4C77" w:rsidRPr="00C23F00">
        <w:t>zníženie sa týka</w:t>
      </w:r>
      <w:r w:rsidR="000F4C77" w:rsidRPr="00423296">
        <w:t xml:space="preserve"> </w:t>
      </w:r>
      <w:r w:rsidR="005D5D96">
        <w:t>m</w:t>
      </w:r>
      <w:r w:rsidR="000F4C77" w:rsidRPr="00423296">
        <w:t>inisterstva obrany –</w:t>
      </w:r>
      <w:r w:rsidR="000F4C77">
        <w:t xml:space="preserve"> </w:t>
      </w:r>
      <w:r w:rsidR="000F4C77" w:rsidRPr="00C23F00">
        <w:t>o </w:t>
      </w:r>
      <w:r w:rsidR="000F4C77" w:rsidRPr="00423296">
        <w:t>56 %</w:t>
      </w:r>
      <w:r w:rsidR="00F8358C">
        <w:t xml:space="preserve"> (z 21 408 na 9 517)</w:t>
      </w:r>
      <w:r w:rsidR="000F4C77" w:rsidRPr="00423296">
        <w:t xml:space="preserve">, </w:t>
      </w:r>
      <w:r w:rsidR="005D5D96">
        <w:t>m</w:t>
      </w:r>
      <w:r w:rsidR="000F4C77" w:rsidRPr="00423296">
        <w:t>inisterstva financií –</w:t>
      </w:r>
      <w:r w:rsidR="000F4C77">
        <w:t xml:space="preserve"> </w:t>
      </w:r>
      <w:r w:rsidR="000F4C77" w:rsidRPr="00C23F00">
        <w:t>o </w:t>
      </w:r>
      <w:r w:rsidR="000F4C77" w:rsidRPr="00423296">
        <w:t>49 %</w:t>
      </w:r>
      <w:r w:rsidR="00F8358C">
        <w:t xml:space="preserve"> (z 10 940 na 5 578)</w:t>
      </w:r>
      <w:r w:rsidR="000F4C77" w:rsidRPr="00423296">
        <w:t xml:space="preserve"> a </w:t>
      </w:r>
      <w:r w:rsidR="005D5D96">
        <w:t>m</w:t>
      </w:r>
      <w:r w:rsidR="000F4C77" w:rsidRPr="00423296">
        <w:t>inisterstva práce –</w:t>
      </w:r>
      <w:r w:rsidR="000F4C77">
        <w:t xml:space="preserve"> </w:t>
      </w:r>
      <w:r w:rsidR="000F4C77" w:rsidRPr="00C23F00">
        <w:t>tiež o</w:t>
      </w:r>
      <w:r w:rsidR="000F4C77" w:rsidRPr="00423296">
        <w:t> 49 %</w:t>
      </w:r>
      <w:r w:rsidR="00F8358C">
        <w:t xml:space="preserve"> (13 042 na 6 646)</w:t>
      </w:r>
      <w:r w:rsidR="000F4C77" w:rsidRPr="00423296">
        <w:t>.</w:t>
      </w:r>
      <w:r w:rsidR="000F4C77">
        <w:t xml:space="preserve"> </w:t>
      </w:r>
      <w:r w:rsidR="00E055D4">
        <w:t>Zníženie počtu zamestnancov by sa dotklo aj profesionálnych vojakov, čo by bolo z dôvodu prebiehajúceho vojenského konfliktu</w:t>
      </w:r>
      <w:r w:rsidR="006804E0">
        <w:t xml:space="preserve"> na Ukrajine</w:t>
      </w:r>
      <w:r w:rsidR="00E055D4">
        <w:t xml:space="preserve"> bezpečnostným rizikom. </w:t>
      </w:r>
      <w:r w:rsidR="006804E0">
        <w:t>Toto z</w:t>
      </w:r>
      <w:r w:rsidR="00E055D4">
        <w:t>níženie by malo dopad aj na dlhodobý plán rozvoja rezortu MO SR, ktorý ma za cieľ navýšiť počet profesionálnych vojakov do roku 2035 na úroveň 22-tisíc.</w:t>
      </w:r>
      <w:r w:rsidR="00E055D4">
        <w:rPr>
          <w:rStyle w:val="Odkaznapoznmkupodiarou"/>
        </w:rPr>
        <w:footnoteReference w:id="11"/>
      </w:r>
    </w:p>
    <w:p w14:paraId="116CCBAF" w14:textId="2177D1EA" w:rsidR="00E264F4" w:rsidRDefault="003E5ED7" w:rsidP="00EC16EB">
      <w:r w:rsidRPr="00E055D4">
        <w:rPr>
          <w:b/>
        </w:rPr>
        <w:t>K</w:t>
      </w:r>
      <w:r w:rsidR="00EC16EB" w:rsidRPr="00E055D4">
        <w:rPr>
          <w:b/>
        </w:rPr>
        <w:t xml:space="preserve">apitoly </w:t>
      </w:r>
      <w:r w:rsidRPr="00E055D4">
        <w:rPr>
          <w:b/>
        </w:rPr>
        <w:t>mohli</w:t>
      </w:r>
      <w:r w:rsidR="00EC16EB" w:rsidRPr="00E055D4">
        <w:rPr>
          <w:b/>
        </w:rPr>
        <w:t xml:space="preserve"> zníži</w:t>
      </w:r>
      <w:r w:rsidRPr="00E055D4">
        <w:rPr>
          <w:b/>
        </w:rPr>
        <w:t>ť</w:t>
      </w:r>
      <w:r w:rsidR="00EC16EB" w:rsidRPr="00E055D4">
        <w:rPr>
          <w:b/>
        </w:rPr>
        <w:t xml:space="preserve"> výdavky podľa vlastného uváženia, t. j. nemuseli významne viazať mzdové výdavky, ak napríklad našli zdroje v</w:t>
      </w:r>
      <w:r w:rsidR="0087651D" w:rsidRPr="00E055D4">
        <w:rPr>
          <w:b/>
        </w:rPr>
        <w:t> </w:t>
      </w:r>
      <w:r w:rsidR="00EC16EB" w:rsidRPr="00E055D4">
        <w:rPr>
          <w:b/>
        </w:rPr>
        <w:t>iných kategóriách bežných výdavkov.</w:t>
      </w:r>
      <w:r w:rsidR="00EC16EB">
        <w:t xml:space="preserve"> Zároveň niektoré výdavky boli vyňaté z viazania, napríklad výdavky na zamestnancov regionálneho školstva alebo na sudcov, preto nedošlo ani k zníženiu počtu týchto zamestnancov. Kapitoly, ktoré mali priestor na zníženie osobných výdavkov (zníženie výdavkov na odmeny) bez toho, aby museli prepustiť určitý počet zamestnancov, uplatnili túto možnosť. </w:t>
      </w:r>
      <w:r>
        <w:t>Znižovanie počtu zamestnancov sa nedotklo tých, ktorí nie sú</w:t>
      </w:r>
      <w:r w:rsidR="00EC16EB">
        <w:t xml:space="preserve"> financovaní zo </w:t>
      </w:r>
      <w:r>
        <w:t>ŠR</w:t>
      </w:r>
      <w:r w:rsidR="00EC16EB">
        <w:t xml:space="preserve"> (napríklad projektoví zamestnanci, administratívne kapacity osobitne sledované alebo zamestnanci financovaní z P</w:t>
      </w:r>
      <w:r w:rsidR="0087651D">
        <w:t>OO</w:t>
      </w:r>
      <w:r w:rsidR="00EC16EB">
        <w:t>).</w:t>
      </w:r>
    </w:p>
    <w:p w14:paraId="309C44A8" w14:textId="37E04782" w:rsidR="00893D44" w:rsidRDefault="002B3CFA" w:rsidP="00EC16EB">
      <w:r w:rsidRPr="005D5D96">
        <w:rPr>
          <w:b/>
        </w:rPr>
        <w:t>Aj napriek tomu, že od roku 2015 do konca septembra 2023 zaniklo celkovo 57 rozpočtových organizáci</w:t>
      </w:r>
      <w:r w:rsidR="00503DB6">
        <w:rPr>
          <w:b/>
        </w:rPr>
        <w:t>í</w:t>
      </w:r>
      <w:r w:rsidRPr="005D5D96">
        <w:rPr>
          <w:b/>
        </w:rPr>
        <w:t xml:space="preserve"> štátnej správy, počet zamestnancov</w:t>
      </w:r>
      <w:r w:rsidR="00776050">
        <w:rPr>
          <w:b/>
        </w:rPr>
        <w:t xml:space="preserve"> štátnych RO</w:t>
      </w:r>
      <w:r w:rsidRPr="005D5D96">
        <w:rPr>
          <w:b/>
        </w:rPr>
        <w:t xml:space="preserve"> </w:t>
      </w:r>
      <w:r w:rsidR="00776050" w:rsidRPr="001126B0">
        <w:rPr>
          <w:b/>
        </w:rPr>
        <w:t xml:space="preserve">sa </w:t>
      </w:r>
      <w:r w:rsidRPr="005D5D96">
        <w:rPr>
          <w:b/>
        </w:rPr>
        <w:t>výrazne nemenil.</w:t>
      </w:r>
      <w:r>
        <w:t xml:space="preserve"> V roku 2023 je </w:t>
      </w:r>
      <w:r>
        <w:lastRenderedPageBreak/>
        <w:t>podľa schváleného rozpočtu plánovaný nárast počtu zamestnancov o takmer 5,7-tisíc, resp. o 4,6 % (graf</w:t>
      </w:r>
      <w:r w:rsidR="00FE241D">
        <w:t> </w:t>
      </w:r>
      <w:r>
        <w:t xml:space="preserve">5). </w:t>
      </w:r>
      <w:r w:rsidR="0087651D">
        <w:t>T</w:t>
      </w:r>
      <w:r>
        <w:t xml:space="preserve">akýto trend </w:t>
      </w:r>
      <w:r w:rsidR="0087651D">
        <w:t xml:space="preserve">možno </w:t>
      </w:r>
      <w:r>
        <w:t xml:space="preserve">vysvetliť tým, že pri zrušení organizácie nedochádza automaticky k zrušeniu agendy a zamestnanci sa presunú </w:t>
      </w:r>
      <w:r w:rsidR="00FE241D">
        <w:t>do inej štátnej organizácie</w:t>
      </w:r>
      <w:r>
        <w:t>.</w:t>
      </w:r>
    </w:p>
    <w:p w14:paraId="737ADBA8" w14:textId="746AA438" w:rsidR="00EC16EB" w:rsidRDefault="00EC16EB" w:rsidP="00EC16EB">
      <w:pPr>
        <w:pStyle w:val="Popis"/>
        <w:keepNext/>
        <w:rPr>
          <w:color w:val="314364"/>
        </w:rPr>
      </w:pPr>
      <w:r w:rsidRPr="00C71A19">
        <w:rPr>
          <w:color w:val="314364"/>
        </w:rPr>
        <w:t xml:space="preserve">Graf </w:t>
      </w:r>
      <w:r>
        <w:rPr>
          <w:color w:val="314364"/>
        </w:rPr>
        <w:t>5:</w:t>
      </w:r>
      <w:r w:rsidRPr="00C71A19">
        <w:rPr>
          <w:color w:val="314364"/>
        </w:rPr>
        <w:t xml:space="preserve"> </w:t>
      </w:r>
      <w:r>
        <w:rPr>
          <w:color w:val="314364"/>
        </w:rPr>
        <w:t xml:space="preserve">Vývoj počtu </w:t>
      </w:r>
      <w:r w:rsidR="002B2E82">
        <w:rPr>
          <w:color w:val="314364"/>
        </w:rPr>
        <w:t xml:space="preserve">rozpočtových </w:t>
      </w:r>
      <w:r>
        <w:rPr>
          <w:color w:val="314364"/>
        </w:rPr>
        <w:t xml:space="preserve">organizácií </w:t>
      </w:r>
      <w:r w:rsidR="0093532B">
        <w:rPr>
          <w:color w:val="314364"/>
        </w:rPr>
        <w:t>štátnej správy</w:t>
      </w:r>
      <w:r>
        <w:rPr>
          <w:color w:val="314364"/>
        </w:rPr>
        <w:t xml:space="preserve"> a ich zamestnancov</w:t>
      </w: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E667F2" w14:paraId="04E3CAF5" w14:textId="77777777" w:rsidTr="00380979">
        <w:trPr>
          <w:trHeight w:val="3402"/>
        </w:trPr>
        <w:tc>
          <w:tcPr>
            <w:tcW w:w="9060" w:type="dxa"/>
            <w:tcBorders>
              <w:top w:val="single" w:sz="4" w:space="0" w:color="314364" w:themeColor="text2"/>
              <w:left w:val="nil"/>
              <w:bottom w:val="single" w:sz="4" w:space="0" w:color="314364" w:themeColor="text2"/>
              <w:right w:val="nil"/>
            </w:tcBorders>
          </w:tcPr>
          <w:p w14:paraId="63BDD6BC" w14:textId="699619CF" w:rsidR="00E667F2" w:rsidRDefault="006B1F61" w:rsidP="00380979">
            <w:pPr>
              <w:spacing w:after="0"/>
            </w:pPr>
            <w:r>
              <w:rPr>
                <w:noProof/>
                <w:lang w:eastAsia="sk-SK"/>
              </w:rPr>
              <w:drawing>
                <wp:inline distT="0" distB="0" distL="0" distR="0" wp14:anchorId="3E691C5A" wp14:editId="61B1E381">
                  <wp:extent cx="5768340" cy="2133600"/>
                  <wp:effectExtent l="0" t="0" r="3810" b="0"/>
                  <wp:docPr id="8" name="Graf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62CD8953" w14:textId="39A6BDB9" w:rsidR="00EC16EB" w:rsidRPr="00EC16EB" w:rsidRDefault="00EC16EB" w:rsidP="00380979">
      <w:pPr>
        <w:pStyle w:val="Zdroj"/>
      </w:pPr>
      <w:r w:rsidRPr="00EC16EB">
        <w:rPr>
          <w:noProof/>
          <w:sz w:val="22"/>
          <w:lang w:eastAsia="sk-SK"/>
        </w:rPr>
        <w:t xml:space="preserve"> </w:t>
      </w:r>
      <w:r w:rsidRPr="00EC16EB">
        <w:t>Zdroj: ŠÚ SR</w:t>
      </w:r>
      <w:r w:rsidR="00567D83">
        <w:t>, MF SR.</w:t>
      </w:r>
      <w:r w:rsidR="006B1F61">
        <w:br/>
        <w:t xml:space="preserve">* </w:t>
      </w:r>
      <w:r w:rsidR="00DD47ED">
        <w:t xml:space="preserve">Údaje o počte rozpočtových organizácií za rok 2023 </w:t>
      </w:r>
      <w:r w:rsidR="00380979">
        <w:t>sú k 3</w:t>
      </w:r>
      <w:r w:rsidR="00DD47ED">
        <w:t xml:space="preserve">0.9. Údaje o počte zamestnancov za rok 2023 predstavujú plánovaný počet podľa schváleného rozpočtu. </w:t>
      </w:r>
    </w:p>
    <w:p w14:paraId="688023CF" w14:textId="5EBA73DE" w:rsidR="00BB1D0F" w:rsidRPr="00BB1D0F" w:rsidRDefault="00BB1D0F" w:rsidP="00E51DC9">
      <w:pPr>
        <w:rPr>
          <w:rFonts w:cs="Segoe UI"/>
          <w:bCs/>
          <w:iCs/>
          <w:szCs w:val="20"/>
        </w:rPr>
      </w:pPr>
      <w:r w:rsidRPr="00F13B40">
        <w:rPr>
          <w:rFonts w:cs="Segoe UI"/>
          <w:b/>
          <w:bCs/>
          <w:iCs/>
          <w:szCs w:val="20"/>
        </w:rPr>
        <w:t xml:space="preserve">NKÚ SR upozorňuje, že </w:t>
      </w:r>
      <w:r w:rsidR="00E036A1">
        <w:rPr>
          <w:rFonts w:cs="Segoe UI"/>
          <w:b/>
          <w:bCs/>
          <w:iCs/>
          <w:szCs w:val="20"/>
        </w:rPr>
        <w:t xml:space="preserve">aj keď </w:t>
      </w:r>
      <w:r w:rsidRPr="00F13B40">
        <w:rPr>
          <w:rFonts w:cs="Segoe UI"/>
          <w:b/>
          <w:bCs/>
          <w:iCs/>
          <w:szCs w:val="20"/>
        </w:rPr>
        <w:t xml:space="preserve">skokovité zníženie počtu zamestnancov VS nie je vykonateľné, z dlhodobého hľadiska bude potrebné </w:t>
      </w:r>
      <w:r w:rsidR="0073304A">
        <w:rPr>
          <w:rFonts w:cs="Segoe UI"/>
          <w:b/>
          <w:bCs/>
          <w:iCs/>
          <w:szCs w:val="20"/>
        </w:rPr>
        <w:t>optimalizovať</w:t>
      </w:r>
      <w:r w:rsidRPr="00F13B40">
        <w:rPr>
          <w:rFonts w:cs="Segoe UI"/>
          <w:b/>
          <w:bCs/>
          <w:iCs/>
          <w:szCs w:val="20"/>
        </w:rPr>
        <w:t xml:space="preserve"> počty zamestnancov VS</w:t>
      </w:r>
      <w:r w:rsidR="00E036A1">
        <w:rPr>
          <w:rFonts w:cs="Segoe UI"/>
          <w:b/>
          <w:bCs/>
          <w:iCs/>
          <w:szCs w:val="20"/>
        </w:rPr>
        <w:t xml:space="preserve"> aj</w:t>
      </w:r>
      <w:r w:rsidR="0073304A">
        <w:rPr>
          <w:rFonts w:cs="Segoe UI"/>
          <w:b/>
          <w:bCs/>
          <w:iCs/>
          <w:szCs w:val="20"/>
        </w:rPr>
        <w:t xml:space="preserve"> </w:t>
      </w:r>
      <w:r w:rsidR="00E036A1">
        <w:rPr>
          <w:rFonts w:cs="Segoe UI"/>
          <w:b/>
          <w:bCs/>
          <w:iCs/>
          <w:szCs w:val="20"/>
        </w:rPr>
        <w:t>z dôvodu</w:t>
      </w:r>
      <w:r w:rsidR="0073304A">
        <w:rPr>
          <w:rFonts w:cs="Segoe UI"/>
          <w:b/>
          <w:bCs/>
          <w:iCs/>
          <w:szCs w:val="20"/>
        </w:rPr>
        <w:t xml:space="preserve"> digitalizáci</w:t>
      </w:r>
      <w:r w:rsidR="00E036A1">
        <w:rPr>
          <w:rFonts w:cs="Segoe UI"/>
          <w:b/>
          <w:bCs/>
          <w:iCs/>
          <w:szCs w:val="20"/>
        </w:rPr>
        <w:t>e</w:t>
      </w:r>
      <w:r w:rsidR="0073304A">
        <w:rPr>
          <w:rFonts w:cs="Segoe UI"/>
          <w:b/>
          <w:bCs/>
          <w:iCs/>
          <w:szCs w:val="20"/>
        </w:rPr>
        <w:t xml:space="preserve"> procesov</w:t>
      </w:r>
      <w:r w:rsidRPr="00F13B40">
        <w:rPr>
          <w:rFonts w:cs="Segoe UI"/>
          <w:b/>
          <w:bCs/>
          <w:iCs/>
          <w:szCs w:val="20"/>
        </w:rPr>
        <w:t xml:space="preserve">. </w:t>
      </w:r>
      <w:r w:rsidR="00A905D1" w:rsidRPr="00A905D1">
        <w:rPr>
          <w:rFonts w:cs="Segoe UI"/>
          <w:bCs/>
          <w:iCs/>
          <w:szCs w:val="20"/>
        </w:rPr>
        <w:t xml:space="preserve">Optimalizáciu </w:t>
      </w:r>
      <w:r w:rsidR="0003320C">
        <w:rPr>
          <w:rFonts w:cs="Segoe UI"/>
          <w:bCs/>
          <w:iCs/>
          <w:szCs w:val="20"/>
        </w:rPr>
        <w:t xml:space="preserve">počtu zamestnancov VS </w:t>
      </w:r>
      <w:r w:rsidR="00A905D1" w:rsidRPr="00A905D1">
        <w:rPr>
          <w:rFonts w:cs="Segoe UI"/>
          <w:bCs/>
          <w:iCs/>
          <w:szCs w:val="20"/>
        </w:rPr>
        <w:t>možno založiť aj na</w:t>
      </w:r>
      <w:r w:rsidR="00A905D1">
        <w:rPr>
          <w:rFonts w:cs="Segoe UI"/>
          <w:bCs/>
          <w:iCs/>
          <w:szCs w:val="20"/>
        </w:rPr>
        <w:t xml:space="preserve"> realizovaných vládnych auditoch</w:t>
      </w:r>
      <w:r w:rsidRPr="00F13B40">
        <w:rPr>
          <w:rFonts w:cs="Segoe UI"/>
          <w:bCs/>
          <w:iCs/>
          <w:szCs w:val="20"/>
        </w:rPr>
        <w:t xml:space="preserve"> alebo revízi</w:t>
      </w:r>
      <w:r w:rsidR="00A905D1">
        <w:rPr>
          <w:rFonts w:cs="Segoe UI"/>
          <w:bCs/>
          <w:iCs/>
          <w:szCs w:val="20"/>
        </w:rPr>
        <w:t>ách</w:t>
      </w:r>
      <w:r w:rsidRPr="00F13B40">
        <w:rPr>
          <w:rFonts w:cs="Segoe UI"/>
          <w:bCs/>
          <w:iCs/>
          <w:szCs w:val="20"/>
        </w:rPr>
        <w:t xml:space="preserve"> výdavkov.</w:t>
      </w:r>
      <w:r w:rsidR="005C4E49" w:rsidRPr="005C4E49">
        <w:t xml:space="preserve"> </w:t>
      </w:r>
      <w:r w:rsidR="005C4E49">
        <w:t>V tomto roku aktualizoval ÚHP napríklad revíziu výdavkov Ministerstva vnútra SR, kde sa bližšie zamerali</w:t>
      </w:r>
      <w:r w:rsidR="00D74B6A">
        <w:t xml:space="preserve"> aj na </w:t>
      </w:r>
      <w:r w:rsidR="00E036A1">
        <w:t xml:space="preserve">štruktúru </w:t>
      </w:r>
      <w:r w:rsidR="00D74B6A">
        <w:t>zamestnanos</w:t>
      </w:r>
      <w:r w:rsidR="00E036A1">
        <w:t>ti</w:t>
      </w:r>
      <w:r w:rsidR="00D74B6A">
        <w:t xml:space="preserve"> v </w:t>
      </w:r>
      <w:r w:rsidR="005C4E49">
        <w:t>Policajn</w:t>
      </w:r>
      <w:r w:rsidR="00D74B6A">
        <w:t>om</w:t>
      </w:r>
      <w:r w:rsidR="005C4E49">
        <w:t xml:space="preserve"> zbor</w:t>
      </w:r>
      <w:r w:rsidR="00D74B6A">
        <w:t>e</w:t>
      </w:r>
      <w:r w:rsidR="005C4E49">
        <w:rPr>
          <w:rStyle w:val="Odkaznapoznmkupodiarou"/>
        </w:rPr>
        <w:footnoteReference w:id="12"/>
      </w:r>
      <w:r w:rsidR="005C4E49">
        <w:t>.</w:t>
      </w:r>
    </w:p>
    <w:p w14:paraId="102B61D1" w14:textId="2879ECDA" w:rsidR="00CE4599" w:rsidRPr="00B46F35" w:rsidRDefault="00CE4599" w:rsidP="00E51DC9">
      <w:pPr>
        <w:rPr>
          <w:rFonts w:cs="Segoe UI"/>
          <w:bCs/>
          <w:iCs/>
          <w:szCs w:val="20"/>
        </w:rPr>
      </w:pPr>
      <w:r w:rsidRPr="00EC16EB">
        <w:rPr>
          <w:rFonts w:cs="Segoe UI"/>
          <w:b/>
          <w:bCs/>
          <w:iCs/>
          <w:szCs w:val="20"/>
        </w:rPr>
        <w:t>Na základe septembrovej makro</w:t>
      </w:r>
      <w:r w:rsidR="00E51DC9" w:rsidRPr="00EC16EB">
        <w:rPr>
          <w:rFonts w:cs="Segoe UI"/>
          <w:b/>
          <w:bCs/>
          <w:iCs/>
          <w:szCs w:val="20"/>
        </w:rPr>
        <w:t>ekonomickej</w:t>
      </w:r>
      <w:r w:rsidRPr="00EC16EB">
        <w:rPr>
          <w:rFonts w:cs="Segoe UI"/>
          <w:b/>
          <w:bCs/>
          <w:iCs/>
          <w:szCs w:val="20"/>
        </w:rPr>
        <w:t xml:space="preserve"> a</w:t>
      </w:r>
      <w:r w:rsidR="00E51DC9" w:rsidRPr="00EC16EB">
        <w:rPr>
          <w:rFonts w:cs="Segoe UI"/>
          <w:b/>
          <w:bCs/>
          <w:iCs/>
          <w:szCs w:val="20"/>
        </w:rPr>
        <w:t> </w:t>
      </w:r>
      <w:r w:rsidRPr="00EC16EB">
        <w:rPr>
          <w:rFonts w:cs="Segoe UI"/>
          <w:b/>
          <w:bCs/>
          <w:iCs/>
          <w:szCs w:val="20"/>
        </w:rPr>
        <w:t>daňov</w:t>
      </w:r>
      <w:r w:rsidR="00E51DC9" w:rsidRPr="00EC16EB">
        <w:rPr>
          <w:rFonts w:cs="Segoe UI"/>
          <w:b/>
          <w:bCs/>
          <w:iCs/>
          <w:szCs w:val="20"/>
        </w:rPr>
        <w:t>o-odvodovej</w:t>
      </w:r>
      <w:r w:rsidRPr="00EC16EB">
        <w:rPr>
          <w:rFonts w:cs="Segoe UI"/>
          <w:b/>
          <w:bCs/>
          <w:iCs/>
          <w:szCs w:val="20"/>
        </w:rPr>
        <w:t xml:space="preserve"> prognózy bolo nutné realizovať ďalšie viazanie výdavkov vo výške 3 mld. eur</w:t>
      </w:r>
      <w:r>
        <w:rPr>
          <w:rFonts w:cs="Segoe UI"/>
          <w:bCs/>
          <w:iCs/>
          <w:szCs w:val="20"/>
        </w:rPr>
        <w:t xml:space="preserve"> elimináciou</w:t>
      </w:r>
      <w:r w:rsidRPr="0070087A">
        <w:rPr>
          <w:rFonts w:cs="Segoe UI"/>
          <w:bCs/>
          <w:iCs/>
          <w:szCs w:val="20"/>
        </w:rPr>
        <w:t xml:space="preserve"> výdavkov na DPH k POO </w:t>
      </w:r>
      <w:r>
        <w:rPr>
          <w:rFonts w:cs="Segoe UI"/>
          <w:bCs/>
          <w:iCs/>
          <w:szCs w:val="20"/>
        </w:rPr>
        <w:t xml:space="preserve">a </w:t>
      </w:r>
      <w:r w:rsidRPr="0070087A">
        <w:rPr>
          <w:rFonts w:cs="Segoe UI"/>
          <w:bCs/>
          <w:iCs/>
          <w:szCs w:val="20"/>
        </w:rPr>
        <w:t>na spol</w:t>
      </w:r>
      <w:r>
        <w:rPr>
          <w:rFonts w:cs="Segoe UI"/>
          <w:bCs/>
          <w:iCs/>
          <w:szCs w:val="20"/>
        </w:rPr>
        <w:t xml:space="preserve">ufinancovanie k fondom </w:t>
      </w:r>
      <w:r w:rsidR="0083385B">
        <w:rPr>
          <w:rFonts w:cs="Segoe UI"/>
          <w:bCs/>
          <w:iCs/>
          <w:szCs w:val="20"/>
        </w:rPr>
        <w:t>EÚ a </w:t>
      </w:r>
      <w:r w:rsidRPr="0070087A">
        <w:rPr>
          <w:rFonts w:cs="Segoe UI"/>
          <w:bCs/>
          <w:iCs/>
          <w:szCs w:val="20"/>
        </w:rPr>
        <w:t>ďalši</w:t>
      </w:r>
      <w:r w:rsidR="0083385B">
        <w:rPr>
          <w:rFonts w:cs="Segoe UI"/>
          <w:bCs/>
          <w:iCs/>
          <w:szCs w:val="20"/>
        </w:rPr>
        <w:t>e</w:t>
      </w:r>
      <w:r w:rsidRPr="0070087A">
        <w:rPr>
          <w:rFonts w:cs="Segoe UI"/>
          <w:bCs/>
          <w:iCs/>
          <w:szCs w:val="20"/>
        </w:rPr>
        <w:t xml:space="preserve"> zníženi</w:t>
      </w:r>
      <w:r w:rsidR="0083385B">
        <w:rPr>
          <w:rFonts w:cs="Segoe UI"/>
          <w:bCs/>
          <w:iCs/>
          <w:szCs w:val="20"/>
        </w:rPr>
        <w:t>e</w:t>
      </w:r>
      <w:r w:rsidRPr="0070087A">
        <w:rPr>
          <w:rFonts w:cs="Segoe UI"/>
          <w:bCs/>
          <w:iCs/>
          <w:szCs w:val="20"/>
        </w:rPr>
        <w:t xml:space="preserve"> osobných a prevádzkových výdavkov kapitol a</w:t>
      </w:r>
      <w:r w:rsidR="001951C8">
        <w:rPr>
          <w:rFonts w:cs="Segoe UI"/>
          <w:bCs/>
          <w:iCs/>
          <w:szCs w:val="20"/>
        </w:rPr>
        <w:t> </w:t>
      </w:r>
      <w:r w:rsidRPr="0070087A">
        <w:rPr>
          <w:rFonts w:cs="Segoe UI"/>
          <w:bCs/>
          <w:iCs/>
          <w:szCs w:val="20"/>
        </w:rPr>
        <w:t>ostatných subjektov</w:t>
      </w:r>
      <w:r>
        <w:rPr>
          <w:rFonts w:cs="Segoe UI"/>
          <w:bCs/>
          <w:iCs/>
          <w:szCs w:val="20"/>
        </w:rPr>
        <w:t xml:space="preserve"> VS.</w:t>
      </w:r>
    </w:p>
    <w:p w14:paraId="6B544492" w14:textId="07E99582" w:rsidR="00CE4599" w:rsidRPr="0083385B" w:rsidRDefault="00CE4599" w:rsidP="0083385B">
      <w:pPr>
        <w:keepNext/>
        <w:spacing w:after="0"/>
        <w:rPr>
          <w:rFonts w:eastAsia="Calibri" w:cs="Times New Roman"/>
          <w:b/>
          <w:iCs/>
          <w:color w:val="314364"/>
          <w:szCs w:val="18"/>
        </w:rPr>
      </w:pPr>
      <w:r w:rsidRPr="0083385B">
        <w:rPr>
          <w:rFonts w:eastAsia="Calibri" w:cs="Times New Roman"/>
          <w:b/>
          <w:iCs/>
          <w:color w:val="314364"/>
          <w:szCs w:val="18"/>
        </w:rPr>
        <w:t xml:space="preserve">Tabuľka </w:t>
      </w:r>
      <w:r w:rsidR="0083385B">
        <w:rPr>
          <w:rFonts w:eastAsia="Calibri" w:cs="Times New Roman"/>
          <w:b/>
          <w:iCs/>
          <w:color w:val="314364"/>
          <w:szCs w:val="18"/>
        </w:rPr>
        <w:t>6</w:t>
      </w:r>
      <w:r w:rsidRPr="0083385B">
        <w:rPr>
          <w:rFonts w:eastAsia="Calibri" w:cs="Times New Roman"/>
          <w:b/>
          <w:iCs/>
          <w:color w:val="314364"/>
          <w:szCs w:val="18"/>
        </w:rPr>
        <w:t xml:space="preserve">: Výdavky </w:t>
      </w:r>
      <w:r w:rsidR="0083385B">
        <w:rPr>
          <w:rFonts w:eastAsia="Calibri" w:cs="Times New Roman"/>
          <w:b/>
          <w:iCs/>
          <w:color w:val="314364"/>
          <w:szCs w:val="18"/>
        </w:rPr>
        <w:t>štátneho rozpočtu</w:t>
      </w:r>
      <w:r w:rsidRPr="0083385B">
        <w:rPr>
          <w:rFonts w:eastAsia="Calibri" w:cs="Times New Roman"/>
          <w:b/>
          <w:iCs/>
          <w:color w:val="314364"/>
          <w:szCs w:val="18"/>
        </w:rPr>
        <w:t xml:space="preserve"> podľa </w:t>
      </w:r>
      <w:r w:rsidR="003A48F9">
        <w:rPr>
          <w:rFonts w:eastAsia="Calibri" w:cs="Times New Roman"/>
          <w:b/>
          <w:iCs/>
          <w:color w:val="314364"/>
          <w:szCs w:val="18"/>
        </w:rPr>
        <w:t>funkčnej</w:t>
      </w:r>
      <w:r w:rsidRPr="0083385B">
        <w:rPr>
          <w:rFonts w:eastAsia="Calibri" w:cs="Times New Roman"/>
          <w:b/>
          <w:iCs/>
          <w:color w:val="314364"/>
          <w:szCs w:val="18"/>
        </w:rPr>
        <w:t xml:space="preserve"> klasifikácie </w:t>
      </w:r>
      <w:r w:rsidR="003A48F9">
        <w:rPr>
          <w:rFonts w:eastAsia="Calibri" w:cs="Times New Roman"/>
          <w:b/>
          <w:iCs/>
          <w:color w:val="314364"/>
          <w:szCs w:val="18"/>
        </w:rPr>
        <w:t xml:space="preserve">COFOG </w:t>
      </w:r>
      <w:r w:rsidRPr="0083385B">
        <w:rPr>
          <w:rFonts w:eastAsia="Calibri" w:cs="Times New Roman"/>
          <w:b/>
          <w:iCs/>
          <w:color w:val="314364"/>
          <w:szCs w:val="18"/>
        </w:rPr>
        <w:t>(v mil. eur)</w:t>
      </w:r>
    </w:p>
    <w:tbl>
      <w:tblPr>
        <w:tblW w:w="5000" w:type="pct"/>
        <w:tblBorders>
          <w:bottom w:val="single" w:sz="4" w:space="0" w:color="314364" w:themeColor="text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5"/>
        <w:gridCol w:w="887"/>
        <w:gridCol w:w="903"/>
        <w:gridCol w:w="1087"/>
        <w:gridCol w:w="1313"/>
        <w:gridCol w:w="1395"/>
      </w:tblGrid>
      <w:tr w:rsidR="0004335E" w:rsidRPr="00D1081E" w14:paraId="36E77976" w14:textId="77777777" w:rsidTr="000E5B51">
        <w:trPr>
          <w:trHeight w:val="283"/>
        </w:trPr>
        <w:tc>
          <w:tcPr>
            <w:tcW w:w="1921" w:type="pct"/>
            <w:shd w:val="clear" w:color="auto" w:fill="314364"/>
            <w:noWrap/>
            <w:vAlign w:val="center"/>
            <w:hideMark/>
          </w:tcPr>
          <w:p w14:paraId="4AD9A941" w14:textId="77777777" w:rsidR="0004335E" w:rsidRPr="00380979" w:rsidRDefault="0004335E" w:rsidP="000E5B51">
            <w:pPr>
              <w:spacing w:after="0"/>
              <w:jc w:val="left"/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18"/>
                <w:lang w:eastAsia="sk-SK"/>
              </w:rPr>
              <w:t>Ukazovateľ (v mil. eur)</w:t>
            </w:r>
          </w:p>
        </w:tc>
        <w:tc>
          <w:tcPr>
            <w:tcW w:w="489" w:type="pct"/>
            <w:shd w:val="clear" w:color="auto" w:fill="314364"/>
            <w:noWrap/>
            <w:vAlign w:val="center"/>
            <w:hideMark/>
          </w:tcPr>
          <w:p w14:paraId="1B3EFD34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18"/>
                <w:lang w:eastAsia="sk-SK"/>
              </w:rPr>
              <w:t>S 2022</w:t>
            </w:r>
          </w:p>
        </w:tc>
        <w:tc>
          <w:tcPr>
            <w:tcW w:w="498" w:type="pct"/>
            <w:shd w:val="clear" w:color="auto" w:fill="314364"/>
            <w:vAlign w:val="center"/>
            <w:hideMark/>
          </w:tcPr>
          <w:p w14:paraId="5A847E85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18"/>
                <w:lang w:eastAsia="sk-SK"/>
              </w:rPr>
              <w:t>R 2023</w:t>
            </w:r>
          </w:p>
        </w:tc>
        <w:tc>
          <w:tcPr>
            <w:tcW w:w="599" w:type="pct"/>
            <w:shd w:val="clear" w:color="auto" w:fill="314364"/>
            <w:vAlign w:val="center"/>
            <w:hideMark/>
          </w:tcPr>
          <w:p w14:paraId="27F68ADC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18"/>
                <w:lang w:eastAsia="sk-SK"/>
              </w:rPr>
              <w:t>NR 2024</w:t>
            </w:r>
          </w:p>
        </w:tc>
        <w:tc>
          <w:tcPr>
            <w:tcW w:w="724" w:type="pct"/>
            <w:shd w:val="clear" w:color="auto" w:fill="314364"/>
            <w:vAlign w:val="center"/>
            <w:hideMark/>
          </w:tcPr>
          <w:p w14:paraId="3839EBE5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18"/>
                <w:lang w:eastAsia="sk-SK"/>
              </w:rPr>
              <w:t>2024-2023</w:t>
            </w:r>
          </w:p>
        </w:tc>
        <w:tc>
          <w:tcPr>
            <w:tcW w:w="769" w:type="pct"/>
            <w:shd w:val="clear" w:color="auto" w:fill="314364"/>
            <w:vAlign w:val="center"/>
            <w:hideMark/>
          </w:tcPr>
          <w:p w14:paraId="211B7F18" w14:textId="6066856D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/>
                <w:bCs/>
                <w:color w:val="FFFFFF" w:themeColor="background1"/>
                <w:sz w:val="18"/>
                <w:szCs w:val="18"/>
                <w:lang w:eastAsia="sk-SK"/>
              </w:rPr>
              <w:t>2024/2023</w:t>
            </w:r>
          </w:p>
        </w:tc>
      </w:tr>
      <w:tr w:rsidR="0004335E" w:rsidRPr="00D1081E" w14:paraId="0CA044FA" w14:textId="77777777" w:rsidTr="000E5B51">
        <w:trPr>
          <w:trHeight w:val="283"/>
        </w:trPr>
        <w:tc>
          <w:tcPr>
            <w:tcW w:w="1921" w:type="pct"/>
            <w:shd w:val="clear" w:color="auto" w:fill="auto"/>
            <w:noWrap/>
            <w:vAlign w:val="center"/>
          </w:tcPr>
          <w:p w14:paraId="692B711E" w14:textId="77777777" w:rsidR="0004335E" w:rsidRPr="00380979" w:rsidRDefault="0004335E" w:rsidP="000E5B51">
            <w:pPr>
              <w:spacing w:after="0"/>
              <w:jc w:val="lef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Všeobecné verejné služby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29F7027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4 850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99E635A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 xml:space="preserve">8 571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567612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  <w:t>3 232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2BFC6C7A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-5 339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DDA594B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37,7</w:t>
            </w:r>
          </w:p>
        </w:tc>
      </w:tr>
      <w:tr w:rsidR="0004335E" w:rsidRPr="00D1081E" w14:paraId="6E1E12B8" w14:textId="77777777" w:rsidTr="000E5B51">
        <w:trPr>
          <w:trHeight w:val="283"/>
        </w:trPr>
        <w:tc>
          <w:tcPr>
            <w:tcW w:w="1921" w:type="pct"/>
            <w:shd w:val="clear" w:color="auto" w:fill="auto"/>
            <w:noWrap/>
            <w:vAlign w:val="center"/>
          </w:tcPr>
          <w:p w14:paraId="7B82DD2B" w14:textId="77777777" w:rsidR="0004335E" w:rsidRPr="00380979" w:rsidRDefault="0004335E" w:rsidP="000E5B51">
            <w:pPr>
              <w:spacing w:after="0"/>
              <w:jc w:val="lef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Obrana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666BBD38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1 930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E46FE43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 xml:space="preserve">1 980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4951FEB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  <w:t>687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37F62A1A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-1 293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9B9F5F8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34,7</w:t>
            </w:r>
          </w:p>
        </w:tc>
      </w:tr>
      <w:tr w:rsidR="0004335E" w:rsidRPr="00D1081E" w14:paraId="1E9E1B5F" w14:textId="77777777" w:rsidTr="000E5B51">
        <w:trPr>
          <w:trHeight w:val="283"/>
        </w:trPr>
        <w:tc>
          <w:tcPr>
            <w:tcW w:w="1921" w:type="pct"/>
            <w:shd w:val="clear" w:color="auto" w:fill="auto"/>
            <w:noWrap/>
            <w:vAlign w:val="center"/>
          </w:tcPr>
          <w:p w14:paraId="12C0FEC7" w14:textId="77777777" w:rsidR="0004335E" w:rsidRPr="00380979" w:rsidRDefault="0004335E" w:rsidP="000E5B51">
            <w:pPr>
              <w:spacing w:after="0"/>
              <w:jc w:val="lef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Verejný poriadok a bezpečnosť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0FADB5B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2 359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2BDFB58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 xml:space="preserve">2 646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6004CF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  <w:t>1 298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77A5489F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-1 348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AE00149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49,1</w:t>
            </w:r>
          </w:p>
        </w:tc>
      </w:tr>
      <w:tr w:rsidR="0004335E" w:rsidRPr="00D1081E" w14:paraId="2B42B842" w14:textId="77777777" w:rsidTr="000E5B51">
        <w:trPr>
          <w:trHeight w:val="283"/>
        </w:trPr>
        <w:tc>
          <w:tcPr>
            <w:tcW w:w="1921" w:type="pct"/>
            <w:shd w:val="clear" w:color="auto" w:fill="auto"/>
            <w:noWrap/>
            <w:vAlign w:val="center"/>
          </w:tcPr>
          <w:p w14:paraId="328CDAC9" w14:textId="77777777" w:rsidR="0004335E" w:rsidRPr="00380979" w:rsidRDefault="0004335E" w:rsidP="000E5B51">
            <w:pPr>
              <w:spacing w:after="0"/>
              <w:jc w:val="lef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Ekonomická oblasť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60B2319A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4 291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F25BFF5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 xml:space="preserve">9 508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641D9C4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  <w:t>2 477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374C2426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-7 031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F138783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26,1</w:t>
            </w:r>
          </w:p>
        </w:tc>
      </w:tr>
      <w:tr w:rsidR="0004335E" w:rsidRPr="00D1081E" w14:paraId="3E99584B" w14:textId="77777777" w:rsidTr="000E5B51">
        <w:trPr>
          <w:trHeight w:val="283"/>
        </w:trPr>
        <w:tc>
          <w:tcPr>
            <w:tcW w:w="1921" w:type="pct"/>
            <w:shd w:val="clear" w:color="auto" w:fill="auto"/>
            <w:noWrap/>
            <w:vAlign w:val="center"/>
          </w:tcPr>
          <w:p w14:paraId="39A385A2" w14:textId="77777777" w:rsidR="0004335E" w:rsidRPr="00380979" w:rsidRDefault="0004335E" w:rsidP="000E5B51">
            <w:pPr>
              <w:spacing w:after="0"/>
              <w:jc w:val="lef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Ochrana životného prostredia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514A6088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438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D662297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 xml:space="preserve">1 490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49C4E3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  <w:t>177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2312FDA0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-1 313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2A98AFB4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11,9</w:t>
            </w:r>
          </w:p>
        </w:tc>
      </w:tr>
      <w:tr w:rsidR="0004335E" w:rsidRPr="00D1081E" w14:paraId="5A2E218C" w14:textId="77777777" w:rsidTr="000E5B51">
        <w:trPr>
          <w:trHeight w:val="283"/>
        </w:trPr>
        <w:tc>
          <w:tcPr>
            <w:tcW w:w="1921" w:type="pct"/>
            <w:shd w:val="clear" w:color="auto" w:fill="auto"/>
            <w:noWrap/>
            <w:vAlign w:val="center"/>
          </w:tcPr>
          <w:p w14:paraId="1BDD0F2A" w14:textId="77777777" w:rsidR="0004335E" w:rsidRPr="00380979" w:rsidRDefault="0004335E" w:rsidP="000E5B51">
            <w:pPr>
              <w:spacing w:after="0"/>
              <w:jc w:val="lef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Bývanie a občianska vybavenosť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0A9B708A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103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8390D0B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 xml:space="preserve">469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B6073C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  <w:t>386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55405107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-83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F715748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82,3</w:t>
            </w:r>
          </w:p>
        </w:tc>
      </w:tr>
      <w:tr w:rsidR="0004335E" w:rsidRPr="00D1081E" w14:paraId="23EDA27E" w14:textId="77777777" w:rsidTr="000E5B51">
        <w:trPr>
          <w:trHeight w:val="283"/>
        </w:trPr>
        <w:tc>
          <w:tcPr>
            <w:tcW w:w="1921" w:type="pct"/>
            <w:shd w:val="clear" w:color="auto" w:fill="auto"/>
            <w:noWrap/>
            <w:vAlign w:val="center"/>
          </w:tcPr>
          <w:p w14:paraId="36C9E122" w14:textId="77777777" w:rsidR="0004335E" w:rsidRPr="00380979" w:rsidRDefault="0004335E" w:rsidP="000E5B51">
            <w:pPr>
              <w:spacing w:after="0"/>
              <w:jc w:val="lef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Zdravotníctvo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9CEB70E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894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A518EE6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 xml:space="preserve">956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E3B5F0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  <w:t>383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3BC7B4B8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-573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776CCC7C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40,1</w:t>
            </w:r>
          </w:p>
        </w:tc>
      </w:tr>
      <w:tr w:rsidR="0004335E" w:rsidRPr="00D1081E" w14:paraId="467D94DA" w14:textId="77777777" w:rsidTr="000E5B51">
        <w:trPr>
          <w:trHeight w:val="283"/>
        </w:trPr>
        <w:tc>
          <w:tcPr>
            <w:tcW w:w="1921" w:type="pct"/>
            <w:shd w:val="clear" w:color="auto" w:fill="auto"/>
            <w:noWrap/>
            <w:vAlign w:val="center"/>
          </w:tcPr>
          <w:p w14:paraId="6E7F6F8C" w14:textId="77777777" w:rsidR="0004335E" w:rsidRPr="00380979" w:rsidRDefault="0004335E" w:rsidP="000E5B51">
            <w:pPr>
              <w:spacing w:after="0"/>
              <w:jc w:val="lef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Rekreácia, kultúra a náboženstvo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29E73B68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528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6DECDD7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 xml:space="preserve">471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8B6867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  <w:t>503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1B311335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4BA9F49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106,8</w:t>
            </w:r>
          </w:p>
        </w:tc>
      </w:tr>
      <w:tr w:rsidR="0004335E" w:rsidRPr="00D1081E" w14:paraId="1CFBB644" w14:textId="77777777" w:rsidTr="000E5B51">
        <w:trPr>
          <w:trHeight w:val="283"/>
        </w:trPr>
        <w:tc>
          <w:tcPr>
            <w:tcW w:w="1921" w:type="pct"/>
            <w:shd w:val="clear" w:color="auto" w:fill="auto"/>
            <w:noWrap/>
            <w:vAlign w:val="center"/>
          </w:tcPr>
          <w:p w14:paraId="5AC44729" w14:textId="77777777" w:rsidR="0004335E" w:rsidRPr="00380979" w:rsidRDefault="0004335E" w:rsidP="000E5B51">
            <w:pPr>
              <w:spacing w:after="0"/>
              <w:jc w:val="lef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Vzdelávanie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36EAD32D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3 027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9B432AC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 xml:space="preserve">3 607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08DBB5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  <w:t>3 534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0BE185D3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-73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5D7A5AC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98,0</w:t>
            </w:r>
          </w:p>
        </w:tc>
      </w:tr>
      <w:tr w:rsidR="0004335E" w:rsidRPr="00D1081E" w14:paraId="47EA3BD3" w14:textId="77777777" w:rsidTr="000E5B51">
        <w:trPr>
          <w:trHeight w:val="283"/>
        </w:trPr>
        <w:tc>
          <w:tcPr>
            <w:tcW w:w="1921" w:type="pct"/>
            <w:shd w:val="clear" w:color="auto" w:fill="auto"/>
            <w:noWrap/>
            <w:vAlign w:val="center"/>
          </w:tcPr>
          <w:p w14:paraId="7F8C0F10" w14:textId="77777777" w:rsidR="0004335E" w:rsidRPr="00380979" w:rsidRDefault="0004335E" w:rsidP="000E5B51">
            <w:pPr>
              <w:spacing w:after="0"/>
              <w:jc w:val="lef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Sociálne zabezpečenie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3B2ADA24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sz w:val="18"/>
                <w:szCs w:val="18"/>
                <w:lang w:eastAsia="sk-SK"/>
              </w:rPr>
              <w:t>5 134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5FF5E55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 xml:space="preserve">5 343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D2D91D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Cs/>
                <w:color w:val="000000"/>
                <w:sz w:val="18"/>
                <w:szCs w:val="18"/>
                <w:lang w:eastAsia="sk-SK"/>
              </w:rPr>
              <w:t>9 362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13E01FA7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4 019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82B15A6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color w:val="000000"/>
                <w:sz w:val="18"/>
                <w:szCs w:val="18"/>
                <w:lang w:eastAsia="sk-SK"/>
              </w:rPr>
              <w:t>175,2</w:t>
            </w:r>
          </w:p>
        </w:tc>
      </w:tr>
      <w:tr w:rsidR="0004335E" w:rsidRPr="00D1081E" w14:paraId="67A3FE4C" w14:textId="77777777" w:rsidTr="000E5B51">
        <w:trPr>
          <w:trHeight w:val="283"/>
        </w:trPr>
        <w:tc>
          <w:tcPr>
            <w:tcW w:w="1921" w:type="pct"/>
            <w:shd w:val="clear" w:color="auto" w:fill="auto"/>
            <w:noWrap/>
            <w:vAlign w:val="center"/>
          </w:tcPr>
          <w:p w14:paraId="0005E22D" w14:textId="4BF93072" w:rsidR="0004335E" w:rsidRPr="00380979" w:rsidRDefault="0004335E" w:rsidP="000E5B51">
            <w:pPr>
              <w:spacing w:after="0"/>
              <w:jc w:val="left"/>
              <w:rPr>
                <w:rFonts w:eastAsia="Times New Roman" w:cs="Segoe UI"/>
                <w:b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/>
                <w:bCs/>
                <w:sz w:val="18"/>
                <w:szCs w:val="18"/>
                <w:lang w:eastAsia="sk-SK"/>
              </w:rPr>
              <w:t>SPOLU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CC287A0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/>
                <w:bCs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/>
                <w:bCs/>
                <w:sz w:val="18"/>
                <w:szCs w:val="18"/>
                <w:lang w:eastAsia="sk-SK"/>
              </w:rPr>
              <w:t>23 555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DD9F691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/>
                <w:color w:val="000000"/>
                <w:sz w:val="18"/>
                <w:szCs w:val="18"/>
                <w:lang w:eastAsia="sk-SK"/>
              </w:rPr>
              <w:t xml:space="preserve">35 041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D5009A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/>
                <w:bCs/>
                <w:color w:val="000000"/>
                <w:sz w:val="18"/>
                <w:szCs w:val="18"/>
                <w:lang w:eastAsia="sk-SK"/>
              </w:rPr>
              <w:t>22 038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2F84EB50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/>
                <w:bCs/>
                <w:color w:val="000000"/>
                <w:sz w:val="18"/>
                <w:szCs w:val="18"/>
                <w:lang w:eastAsia="sk-SK"/>
              </w:rPr>
              <w:t>-13 003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9442DF6" w14:textId="77777777" w:rsidR="0004335E" w:rsidRPr="00380979" w:rsidRDefault="0004335E" w:rsidP="000E5B51">
            <w:pPr>
              <w:spacing w:after="0"/>
              <w:jc w:val="right"/>
              <w:rPr>
                <w:rFonts w:eastAsia="Times New Roman" w:cs="Segoe U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80979">
              <w:rPr>
                <w:rFonts w:eastAsia="Times New Roman" w:cs="Segoe UI"/>
                <w:b/>
                <w:bCs/>
                <w:color w:val="000000"/>
                <w:sz w:val="18"/>
                <w:szCs w:val="18"/>
                <w:lang w:eastAsia="sk-SK"/>
              </w:rPr>
              <w:t>62,9</w:t>
            </w:r>
          </w:p>
        </w:tc>
      </w:tr>
    </w:tbl>
    <w:p w14:paraId="5E665E9B" w14:textId="77777777" w:rsidR="00CE4599" w:rsidRPr="0083385B" w:rsidRDefault="00CE4599" w:rsidP="000E5B51">
      <w:pPr>
        <w:pStyle w:val="Bezriadkovania"/>
        <w:spacing w:after="120" w:line="276" w:lineRule="auto"/>
        <w:jc w:val="both"/>
        <w:rPr>
          <w:rFonts w:ascii="Segoe UI" w:eastAsia="Calibri" w:hAnsi="Segoe UI" w:cs="Times New Roman"/>
          <w:i/>
          <w:color w:val="314364"/>
          <w:sz w:val="16"/>
          <w:lang w:eastAsia="en-US"/>
        </w:rPr>
      </w:pPr>
      <w:r w:rsidRPr="0083385B">
        <w:rPr>
          <w:rFonts w:ascii="Segoe UI" w:eastAsia="Calibri" w:hAnsi="Segoe UI" w:cs="Times New Roman"/>
          <w:i/>
          <w:color w:val="314364"/>
          <w:sz w:val="16"/>
          <w:lang w:eastAsia="en-US"/>
        </w:rPr>
        <w:t>Zdroj: MF SR</w:t>
      </w:r>
    </w:p>
    <w:p w14:paraId="18484E88" w14:textId="2BE2C86B" w:rsidR="00CE4599" w:rsidRPr="004E4505" w:rsidRDefault="00CE4599" w:rsidP="00CE4599">
      <w:pPr>
        <w:rPr>
          <w:rFonts w:cs="Segoe UI"/>
          <w:b/>
          <w:szCs w:val="20"/>
        </w:rPr>
      </w:pPr>
      <w:r w:rsidRPr="004E4505">
        <w:rPr>
          <w:rFonts w:cs="Segoe UI"/>
          <w:b/>
          <w:szCs w:val="20"/>
        </w:rPr>
        <w:t>Aj na základe výšky navrhovaných výdavkoch v jednotlivých oblastiach verejných politík</w:t>
      </w:r>
      <w:r w:rsidR="0004335E">
        <w:rPr>
          <w:rFonts w:cs="Segoe UI"/>
          <w:b/>
          <w:szCs w:val="20"/>
        </w:rPr>
        <w:t>, s výnimkou sociálneho zabezpečenia</w:t>
      </w:r>
      <w:r w:rsidR="0083385B">
        <w:rPr>
          <w:rFonts w:cs="Segoe UI"/>
          <w:b/>
          <w:szCs w:val="20"/>
        </w:rPr>
        <w:t xml:space="preserve"> </w:t>
      </w:r>
      <w:r w:rsidR="0083385B" w:rsidRPr="0083385B">
        <w:rPr>
          <w:rFonts w:cs="Segoe UI"/>
          <w:szCs w:val="20"/>
        </w:rPr>
        <w:t>(tabuľka 6)</w:t>
      </w:r>
      <w:r w:rsidR="0004335E">
        <w:rPr>
          <w:rFonts w:cs="Segoe UI"/>
          <w:szCs w:val="20"/>
        </w:rPr>
        <w:t>,</w:t>
      </w:r>
      <w:r w:rsidRPr="004E4505">
        <w:rPr>
          <w:rFonts w:cs="Segoe UI"/>
          <w:b/>
          <w:szCs w:val="20"/>
        </w:rPr>
        <w:t xml:space="preserve"> NKÚ SR konštatuje, že navrhovaná výška</w:t>
      </w:r>
      <w:r>
        <w:rPr>
          <w:rFonts w:cs="Segoe UI"/>
          <w:b/>
          <w:szCs w:val="20"/>
        </w:rPr>
        <w:t xml:space="preserve"> výdavkov</w:t>
      </w:r>
      <w:r w:rsidRPr="004E4505">
        <w:rPr>
          <w:rFonts w:cs="Segoe UI"/>
          <w:b/>
          <w:szCs w:val="20"/>
        </w:rPr>
        <w:t xml:space="preserve"> by spôsobila ich znefunkčnenie.</w:t>
      </w:r>
    </w:p>
    <w:sectPr w:rsidR="00CE4599" w:rsidRPr="004E4505" w:rsidSect="00962F36">
      <w:headerReference w:type="default" r:id="rId15"/>
      <w:footerReference w:type="default" r:id="rId16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D8313" w14:textId="77777777" w:rsidR="009758C7" w:rsidRDefault="009758C7" w:rsidP="004F10D0">
      <w:pPr>
        <w:spacing w:after="0" w:line="240" w:lineRule="auto"/>
      </w:pPr>
      <w:r>
        <w:separator/>
      </w:r>
    </w:p>
  </w:endnote>
  <w:endnote w:type="continuationSeparator" w:id="0">
    <w:p w14:paraId="7BC97A96" w14:textId="77777777" w:rsidR="009758C7" w:rsidRDefault="009758C7" w:rsidP="004F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F6B56" w14:textId="39CDB947" w:rsidR="000B2A83" w:rsidRPr="005C61DD" w:rsidRDefault="000B2A83" w:rsidP="005C61DD">
    <w:pPr>
      <w:tabs>
        <w:tab w:val="left" w:pos="709"/>
      </w:tabs>
      <w:jc w:val="center"/>
      <w:rPr>
        <w:rFonts w:eastAsia="Calibri" w:cs="Segoe UI"/>
        <w:i/>
        <w:sz w:val="18"/>
        <w:szCs w:val="20"/>
      </w:rPr>
    </w:pPr>
    <w:r w:rsidRPr="005C61DD">
      <w:rPr>
        <w:rFonts w:eastAsia="Calibri" w:cs="Segoe UI"/>
        <w:i/>
        <w:sz w:val="18"/>
        <w:szCs w:val="20"/>
      </w:rPr>
      <w:t xml:space="preserve">Stanovisko NKÚ SR k návrhu </w:t>
    </w:r>
    <w:r>
      <w:rPr>
        <w:rFonts w:eastAsia="Calibri" w:cs="Segoe UI"/>
        <w:i/>
        <w:sz w:val="18"/>
        <w:szCs w:val="20"/>
      </w:rPr>
      <w:t>štátneho rozpočtu</w:t>
    </w:r>
    <w:r w:rsidRPr="005C61DD">
      <w:rPr>
        <w:rFonts w:eastAsia="Calibri" w:cs="Segoe UI"/>
        <w:i/>
        <w:sz w:val="18"/>
        <w:szCs w:val="20"/>
      </w:rPr>
      <w:t xml:space="preserve"> na rok 202</w:t>
    </w:r>
    <w:r>
      <w:rPr>
        <w:rFonts w:eastAsia="Calibri" w:cs="Segoe UI"/>
        <w:i/>
        <w:sz w:val="18"/>
        <w:szCs w:val="20"/>
      </w:rPr>
      <w:t>4</w:t>
    </w:r>
    <w:r w:rsidRPr="005C61DD">
      <w:rPr>
        <w:rFonts w:eastAsia="Calibri" w:cs="Segoe UI"/>
        <w:i/>
        <w:sz w:val="18"/>
        <w:szCs w:val="20"/>
      </w:rPr>
      <w:t xml:space="preserve"> bolo vypracované v súlade s § 5 ods. 1 zákona o NKÚ SR na základe kontroly vykonanej na M</w:t>
    </w:r>
    <w:r>
      <w:rPr>
        <w:rFonts w:eastAsia="Calibri" w:cs="Segoe UI"/>
        <w:i/>
        <w:sz w:val="18"/>
        <w:szCs w:val="20"/>
      </w:rPr>
      <w:t>inisterstve financií</w:t>
    </w:r>
    <w:r w:rsidRPr="005C61DD">
      <w:rPr>
        <w:rFonts w:eastAsia="Calibri" w:cs="Segoe UI"/>
        <w:i/>
        <w:sz w:val="18"/>
        <w:szCs w:val="20"/>
      </w:rPr>
      <w:t xml:space="preserve"> SR, ktoré podľa zákona o rozpočtových pravidlách VS zostavuje návrh </w:t>
    </w:r>
    <w:r>
      <w:rPr>
        <w:rFonts w:eastAsia="Calibri" w:cs="Segoe UI"/>
        <w:i/>
        <w:sz w:val="18"/>
        <w:szCs w:val="20"/>
      </w:rPr>
      <w:t>rozpočtu verejnej správy</w:t>
    </w:r>
    <w:r w:rsidRPr="005C61DD">
      <w:rPr>
        <w:rFonts w:eastAsia="Calibri" w:cs="Segoe UI"/>
        <w:i/>
        <w:sz w:val="18"/>
        <w:szCs w:val="20"/>
      </w:rPr>
      <w:t xml:space="preserve"> za </w:t>
    </w:r>
    <w:r>
      <w:rPr>
        <w:rFonts w:eastAsia="Calibri" w:cs="Segoe UI"/>
        <w:i/>
        <w:sz w:val="18"/>
        <w:szCs w:val="20"/>
      </w:rPr>
      <w:t>štátny rozpočet</w:t>
    </w:r>
    <w:r w:rsidRPr="005C61DD">
      <w:rPr>
        <w:rFonts w:eastAsia="Calibri" w:cs="Segoe UI"/>
        <w:i/>
        <w:sz w:val="18"/>
        <w:szCs w:val="20"/>
      </w:rPr>
      <w:t xml:space="preserve"> a súhrnné rozpočty ostatných subjektov VS.</w:t>
    </w:r>
  </w:p>
  <w:p w14:paraId="58356A1A" w14:textId="77777777" w:rsidR="000B2A83" w:rsidRPr="00FF5DA3" w:rsidRDefault="000B2A83" w:rsidP="008F0A84">
    <w:pPr>
      <w:pStyle w:val="Pta"/>
      <w:tabs>
        <w:tab w:val="clear" w:pos="4536"/>
        <w:tab w:val="clear" w:pos="9072"/>
        <w:tab w:val="center" w:pos="9070"/>
      </w:tabs>
      <w:jc w:val="center"/>
      <w:rPr>
        <w:b/>
        <w:color w:val="314364"/>
        <w:sz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359340"/>
      <w:docPartObj>
        <w:docPartGallery w:val="Page Numbers (Bottom of Page)"/>
        <w:docPartUnique/>
      </w:docPartObj>
    </w:sdtPr>
    <w:sdtEndPr/>
    <w:sdtContent>
      <w:p w14:paraId="1CF29EB5" w14:textId="0DE40EDC" w:rsidR="000B2A83" w:rsidRDefault="000B2A83" w:rsidP="00733B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5D0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40877" w14:textId="77777777" w:rsidR="009758C7" w:rsidRDefault="009758C7" w:rsidP="004F10D0">
      <w:pPr>
        <w:spacing w:after="0" w:line="240" w:lineRule="auto"/>
      </w:pPr>
      <w:r>
        <w:separator/>
      </w:r>
    </w:p>
  </w:footnote>
  <w:footnote w:type="continuationSeparator" w:id="0">
    <w:p w14:paraId="1BED77EF" w14:textId="77777777" w:rsidR="009758C7" w:rsidRDefault="009758C7" w:rsidP="004F10D0">
      <w:pPr>
        <w:spacing w:after="0" w:line="240" w:lineRule="auto"/>
      </w:pPr>
      <w:r>
        <w:continuationSeparator/>
      </w:r>
    </w:p>
  </w:footnote>
  <w:footnote w:id="1">
    <w:p w14:paraId="5EE66B89" w14:textId="77777777" w:rsidR="009C7DA1" w:rsidRDefault="009C7DA1" w:rsidP="009C7DA1">
      <w:pPr>
        <w:pStyle w:val="Textpoznmkypodiarou"/>
      </w:pPr>
      <w:r>
        <w:rPr>
          <w:rStyle w:val="Odkaznapoznmkupodiarou"/>
        </w:rPr>
        <w:footnoteRef/>
      </w:r>
      <w:r>
        <w:t xml:space="preserve"> NKÚ SR – Analýza rizík v udržateľnom smerovaní spoločnosti na základe výsledkov kontrolnej činnosti NKÚ SR.</w:t>
      </w:r>
    </w:p>
  </w:footnote>
  <w:footnote w:id="2">
    <w:p w14:paraId="1AC710CF" w14:textId="78935B69" w:rsidR="000B2A83" w:rsidRDefault="000B2A83">
      <w:pPr>
        <w:pStyle w:val="Textpoznmkypodiarou"/>
      </w:pPr>
      <w:r>
        <w:rPr>
          <w:rStyle w:val="Odkaznapoznmkupodiarou"/>
        </w:rPr>
        <w:footnoteRef/>
      </w:r>
      <w:r>
        <w:t xml:space="preserve"> ÚHP – Výdavkové priority pre úspešné Slovensko. [</w:t>
      </w:r>
      <w:hyperlink r:id="rId1" w:history="1">
        <w:r w:rsidRPr="00821822">
          <w:rPr>
            <w:rStyle w:val="Hypertextovprepojenie"/>
            <w:sz w:val="16"/>
          </w:rPr>
          <w:t>online</w:t>
        </w:r>
      </w:hyperlink>
      <w:r>
        <w:t>].</w:t>
      </w:r>
    </w:p>
  </w:footnote>
  <w:footnote w:id="3">
    <w:p w14:paraId="3E78FB78" w14:textId="2337C0B6" w:rsidR="000B2A83" w:rsidRDefault="000B2A83">
      <w:pPr>
        <w:pStyle w:val="Textpoznmkypodiarou"/>
      </w:pPr>
      <w:r>
        <w:rPr>
          <w:rStyle w:val="Odkaznapoznmkupodiarou"/>
        </w:rPr>
        <w:footnoteRef/>
      </w:r>
      <w:r>
        <w:t xml:space="preserve"> MF SR – Návrh na ozdravenie verejných financií. [</w:t>
      </w:r>
      <w:hyperlink r:id="rId2" w:history="1">
        <w:r w:rsidRPr="008F10EE">
          <w:rPr>
            <w:rStyle w:val="Hypertextovprepojenie"/>
            <w:sz w:val="16"/>
          </w:rPr>
          <w:t>online</w:t>
        </w:r>
      </w:hyperlink>
      <w:r>
        <w:t>].</w:t>
      </w:r>
    </w:p>
  </w:footnote>
  <w:footnote w:id="4">
    <w:p w14:paraId="47832EBE" w14:textId="44ABCDF8" w:rsidR="002C28FB" w:rsidRDefault="002C28FB">
      <w:pPr>
        <w:pStyle w:val="Textpoznmkypodiarou"/>
      </w:pPr>
      <w:r>
        <w:rPr>
          <w:rStyle w:val="Odkaznapoznmkupodiarou"/>
        </w:rPr>
        <w:footnoteRef/>
      </w:r>
      <w:r>
        <w:t xml:space="preserve"> Ceny energií klesajú od začiatku roka 2023, no na úroveň spred vojny sa stále nedotiahli. V auguste boli ceny elektriny oproti predvojnovému priemeru vyššie 1,5-krát a ceny plynu 1,4-krát.</w:t>
      </w:r>
    </w:p>
  </w:footnote>
  <w:footnote w:id="5">
    <w:p w14:paraId="06C7EFB0" w14:textId="31EA535D" w:rsidR="000B2A83" w:rsidRDefault="000B2A83">
      <w:pPr>
        <w:pStyle w:val="Textpoznmkypodiarou"/>
      </w:pPr>
      <w:r>
        <w:rPr>
          <w:rStyle w:val="Odkaznapoznmkupodiarou"/>
        </w:rPr>
        <w:footnoteRef/>
      </w:r>
      <w:r>
        <w:t xml:space="preserve"> Úroveň hrubého dlhu VS presahuje horný limit dlhovej brzdy, v dôsledku čoho platné sankcie nedovoľujú predložiť vláde návrh rozpočtu s deficitným hospodárením.</w:t>
      </w:r>
    </w:p>
  </w:footnote>
  <w:footnote w:id="6">
    <w:p w14:paraId="10AF6649" w14:textId="11155701" w:rsidR="000B2A83" w:rsidRDefault="000B2A83">
      <w:pPr>
        <w:pStyle w:val="Textpoznmkypodiarou"/>
      </w:pPr>
      <w:r>
        <w:rPr>
          <w:rStyle w:val="Odkaznapoznmkupodiarou"/>
        </w:rPr>
        <w:footnoteRef/>
      </w:r>
      <w:r>
        <w:t xml:space="preserve"> Všeobecná úniková doložka zodpovedá prestávke v uplatňovaní bežných pravidiel paktu stability a rastu. Aktivovaná bola v marci 2020 po vypuknutí pandémie COVID-19 a pre pokračujúcu neistotu spojenú s konfliktom na Ukrajine nebola zatiaľ deaktivovaná. Výnimka z uplatňovania LVV pri </w:t>
      </w:r>
      <w:r w:rsidR="00165B4F">
        <w:t>aplikovaní</w:t>
      </w:r>
      <w:r>
        <w:t xml:space="preserve"> všeobecnej únikovej doložky je uvedená v </w:t>
      </w:r>
      <w:hyperlink r:id="rId3" w:anchor="paragraf-30aa.odsek-22" w:history="1">
        <w:r w:rsidRPr="000B2A83">
          <w:rPr>
            <w:rStyle w:val="Hypertextovprepojenie"/>
            <w:sz w:val="16"/>
          </w:rPr>
          <w:t xml:space="preserve">§ </w:t>
        </w:r>
        <w:r w:rsidR="00165B4F">
          <w:rPr>
            <w:rStyle w:val="Hypertextovprepojenie"/>
            <w:sz w:val="16"/>
          </w:rPr>
          <w:t>30aa, ods. (22) zákona 523/2004 </w:t>
        </w:r>
        <w:r w:rsidRPr="000B2A83">
          <w:rPr>
            <w:rStyle w:val="Hypertextovprepojenie"/>
            <w:sz w:val="16"/>
          </w:rPr>
          <w:t>Z.</w:t>
        </w:r>
        <w:r w:rsidR="00165B4F">
          <w:rPr>
            <w:rStyle w:val="Hypertextovprepojenie"/>
            <w:sz w:val="16"/>
          </w:rPr>
          <w:t> </w:t>
        </w:r>
        <w:r w:rsidRPr="000B2A83">
          <w:rPr>
            <w:rStyle w:val="Hypertextovprepojenie"/>
            <w:sz w:val="16"/>
          </w:rPr>
          <w:t>z.</w:t>
        </w:r>
      </w:hyperlink>
      <w:r>
        <w:t xml:space="preserve"> </w:t>
      </w:r>
      <w:r w:rsidRPr="000B2A83">
        <w:t>o</w:t>
      </w:r>
      <w:r w:rsidR="00165B4F">
        <w:t> </w:t>
      </w:r>
      <w:r w:rsidRPr="000B2A83">
        <w:t>rozpočtových pravidlách verejnej správy a</w:t>
      </w:r>
      <w:r w:rsidR="00165B4F">
        <w:t> </w:t>
      </w:r>
      <w:r w:rsidRPr="000B2A83">
        <w:t>o</w:t>
      </w:r>
      <w:r w:rsidR="00165B4F">
        <w:t> </w:t>
      </w:r>
      <w:r w:rsidRPr="000B2A83">
        <w:t>zmene a</w:t>
      </w:r>
      <w:r w:rsidR="00165B4F">
        <w:t> </w:t>
      </w:r>
      <w:r w:rsidRPr="000B2A83">
        <w:t>doplnení niektorých zákonov</w:t>
      </w:r>
      <w:r>
        <w:t xml:space="preserve">. </w:t>
      </w:r>
    </w:p>
  </w:footnote>
  <w:footnote w:id="7">
    <w:p w14:paraId="6377FF4B" w14:textId="6DE48AF0" w:rsidR="000B2A83" w:rsidRDefault="000B2A83" w:rsidP="00E379FA">
      <w:pPr>
        <w:pStyle w:val="Textpoznmkypodiarou"/>
      </w:pPr>
      <w:r>
        <w:rPr>
          <w:rStyle w:val="Odkaznapoznmkupodiarou"/>
        </w:rPr>
        <w:footnoteRef/>
      </w:r>
      <w:r>
        <w:t xml:space="preserve"> V roku 2021 EK schválila modifikáciu programového obdobia PRV 2014 – 2020, ktorou predĺžila obdobie o 2 roky, t. j. do roku 2022. V zmysle pravidla čerpania n+3 je tak možné poľnohospodárske fondy z PO 2014 – 2022 čerpať do konca roka 2025.</w:t>
      </w:r>
    </w:p>
  </w:footnote>
  <w:footnote w:id="8">
    <w:p w14:paraId="33ECD876" w14:textId="72BE6D84" w:rsidR="000B2A83" w:rsidRDefault="000B2A83" w:rsidP="00865D0E">
      <w:pPr>
        <w:pStyle w:val="Textpoznmkypodiarou"/>
      </w:pPr>
      <w:r>
        <w:rPr>
          <w:rStyle w:val="Odkaznapoznmkupodiarou"/>
        </w:rPr>
        <w:footnoteRef/>
      </w:r>
      <w:r>
        <w:t xml:space="preserve"> K 30. 9. 2023 bolo vyčerpaných 79 % z celkovej alokácie PO 2014 – 2020 (bez Programu rozvoja vidieka).</w:t>
      </w:r>
    </w:p>
  </w:footnote>
  <w:footnote w:id="9">
    <w:p w14:paraId="44F13C08" w14:textId="11CE8943" w:rsidR="000B2A83" w:rsidRDefault="000B2A83" w:rsidP="00865D0E">
      <w:pPr>
        <w:pStyle w:val="Textpoznmkypodiarou"/>
      </w:pPr>
      <w:r w:rsidRPr="004E0B10">
        <w:rPr>
          <w:rStyle w:val="Odkaznapoznmkupodiarou"/>
        </w:rPr>
        <w:footnoteRef/>
      </w:r>
      <w:r w:rsidRPr="004E0B10">
        <w:t xml:space="preserve"> Program Slovensko</w:t>
      </w:r>
      <w:r>
        <w:t>:</w:t>
      </w:r>
      <w:r w:rsidRPr="004E0B10">
        <w:t xml:space="preserve"> 459 mil. eur, Interreg V-A SK-CZ</w:t>
      </w:r>
      <w:r>
        <w:t>:</w:t>
      </w:r>
      <w:r w:rsidRPr="004E0B10">
        <w:t xml:space="preserve"> 11,1 mil. eur, Interreg V-A SK-AT</w:t>
      </w:r>
      <w:r>
        <w:t>:</w:t>
      </w:r>
      <w:r w:rsidRPr="004E0B10">
        <w:t xml:space="preserve"> 0 eur, OP Rybné hospodárstvo</w:t>
      </w:r>
      <w:r>
        <w:t>:</w:t>
      </w:r>
      <w:r w:rsidRPr="004E0B10">
        <w:t xml:space="preserve"> 84 tis. eur.</w:t>
      </w:r>
      <w:r>
        <w:t xml:space="preserve"> </w:t>
      </w:r>
    </w:p>
  </w:footnote>
  <w:footnote w:id="10">
    <w:p w14:paraId="71ED93FC" w14:textId="2B49B06C" w:rsidR="000B2A83" w:rsidRDefault="000B2A8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E055D4">
        <w:t>Dekomitment alebo nesplnený záväzok znamená, že sa nepodarila vyčerpať dopredu stanovená suma peňazí na konkrétny rok, pri ktorom platí pravidlo n+3. Častým dôvodom prepadnutia prostriedkov je práve nestihnutie termínov na ich dočerpanie.</w:t>
      </w:r>
    </w:p>
  </w:footnote>
  <w:footnote w:id="11">
    <w:p w14:paraId="0CFDE7B9" w14:textId="77777777" w:rsidR="000B2A83" w:rsidRDefault="000B2A83" w:rsidP="00E055D4">
      <w:pPr>
        <w:pStyle w:val="Textpoznmkypodiarou"/>
      </w:pPr>
      <w:r>
        <w:rPr>
          <w:rStyle w:val="Odkaznapoznmkupodiarou"/>
        </w:rPr>
        <w:footnoteRef/>
      </w:r>
      <w:r>
        <w:t xml:space="preserve"> MO SR – Dlhodobý plán rozvoja rezortu Ministerstva obrany s výhľadom do roku 2035. [</w:t>
      </w:r>
      <w:hyperlink r:id="rId4" w:history="1">
        <w:r w:rsidRPr="00E72778">
          <w:rPr>
            <w:rStyle w:val="Hypertextovprepojenie"/>
            <w:sz w:val="16"/>
          </w:rPr>
          <w:t>online</w:t>
        </w:r>
      </w:hyperlink>
      <w:r>
        <w:t>].</w:t>
      </w:r>
    </w:p>
  </w:footnote>
  <w:footnote w:id="12">
    <w:p w14:paraId="0C85ACBF" w14:textId="77777777" w:rsidR="000B2A83" w:rsidRDefault="000B2A83" w:rsidP="005C4E49">
      <w:pPr>
        <w:pStyle w:val="Textpoznmkypodiarou"/>
      </w:pPr>
      <w:r>
        <w:rPr>
          <w:rStyle w:val="Odkaznapoznmkupodiarou"/>
        </w:rPr>
        <w:footnoteRef/>
      </w:r>
      <w:r>
        <w:t xml:space="preserve"> ÚHP – Aktualizácia revízie výdavkov Ministerstva vnútra SR (Policajný zbor). [</w:t>
      </w:r>
      <w:hyperlink r:id="rId5" w:history="1">
        <w:r w:rsidRPr="00821822">
          <w:rPr>
            <w:rStyle w:val="Hypertextovprepojenie"/>
            <w:sz w:val="16"/>
          </w:rPr>
          <w:t>online</w:t>
        </w:r>
      </w:hyperlink>
      <w:r>
        <w:t>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803" w:type="pct"/>
      <w:tblInd w:w="-1418" w:type="dxa"/>
      <w:shd w:val="clear" w:color="auto" w:fill="9CB9EC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2341"/>
    </w:tblGrid>
    <w:tr w:rsidR="000B2A83" w14:paraId="6078A1EE" w14:textId="77777777" w:rsidTr="00D368ED">
      <w:trPr>
        <w:trHeight w:val="1911"/>
      </w:trPr>
      <w:tc>
        <w:tcPr>
          <w:tcW w:w="5000" w:type="pct"/>
          <w:shd w:val="clear" w:color="auto" w:fill="314364"/>
          <w:vAlign w:val="center"/>
        </w:tcPr>
        <w:p w14:paraId="0129F68B" w14:textId="77777777" w:rsidR="000B2A83" w:rsidRPr="00D368ED" w:rsidRDefault="000B2A83" w:rsidP="000B6CC9">
          <w:pPr>
            <w:pStyle w:val="Hlavika"/>
            <w:tabs>
              <w:tab w:val="clear" w:pos="9072"/>
              <w:tab w:val="right" w:pos="10239"/>
            </w:tabs>
            <w:spacing w:before="240" w:after="120"/>
            <w:ind w:left="1308"/>
            <w:jc w:val="left"/>
            <w:rPr>
              <w:rFonts w:cs="Segoe UI"/>
              <w:b/>
              <w:caps/>
              <w:color w:val="FFFFFF" w:themeColor="background1"/>
              <w:sz w:val="40"/>
              <w:szCs w:val="40"/>
            </w:rPr>
          </w:pPr>
          <w:r w:rsidRPr="0060315B">
            <w:rPr>
              <w:rFonts w:cs="Segoe UI"/>
              <w:noProof/>
              <w:color w:val="FFFFFF" w:themeColor="background1"/>
              <w:sz w:val="40"/>
              <w:lang w:eastAsia="sk-SK"/>
            </w:rPr>
            <w:drawing>
              <wp:anchor distT="0" distB="0" distL="114300" distR="114300" simplePos="0" relativeHeight="251661312" behindDoc="0" locked="0" layoutInCell="1" allowOverlap="1" wp14:anchorId="375CB54A" wp14:editId="30DC9E20">
                <wp:simplePos x="0" y="0"/>
                <wp:positionH relativeFrom="margin">
                  <wp:posOffset>5177155</wp:posOffset>
                </wp:positionH>
                <wp:positionV relativeFrom="margin">
                  <wp:posOffset>135255</wp:posOffset>
                </wp:positionV>
                <wp:extent cx="1371600" cy="1009650"/>
                <wp:effectExtent l="0" t="0" r="0" b="0"/>
                <wp:wrapSquare wrapText="bothSides"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Obrázok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368ED">
            <w:rPr>
              <w:rFonts w:cs="Segoe UI"/>
              <w:b/>
              <w:caps/>
              <w:color w:val="FFFFFF" w:themeColor="background1"/>
              <w:sz w:val="40"/>
              <w:szCs w:val="40"/>
            </w:rPr>
            <w:t>NAJVYŠŠÍ KONTROLNÝ ÚRAD</w:t>
          </w:r>
          <w:r w:rsidRPr="00D368ED">
            <w:rPr>
              <w:rFonts w:cs="Segoe UI"/>
              <w:b/>
              <w:caps/>
              <w:color w:val="FFFFFF" w:themeColor="background1"/>
              <w:sz w:val="40"/>
              <w:szCs w:val="40"/>
            </w:rPr>
            <w:br/>
            <w:t>SLOVENSKEJ REPUBLIKY</w:t>
          </w:r>
        </w:p>
        <w:p w14:paraId="41E3EFF0" w14:textId="77777777" w:rsidR="000B2A83" w:rsidRPr="00452B4A" w:rsidRDefault="000B2A83" w:rsidP="00D368ED">
          <w:pPr>
            <w:pStyle w:val="Hlavika"/>
            <w:ind w:left="1308"/>
            <w:jc w:val="left"/>
            <w:rPr>
              <w:rFonts w:ascii="Montserrat" w:hAnsi="Montserrat"/>
              <w:caps/>
              <w:color w:val="FFFFFF" w:themeColor="background1"/>
            </w:rPr>
          </w:pPr>
          <w:r>
            <w:rPr>
              <w:rFonts w:cs="Segoe UI"/>
              <w:color w:val="FFFFFF" w:themeColor="background1"/>
              <w:sz w:val="24"/>
            </w:rPr>
            <w:t>www.nku.gov.sk</w:t>
          </w:r>
        </w:p>
      </w:tc>
    </w:tr>
  </w:tbl>
  <w:p w14:paraId="0EE9014E" w14:textId="77777777" w:rsidR="000B2A83" w:rsidRDefault="000B2A8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600" w:type="pct"/>
      <w:tblInd w:w="-1471" w:type="dxa"/>
      <w:shd w:val="clear" w:color="auto" w:fill="9CB9EC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1972"/>
    </w:tblGrid>
    <w:tr w:rsidR="000B2A83" w14:paraId="7A36DCFD" w14:textId="77777777" w:rsidTr="0056118C">
      <w:trPr>
        <w:trHeight w:val="1134"/>
      </w:trPr>
      <w:tc>
        <w:tcPr>
          <w:tcW w:w="5000" w:type="pct"/>
          <w:shd w:val="clear" w:color="auto" w:fill="314364"/>
          <w:vAlign w:val="center"/>
        </w:tcPr>
        <w:p w14:paraId="6D97F8F6" w14:textId="5CC4F8FA" w:rsidR="000B2A83" w:rsidRPr="00962F36" w:rsidRDefault="000B2A83" w:rsidP="00092577">
          <w:pPr>
            <w:pStyle w:val="Hlavika"/>
            <w:tabs>
              <w:tab w:val="clear" w:pos="4536"/>
              <w:tab w:val="center" w:pos="309"/>
            </w:tabs>
            <w:spacing w:before="120"/>
            <w:ind w:left="309" w:right="1296"/>
            <w:jc w:val="right"/>
            <w:rPr>
              <w:rFonts w:cs="Segoe UI"/>
              <w:color w:val="FFFFFF" w:themeColor="background1"/>
              <w:sz w:val="24"/>
            </w:rPr>
          </w:pPr>
          <w:r>
            <w:rPr>
              <w:rFonts w:cs="Segoe UI"/>
              <w:color w:val="FFFFFF" w:themeColor="background1"/>
              <w:sz w:val="24"/>
            </w:rPr>
            <w:br/>
            <w:t>www.nku.gov.sk</w:t>
          </w:r>
        </w:p>
      </w:tc>
    </w:tr>
  </w:tbl>
  <w:p w14:paraId="25C8DE35" w14:textId="77777777" w:rsidR="000B2A83" w:rsidRDefault="000B2A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E2984"/>
    <w:multiLevelType w:val="hybridMultilevel"/>
    <w:tmpl w:val="A9548BC6"/>
    <w:lvl w:ilvl="0" w:tplc="1EBC98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0D3C0F"/>
    <w:multiLevelType w:val="hybridMultilevel"/>
    <w:tmpl w:val="7936AE06"/>
    <w:lvl w:ilvl="0" w:tplc="980C73D2">
      <w:start w:val="1"/>
      <w:numFmt w:val="decimal"/>
      <w:pStyle w:val="Pouitliteratra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4282E"/>
    <w:multiLevelType w:val="multilevel"/>
    <w:tmpl w:val="623AD604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2559" w:hanging="43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C2"/>
    <w:rsid w:val="00000294"/>
    <w:rsid w:val="00001C9E"/>
    <w:rsid w:val="00002667"/>
    <w:rsid w:val="00004033"/>
    <w:rsid w:val="00005263"/>
    <w:rsid w:val="000059A5"/>
    <w:rsid w:val="00006CF3"/>
    <w:rsid w:val="000112C8"/>
    <w:rsid w:val="00011DEB"/>
    <w:rsid w:val="000156D3"/>
    <w:rsid w:val="00015CB4"/>
    <w:rsid w:val="00016D01"/>
    <w:rsid w:val="000201F0"/>
    <w:rsid w:val="00023340"/>
    <w:rsid w:val="00024757"/>
    <w:rsid w:val="000248C3"/>
    <w:rsid w:val="00024931"/>
    <w:rsid w:val="00024E9A"/>
    <w:rsid w:val="00025225"/>
    <w:rsid w:val="00025C9D"/>
    <w:rsid w:val="00030072"/>
    <w:rsid w:val="00030D77"/>
    <w:rsid w:val="0003320C"/>
    <w:rsid w:val="000336F0"/>
    <w:rsid w:val="000347E2"/>
    <w:rsid w:val="00034CF4"/>
    <w:rsid w:val="0003553D"/>
    <w:rsid w:val="00035D8F"/>
    <w:rsid w:val="00036406"/>
    <w:rsid w:val="000366C7"/>
    <w:rsid w:val="00037A18"/>
    <w:rsid w:val="00037DEB"/>
    <w:rsid w:val="00037E23"/>
    <w:rsid w:val="00041751"/>
    <w:rsid w:val="0004335E"/>
    <w:rsid w:val="00045218"/>
    <w:rsid w:val="00046FC0"/>
    <w:rsid w:val="00047A70"/>
    <w:rsid w:val="00050F6E"/>
    <w:rsid w:val="0005233D"/>
    <w:rsid w:val="000555E4"/>
    <w:rsid w:val="0005675B"/>
    <w:rsid w:val="00056B89"/>
    <w:rsid w:val="000601AC"/>
    <w:rsid w:val="00060491"/>
    <w:rsid w:val="00060EFA"/>
    <w:rsid w:val="000615A9"/>
    <w:rsid w:val="00061F1F"/>
    <w:rsid w:val="0006328F"/>
    <w:rsid w:val="000634F6"/>
    <w:rsid w:val="00064FEC"/>
    <w:rsid w:val="00066A87"/>
    <w:rsid w:val="00071405"/>
    <w:rsid w:val="00074731"/>
    <w:rsid w:val="00074FD1"/>
    <w:rsid w:val="00077243"/>
    <w:rsid w:val="00081734"/>
    <w:rsid w:val="00081DDE"/>
    <w:rsid w:val="00083097"/>
    <w:rsid w:val="00084168"/>
    <w:rsid w:val="00085D9A"/>
    <w:rsid w:val="00086CFA"/>
    <w:rsid w:val="00087BA2"/>
    <w:rsid w:val="00091260"/>
    <w:rsid w:val="00091866"/>
    <w:rsid w:val="00091984"/>
    <w:rsid w:val="00092153"/>
    <w:rsid w:val="00092577"/>
    <w:rsid w:val="00092E55"/>
    <w:rsid w:val="000940C2"/>
    <w:rsid w:val="00095320"/>
    <w:rsid w:val="00095CF4"/>
    <w:rsid w:val="0009606A"/>
    <w:rsid w:val="00096834"/>
    <w:rsid w:val="000A0207"/>
    <w:rsid w:val="000A41F0"/>
    <w:rsid w:val="000A451D"/>
    <w:rsid w:val="000A5967"/>
    <w:rsid w:val="000A597C"/>
    <w:rsid w:val="000B15AD"/>
    <w:rsid w:val="000B17E1"/>
    <w:rsid w:val="000B1C0A"/>
    <w:rsid w:val="000B261C"/>
    <w:rsid w:val="000B2A83"/>
    <w:rsid w:val="000B379D"/>
    <w:rsid w:val="000B638D"/>
    <w:rsid w:val="000B6CC9"/>
    <w:rsid w:val="000B6FE0"/>
    <w:rsid w:val="000B7C4A"/>
    <w:rsid w:val="000C1766"/>
    <w:rsid w:val="000C1B1C"/>
    <w:rsid w:val="000C33D4"/>
    <w:rsid w:val="000C671E"/>
    <w:rsid w:val="000C7B37"/>
    <w:rsid w:val="000D05F7"/>
    <w:rsid w:val="000D08CC"/>
    <w:rsid w:val="000D39CA"/>
    <w:rsid w:val="000D44E2"/>
    <w:rsid w:val="000D556A"/>
    <w:rsid w:val="000D6535"/>
    <w:rsid w:val="000D752F"/>
    <w:rsid w:val="000E0405"/>
    <w:rsid w:val="000E1798"/>
    <w:rsid w:val="000E1E08"/>
    <w:rsid w:val="000E5B51"/>
    <w:rsid w:val="000E5CB3"/>
    <w:rsid w:val="000F0C49"/>
    <w:rsid w:val="000F4C77"/>
    <w:rsid w:val="000F5FAD"/>
    <w:rsid w:val="000F6D77"/>
    <w:rsid w:val="00100936"/>
    <w:rsid w:val="00103C21"/>
    <w:rsid w:val="00104F9C"/>
    <w:rsid w:val="00105203"/>
    <w:rsid w:val="00105E47"/>
    <w:rsid w:val="001067DB"/>
    <w:rsid w:val="00106BF8"/>
    <w:rsid w:val="00107DD4"/>
    <w:rsid w:val="00110271"/>
    <w:rsid w:val="00112147"/>
    <w:rsid w:val="001123B7"/>
    <w:rsid w:val="001136F4"/>
    <w:rsid w:val="00113C5D"/>
    <w:rsid w:val="00115BC5"/>
    <w:rsid w:val="0011737A"/>
    <w:rsid w:val="0011791E"/>
    <w:rsid w:val="00122236"/>
    <w:rsid w:val="00122526"/>
    <w:rsid w:val="001256A4"/>
    <w:rsid w:val="00127302"/>
    <w:rsid w:val="001273CF"/>
    <w:rsid w:val="00130002"/>
    <w:rsid w:val="001355D0"/>
    <w:rsid w:val="0013594B"/>
    <w:rsid w:val="00135BC5"/>
    <w:rsid w:val="001363E6"/>
    <w:rsid w:val="0013703B"/>
    <w:rsid w:val="00137BC8"/>
    <w:rsid w:val="0014071A"/>
    <w:rsid w:val="0014156E"/>
    <w:rsid w:val="0014343D"/>
    <w:rsid w:val="0014479C"/>
    <w:rsid w:val="0014533F"/>
    <w:rsid w:val="00145644"/>
    <w:rsid w:val="00145BA9"/>
    <w:rsid w:val="00151147"/>
    <w:rsid w:val="0015153D"/>
    <w:rsid w:val="001555F8"/>
    <w:rsid w:val="001576E9"/>
    <w:rsid w:val="001609D9"/>
    <w:rsid w:val="00160B33"/>
    <w:rsid w:val="00160CCF"/>
    <w:rsid w:val="00162997"/>
    <w:rsid w:val="00163A8C"/>
    <w:rsid w:val="00164DF3"/>
    <w:rsid w:val="00165813"/>
    <w:rsid w:val="00165B4F"/>
    <w:rsid w:val="00165F25"/>
    <w:rsid w:val="0016767D"/>
    <w:rsid w:val="0017193D"/>
    <w:rsid w:val="00172C8B"/>
    <w:rsid w:val="001736C2"/>
    <w:rsid w:val="00176A5D"/>
    <w:rsid w:val="001778A6"/>
    <w:rsid w:val="00181C89"/>
    <w:rsid w:val="00182145"/>
    <w:rsid w:val="00184758"/>
    <w:rsid w:val="0018540D"/>
    <w:rsid w:val="0018541D"/>
    <w:rsid w:val="00185FA1"/>
    <w:rsid w:val="00191436"/>
    <w:rsid w:val="00192A7B"/>
    <w:rsid w:val="001931C5"/>
    <w:rsid w:val="001932C8"/>
    <w:rsid w:val="00194C12"/>
    <w:rsid w:val="001951C8"/>
    <w:rsid w:val="001951F6"/>
    <w:rsid w:val="00196D31"/>
    <w:rsid w:val="00197492"/>
    <w:rsid w:val="0019785D"/>
    <w:rsid w:val="001A1C0E"/>
    <w:rsid w:val="001A2FF8"/>
    <w:rsid w:val="001A3D08"/>
    <w:rsid w:val="001A6FB8"/>
    <w:rsid w:val="001B03A6"/>
    <w:rsid w:val="001B10CB"/>
    <w:rsid w:val="001B13FF"/>
    <w:rsid w:val="001B3E13"/>
    <w:rsid w:val="001B4846"/>
    <w:rsid w:val="001B5440"/>
    <w:rsid w:val="001B5A17"/>
    <w:rsid w:val="001B77C9"/>
    <w:rsid w:val="001C47F4"/>
    <w:rsid w:val="001C5FF2"/>
    <w:rsid w:val="001C7157"/>
    <w:rsid w:val="001C732F"/>
    <w:rsid w:val="001C7997"/>
    <w:rsid w:val="001D0581"/>
    <w:rsid w:val="001D4049"/>
    <w:rsid w:val="001D4805"/>
    <w:rsid w:val="001D56CD"/>
    <w:rsid w:val="001D5E57"/>
    <w:rsid w:val="001D7483"/>
    <w:rsid w:val="001E0A12"/>
    <w:rsid w:val="001E109F"/>
    <w:rsid w:val="001E3DBD"/>
    <w:rsid w:val="001E4A2A"/>
    <w:rsid w:val="001E601E"/>
    <w:rsid w:val="001E7A80"/>
    <w:rsid w:val="001F3866"/>
    <w:rsid w:val="001F4513"/>
    <w:rsid w:val="001F4AA2"/>
    <w:rsid w:val="001F7057"/>
    <w:rsid w:val="001F7D00"/>
    <w:rsid w:val="00202081"/>
    <w:rsid w:val="0020314A"/>
    <w:rsid w:val="002038B4"/>
    <w:rsid w:val="0020515F"/>
    <w:rsid w:val="00205613"/>
    <w:rsid w:val="00207111"/>
    <w:rsid w:val="00210CF0"/>
    <w:rsid w:val="002158AB"/>
    <w:rsid w:val="00217DFF"/>
    <w:rsid w:val="00220608"/>
    <w:rsid w:val="00224A44"/>
    <w:rsid w:val="00227DB9"/>
    <w:rsid w:val="002317A5"/>
    <w:rsid w:val="0023186B"/>
    <w:rsid w:val="00235889"/>
    <w:rsid w:val="00235CFE"/>
    <w:rsid w:val="00237F46"/>
    <w:rsid w:val="002401E8"/>
    <w:rsid w:val="002403A7"/>
    <w:rsid w:val="002407D6"/>
    <w:rsid w:val="0024149A"/>
    <w:rsid w:val="00241FDE"/>
    <w:rsid w:val="00243236"/>
    <w:rsid w:val="00243A51"/>
    <w:rsid w:val="00243D49"/>
    <w:rsid w:val="002604A2"/>
    <w:rsid w:val="0026362C"/>
    <w:rsid w:val="0026414E"/>
    <w:rsid w:val="0026439C"/>
    <w:rsid w:val="002649EE"/>
    <w:rsid w:val="002661F7"/>
    <w:rsid w:val="0027333D"/>
    <w:rsid w:val="00273440"/>
    <w:rsid w:val="002741AA"/>
    <w:rsid w:val="00274403"/>
    <w:rsid w:val="00274EED"/>
    <w:rsid w:val="00276436"/>
    <w:rsid w:val="00277C8B"/>
    <w:rsid w:val="002814E5"/>
    <w:rsid w:val="002836AF"/>
    <w:rsid w:val="002846CB"/>
    <w:rsid w:val="0028558B"/>
    <w:rsid w:val="00286679"/>
    <w:rsid w:val="00287025"/>
    <w:rsid w:val="002926E5"/>
    <w:rsid w:val="0029286C"/>
    <w:rsid w:val="00292D37"/>
    <w:rsid w:val="00294C28"/>
    <w:rsid w:val="00296624"/>
    <w:rsid w:val="002A1496"/>
    <w:rsid w:val="002A20BC"/>
    <w:rsid w:val="002A24A1"/>
    <w:rsid w:val="002A2DEC"/>
    <w:rsid w:val="002A31B8"/>
    <w:rsid w:val="002A367E"/>
    <w:rsid w:val="002A3A7F"/>
    <w:rsid w:val="002A46C1"/>
    <w:rsid w:val="002A51E3"/>
    <w:rsid w:val="002A5217"/>
    <w:rsid w:val="002A599C"/>
    <w:rsid w:val="002B0AFD"/>
    <w:rsid w:val="002B2A28"/>
    <w:rsid w:val="002B2E82"/>
    <w:rsid w:val="002B3CFA"/>
    <w:rsid w:val="002B6671"/>
    <w:rsid w:val="002B70F2"/>
    <w:rsid w:val="002C16C4"/>
    <w:rsid w:val="002C28FB"/>
    <w:rsid w:val="002C2BAB"/>
    <w:rsid w:val="002C55AB"/>
    <w:rsid w:val="002C61B7"/>
    <w:rsid w:val="002C7A6A"/>
    <w:rsid w:val="002D14C1"/>
    <w:rsid w:val="002D21FE"/>
    <w:rsid w:val="002D389F"/>
    <w:rsid w:val="002D3CCA"/>
    <w:rsid w:val="002D4645"/>
    <w:rsid w:val="002D4ED0"/>
    <w:rsid w:val="002D4FA6"/>
    <w:rsid w:val="002D50F1"/>
    <w:rsid w:val="002D54D7"/>
    <w:rsid w:val="002D54E5"/>
    <w:rsid w:val="002E0AA8"/>
    <w:rsid w:val="002E130C"/>
    <w:rsid w:val="002E3AB9"/>
    <w:rsid w:val="002E4C15"/>
    <w:rsid w:val="002E4CC5"/>
    <w:rsid w:val="002E4FF4"/>
    <w:rsid w:val="002F199C"/>
    <w:rsid w:val="002F30A4"/>
    <w:rsid w:val="002F401A"/>
    <w:rsid w:val="002F626E"/>
    <w:rsid w:val="002F69BE"/>
    <w:rsid w:val="002F731B"/>
    <w:rsid w:val="002F7706"/>
    <w:rsid w:val="00305B42"/>
    <w:rsid w:val="00305D3C"/>
    <w:rsid w:val="0031008D"/>
    <w:rsid w:val="00311DA9"/>
    <w:rsid w:val="00312033"/>
    <w:rsid w:val="003131B6"/>
    <w:rsid w:val="00313BE3"/>
    <w:rsid w:val="003141CA"/>
    <w:rsid w:val="003149DB"/>
    <w:rsid w:val="00320202"/>
    <w:rsid w:val="0032280E"/>
    <w:rsid w:val="003244B5"/>
    <w:rsid w:val="00326C51"/>
    <w:rsid w:val="00330871"/>
    <w:rsid w:val="00331365"/>
    <w:rsid w:val="00333744"/>
    <w:rsid w:val="003356A6"/>
    <w:rsid w:val="00337BD2"/>
    <w:rsid w:val="00340840"/>
    <w:rsid w:val="003445E1"/>
    <w:rsid w:val="003465F3"/>
    <w:rsid w:val="00346601"/>
    <w:rsid w:val="00346E23"/>
    <w:rsid w:val="00347074"/>
    <w:rsid w:val="003470FF"/>
    <w:rsid w:val="0035040C"/>
    <w:rsid w:val="0035167C"/>
    <w:rsid w:val="00353534"/>
    <w:rsid w:val="00354F33"/>
    <w:rsid w:val="0035673A"/>
    <w:rsid w:val="003567A1"/>
    <w:rsid w:val="00357153"/>
    <w:rsid w:val="00361E85"/>
    <w:rsid w:val="00362015"/>
    <w:rsid w:val="00362C0F"/>
    <w:rsid w:val="00363203"/>
    <w:rsid w:val="003671FA"/>
    <w:rsid w:val="003709F8"/>
    <w:rsid w:val="003712F4"/>
    <w:rsid w:val="00371DE1"/>
    <w:rsid w:val="003731BB"/>
    <w:rsid w:val="003733BE"/>
    <w:rsid w:val="0037525E"/>
    <w:rsid w:val="0037558E"/>
    <w:rsid w:val="00375593"/>
    <w:rsid w:val="00375629"/>
    <w:rsid w:val="0037567D"/>
    <w:rsid w:val="00376D38"/>
    <w:rsid w:val="00377255"/>
    <w:rsid w:val="00380732"/>
    <w:rsid w:val="00380979"/>
    <w:rsid w:val="00381348"/>
    <w:rsid w:val="00381698"/>
    <w:rsid w:val="00381C1B"/>
    <w:rsid w:val="003914D9"/>
    <w:rsid w:val="00391708"/>
    <w:rsid w:val="00391D7C"/>
    <w:rsid w:val="00392952"/>
    <w:rsid w:val="00392CE4"/>
    <w:rsid w:val="00393658"/>
    <w:rsid w:val="00393A4D"/>
    <w:rsid w:val="00393F57"/>
    <w:rsid w:val="00397688"/>
    <w:rsid w:val="003A151A"/>
    <w:rsid w:val="003A15C9"/>
    <w:rsid w:val="003A375E"/>
    <w:rsid w:val="003A44A0"/>
    <w:rsid w:val="003A48F9"/>
    <w:rsid w:val="003A4E42"/>
    <w:rsid w:val="003A5A60"/>
    <w:rsid w:val="003A6C19"/>
    <w:rsid w:val="003A74A2"/>
    <w:rsid w:val="003B0361"/>
    <w:rsid w:val="003B1E6E"/>
    <w:rsid w:val="003B321A"/>
    <w:rsid w:val="003B4011"/>
    <w:rsid w:val="003B5630"/>
    <w:rsid w:val="003B7F8F"/>
    <w:rsid w:val="003C0B57"/>
    <w:rsid w:val="003C1F82"/>
    <w:rsid w:val="003C661F"/>
    <w:rsid w:val="003D04DA"/>
    <w:rsid w:val="003D05CC"/>
    <w:rsid w:val="003D1B82"/>
    <w:rsid w:val="003D315C"/>
    <w:rsid w:val="003D32FF"/>
    <w:rsid w:val="003D4D45"/>
    <w:rsid w:val="003D4F20"/>
    <w:rsid w:val="003D6267"/>
    <w:rsid w:val="003D7A71"/>
    <w:rsid w:val="003E0E2F"/>
    <w:rsid w:val="003E24BE"/>
    <w:rsid w:val="003E257A"/>
    <w:rsid w:val="003E5ED7"/>
    <w:rsid w:val="003F19FB"/>
    <w:rsid w:val="003F248C"/>
    <w:rsid w:val="003F28BE"/>
    <w:rsid w:val="003F31E2"/>
    <w:rsid w:val="003F36D0"/>
    <w:rsid w:val="003F69EA"/>
    <w:rsid w:val="003F7659"/>
    <w:rsid w:val="003F7B4F"/>
    <w:rsid w:val="00400A50"/>
    <w:rsid w:val="00402AD5"/>
    <w:rsid w:val="00402C95"/>
    <w:rsid w:val="0041054D"/>
    <w:rsid w:val="004117E6"/>
    <w:rsid w:val="00412486"/>
    <w:rsid w:val="00413AF0"/>
    <w:rsid w:val="00413DDE"/>
    <w:rsid w:val="004207C0"/>
    <w:rsid w:val="00420E3D"/>
    <w:rsid w:val="00422249"/>
    <w:rsid w:val="00426946"/>
    <w:rsid w:val="00427568"/>
    <w:rsid w:val="00432AD8"/>
    <w:rsid w:val="00433225"/>
    <w:rsid w:val="00435210"/>
    <w:rsid w:val="0043565C"/>
    <w:rsid w:val="00436A49"/>
    <w:rsid w:val="00440A40"/>
    <w:rsid w:val="00442538"/>
    <w:rsid w:val="00442CE6"/>
    <w:rsid w:val="00444649"/>
    <w:rsid w:val="0044663F"/>
    <w:rsid w:val="004472CA"/>
    <w:rsid w:val="00451D11"/>
    <w:rsid w:val="00451E2D"/>
    <w:rsid w:val="00452609"/>
    <w:rsid w:val="004527DD"/>
    <w:rsid w:val="00452FAE"/>
    <w:rsid w:val="0045441E"/>
    <w:rsid w:val="00454845"/>
    <w:rsid w:val="00454AE6"/>
    <w:rsid w:val="00462C0B"/>
    <w:rsid w:val="0046587D"/>
    <w:rsid w:val="004673B5"/>
    <w:rsid w:val="00472E4A"/>
    <w:rsid w:val="004848BF"/>
    <w:rsid w:val="00486E7C"/>
    <w:rsid w:val="004903B6"/>
    <w:rsid w:val="0049128E"/>
    <w:rsid w:val="004923FD"/>
    <w:rsid w:val="00493BE3"/>
    <w:rsid w:val="00497CAB"/>
    <w:rsid w:val="004A0C53"/>
    <w:rsid w:val="004A1372"/>
    <w:rsid w:val="004A147A"/>
    <w:rsid w:val="004A3F2C"/>
    <w:rsid w:val="004A4470"/>
    <w:rsid w:val="004A5262"/>
    <w:rsid w:val="004A5459"/>
    <w:rsid w:val="004A7AEC"/>
    <w:rsid w:val="004B0E21"/>
    <w:rsid w:val="004B1DD1"/>
    <w:rsid w:val="004B2632"/>
    <w:rsid w:val="004B4BAD"/>
    <w:rsid w:val="004C00A0"/>
    <w:rsid w:val="004C1252"/>
    <w:rsid w:val="004C1914"/>
    <w:rsid w:val="004C2056"/>
    <w:rsid w:val="004C3AFC"/>
    <w:rsid w:val="004C4E08"/>
    <w:rsid w:val="004C501B"/>
    <w:rsid w:val="004C691A"/>
    <w:rsid w:val="004C6D1F"/>
    <w:rsid w:val="004D09C6"/>
    <w:rsid w:val="004D118B"/>
    <w:rsid w:val="004D3016"/>
    <w:rsid w:val="004D414A"/>
    <w:rsid w:val="004E051A"/>
    <w:rsid w:val="004E415F"/>
    <w:rsid w:val="004E6991"/>
    <w:rsid w:val="004E6F9A"/>
    <w:rsid w:val="004F018B"/>
    <w:rsid w:val="004F0587"/>
    <w:rsid w:val="004F10D0"/>
    <w:rsid w:val="004F207A"/>
    <w:rsid w:val="004F2E30"/>
    <w:rsid w:val="004F324F"/>
    <w:rsid w:val="004F6F21"/>
    <w:rsid w:val="00503DB6"/>
    <w:rsid w:val="00504005"/>
    <w:rsid w:val="005051D4"/>
    <w:rsid w:val="0050599E"/>
    <w:rsid w:val="0050756F"/>
    <w:rsid w:val="00510257"/>
    <w:rsid w:val="00513E0C"/>
    <w:rsid w:val="0051510D"/>
    <w:rsid w:val="005158D2"/>
    <w:rsid w:val="005217B4"/>
    <w:rsid w:val="005224B6"/>
    <w:rsid w:val="00524B6B"/>
    <w:rsid w:val="0052787E"/>
    <w:rsid w:val="005302BF"/>
    <w:rsid w:val="0053105A"/>
    <w:rsid w:val="00532F40"/>
    <w:rsid w:val="00534688"/>
    <w:rsid w:val="00534BDB"/>
    <w:rsid w:val="0053790A"/>
    <w:rsid w:val="00541E71"/>
    <w:rsid w:val="005445C4"/>
    <w:rsid w:val="00544EBD"/>
    <w:rsid w:val="005476C3"/>
    <w:rsid w:val="0055004D"/>
    <w:rsid w:val="00550132"/>
    <w:rsid w:val="00550DAB"/>
    <w:rsid w:val="0055104C"/>
    <w:rsid w:val="0055168A"/>
    <w:rsid w:val="00552BE4"/>
    <w:rsid w:val="00552FA4"/>
    <w:rsid w:val="00553554"/>
    <w:rsid w:val="0056096B"/>
    <w:rsid w:val="00560B1D"/>
    <w:rsid w:val="0056118C"/>
    <w:rsid w:val="00562332"/>
    <w:rsid w:val="005634D1"/>
    <w:rsid w:val="00565C1B"/>
    <w:rsid w:val="005664A5"/>
    <w:rsid w:val="005665BF"/>
    <w:rsid w:val="00567CCE"/>
    <w:rsid w:val="00567D83"/>
    <w:rsid w:val="005718D5"/>
    <w:rsid w:val="0057191D"/>
    <w:rsid w:val="00571A80"/>
    <w:rsid w:val="0057351D"/>
    <w:rsid w:val="005752DC"/>
    <w:rsid w:val="00582A6C"/>
    <w:rsid w:val="00584854"/>
    <w:rsid w:val="005852A6"/>
    <w:rsid w:val="00585A84"/>
    <w:rsid w:val="00587DF9"/>
    <w:rsid w:val="00590B0F"/>
    <w:rsid w:val="0059120A"/>
    <w:rsid w:val="0059169C"/>
    <w:rsid w:val="00593B17"/>
    <w:rsid w:val="00593D0A"/>
    <w:rsid w:val="0059495F"/>
    <w:rsid w:val="005A0044"/>
    <w:rsid w:val="005A0CC1"/>
    <w:rsid w:val="005A4C1A"/>
    <w:rsid w:val="005A7563"/>
    <w:rsid w:val="005B0A15"/>
    <w:rsid w:val="005B144E"/>
    <w:rsid w:val="005B253E"/>
    <w:rsid w:val="005B47CF"/>
    <w:rsid w:val="005B513E"/>
    <w:rsid w:val="005B56E7"/>
    <w:rsid w:val="005B7CF2"/>
    <w:rsid w:val="005C0F36"/>
    <w:rsid w:val="005C1FD3"/>
    <w:rsid w:val="005C21B6"/>
    <w:rsid w:val="005C28F3"/>
    <w:rsid w:val="005C3B91"/>
    <w:rsid w:val="005C4E49"/>
    <w:rsid w:val="005C55A0"/>
    <w:rsid w:val="005C61DD"/>
    <w:rsid w:val="005D090C"/>
    <w:rsid w:val="005D0B91"/>
    <w:rsid w:val="005D2701"/>
    <w:rsid w:val="005D3AAF"/>
    <w:rsid w:val="005D3DC8"/>
    <w:rsid w:val="005D5D96"/>
    <w:rsid w:val="005E1FFA"/>
    <w:rsid w:val="005E276B"/>
    <w:rsid w:val="005E312A"/>
    <w:rsid w:val="005E35D9"/>
    <w:rsid w:val="005E3614"/>
    <w:rsid w:val="005E3AEA"/>
    <w:rsid w:val="005E3E18"/>
    <w:rsid w:val="005E582F"/>
    <w:rsid w:val="005E58BC"/>
    <w:rsid w:val="005E6A4E"/>
    <w:rsid w:val="005E7D60"/>
    <w:rsid w:val="005F0F5B"/>
    <w:rsid w:val="005F2BDE"/>
    <w:rsid w:val="005F3517"/>
    <w:rsid w:val="005F383C"/>
    <w:rsid w:val="005F5E3D"/>
    <w:rsid w:val="005F64E6"/>
    <w:rsid w:val="00600AD2"/>
    <w:rsid w:val="006023A2"/>
    <w:rsid w:val="00606C83"/>
    <w:rsid w:val="00607D51"/>
    <w:rsid w:val="00607ED0"/>
    <w:rsid w:val="00610070"/>
    <w:rsid w:val="00611403"/>
    <w:rsid w:val="006119C0"/>
    <w:rsid w:val="006125F4"/>
    <w:rsid w:val="00612D23"/>
    <w:rsid w:val="006139F5"/>
    <w:rsid w:val="00613D4B"/>
    <w:rsid w:val="00614192"/>
    <w:rsid w:val="00614590"/>
    <w:rsid w:val="006147D5"/>
    <w:rsid w:val="006153F7"/>
    <w:rsid w:val="0061744A"/>
    <w:rsid w:val="00621100"/>
    <w:rsid w:val="00624D44"/>
    <w:rsid w:val="00626C5D"/>
    <w:rsid w:val="00626D05"/>
    <w:rsid w:val="00630BD8"/>
    <w:rsid w:val="00631C44"/>
    <w:rsid w:val="00633464"/>
    <w:rsid w:val="00633D92"/>
    <w:rsid w:val="00633EEC"/>
    <w:rsid w:val="006343B6"/>
    <w:rsid w:val="00635F0B"/>
    <w:rsid w:val="00635FF4"/>
    <w:rsid w:val="00640ABF"/>
    <w:rsid w:val="0064125B"/>
    <w:rsid w:val="00645469"/>
    <w:rsid w:val="006458B4"/>
    <w:rsid w:val="006509D9"/>
    <w:rsid w:val="00650EAB"/>
    <w:rsid w:val="0065185F"/>
    <w:rsid w:val="00651C67"/>
    <w:rsid w:val="006541BE"/>
    <w:rsid w:val="00654270"/>
    <w:rsid w:val="00654A4C"/>
    <w:rsid w:val="00656788"/>
    <w:rsid w:val="00656939"/>
    <w:rsid w:val="00664B90"/>
    <w:rsid w:val="00666EFE"/>
    <w:rsid w:val="00670DBE"/>
    <w:rsid w:val="00671411"/>
    <w:rsid w:val="00672640"/>
    <w:rsid w:val="00672C38"/>
    <w:rsid w:val="00673170"/>
    <w:rsid w:val="00673E85"/>
    <w:rsid w:val="00677008"/>
    <w:rsid w:val="006804E0"/>
    <w:rsid w:val="00684647"/>
    <w:rsid w:val="00684F50"/>
    <w:rsid w:val="00691C61"/>
    <w:rsid w:val="00691E3F"/>
    <w:rsid w:val="00694846"/>
    <w:rsid w:val="00694F30"/>
    <w:rsid w:val="00696621"/>
    <w:rsid w:val="006A2BFC"/>
    <w:rsid w:val="006B0082"/>
    <w:rsid w:val="006B152B"/>
    <w:rsid w:val="006B1E23"/>
    <w:rsid w:val="006B1F61"/>
    <w:rsid w:val="006B1F90"/>
    <w:rsid w:val="006B262B"/>
    <w:rsid w:val="006B2B93"/>
    <w:rsid w:val="006B62C1"/>
    <w:rsid w:val="006C0A47"/>
    <w:rsid w:val="006C0F36"/>
    <w:rsid w:val="006C125B"/>
    <w:rsid w:val="006C2234"/>
    <w:rsid w:val="006C2FCA"/>
    <w:rsid w:val="006C47F4"/>
    <w:rsid w:val="006C557F"/>
    <w:rsid w:val="006C6266"/>
    <w:rsid w:val="006D0283"/>
    <w:rsid w:val="006D02DE"/>
    <w:rsid w:val="006D053A"/>
    <w:rsid w:val="006D094C"/>
    <w:rsid w:val="006D16ED"/>
    <w:rsid w:val="006D2563"/>
    <w:rsid w:val="006D40BF"/>
    <w:rsid w:val="006D5E21"/>
    <w:rsid w:val="006D5ECF"/>
    <w:rsid w:val="006D6F6D"/>
    <w:rsid w:val="006E077F"/>
    <w:rsid w:val="006E0B99"/>
    <w:rsid w:val="006E1CA2"/>
    <w:rsid w:val="006E4D9B"/>
    <w:rsid w:val="006E7157"/>
    <w:rsid w:val="006F2B5B"/>
    <w:rsid w:val="006F2F8A"/>
    <w:rsid w:val="006F3595"/>
    <w:rsid w:val="006F3C69"/>
    <w:rsid w:val="006F418A"/>
    <w:rsid w:val="006F529C"/>
    <w:rsid w:val="006F7935"/>
    <w:rsid w:val="0070093B"/>
    <w:rsid w:val="00700E5A"/>
    <w:rsid w:val="00701ECE"/>
    <w:rsid w:val="007033E5"/>
    <w:rsid w:val="0070456C"/>
    <w:rsid w:val="0070595E"/>
    <w:rsid w:val="007077C6"/>
    <w:rsid w:val="00707D97"/>
    <w:rsid w:val="00711042"/>
    <w:rsid w:val="00711BAD"/>
    <w:rsid w:val="00712A2B"/>
    <w:rsid w:val="00712B22"/>
    <w:rsid w:val="00714465"/>
    <w:rsid w:val="00714AE1"/>
    <w:rsid w:val="00721698"/>
    <w:rsid w:val="00722849"/>
    <w:rsid w:val="00726CEA"/>
    <w:rsid w:val="0073304A"/>
    <w:rsid w:val="00733B01"/>
    <w:rsid w:val="00733BFD"/>
    <w:rsid w:val="00735C7A"/>
    <w:rsid w:val="00741B19"/>
    <w:rsid w:val="00744E13"/>
    <w:rsid w:val="00745B03"/>
    <w:rsid w:val="007475AC"/>
    <w:rsid w:val="0074779A"/>
    <w:rsid w:val="00752628"/>
    <w:rsid w:val="00752C16"/>
    <w:rsid w:val="00753778"/>
    <w:rsid w:val="007550B4"/>
    <w:rsid w:val="00757117"/>
    <w:rsid w:val="00760850"/>
    <w:rsid w:val="007653C3"/>
    <w:rsid w:val="00773D17"/>
    <w:rsid w:val="00773FB8"/>
    <w:rsid w:val="00776050"/>
    <w:rsid w:val="0077629D"/>
    <w:rsid w:val="00776847"/>
    <w:rsid w:val="00781A79"/>
    <w:rsid w:val="00781EE3"/>
    <w:rsid w:val="00782207"/>
    <w:rsid w:val="00782251"/>
    <w:rsid w:val="00783E97"/>
    <w:rsid w:val="0078469F"/>
    <w:rsid w:val="00792AE6"/>
    <w:rsid w:val="00792BFF"/>
    <w:rsid w:val="00792C08"/>
    <w:rsid w:val="00794A50"/>
    <w:rsid w:val="00795EEC"/>
    <w:rsid w:val="00796113"/>
    <w:rsid w:val="00797376"/>
    <w:rsid w:val="007A031A"/>
    <w:rsid w:val="007A0C9E"/>
    <w:rsid w:val="007A3A37"/>
    <w:rsid w:val="007A3FEB"/>
    <w:rsid w:val="007A4609"/>
    <w:rsid w:val="007A512A"/>
    <w:rsid w:val="007A7169"/>
    <w:rsid w:val="007A7D70"/>
    <w:rsid w:val="007B003F"/>
    <w:rsid w:val="007B045C"/>
    <w:rsid w:val="007B1BC7"/>
    <w:rsid w:val="007B1C9F"/>
    <w:rsid w:val="007B2491"/>
    <w:rsid w:val="007B6665"/>
    <w:rsid w:val="007B7DCB"/>
    <w:rsid w:val="007C165D"/>
    <w:rsid w:val="007C219E"/>
    <w:rsid w:val="007C274A"/>
    <w:rsid w:val="007C5FEF"/>
    <w:rsid w:val="007C7C30"/>
    <w:rsid w:val="007D1156"/>
    <w:rsid w:val="007D18C8"/>
    <w:rsid w:val="007D2232"/>
    <w:rsid w:val="007D2809"/>
    <w:rsid w:val="007D4A41"/>
    <w:rsid w:val="007D4E66"/>
    <w:rsid w:val="007D6309"/>
    <w:rsid w:val="007E0146"/>
    <w:rsid w:val="007E10B2"/>
    <w:rsid w:val="007E17E1"/>
    <w:rsid w:val="007E485B"/>
    <w:rsid w:val="007E51E3"/>
    <w:rsid w:val="007E597A"/>
    <w:rsid w:val="007E630A"/>
    <w:rsid w:val="007E7567"/>
    <w:rsid w:val="007F0B66"/>
    <w:rsid w:val="007F0D96"/>
    <w:rsid w:val="007F13D4"/>
    <w:rsid w:val="007F21CD"/>
    <w:rsid w:val="007F267B"/>
    <w:rsid w:val="007F3C5A"/>
    <w:rsid w:val="007F4C04"/>
    <w:rsid w:val="007F50B2"/>
    <w:rsid w:val="007F5B8E"/>
    <w:rsid w:val="007F7294"/>
    <w:rsid w:val="00800226"/>
    <w:rsid w:val="00800CD1"/>
    <w:rsid w:val="008012FB"/>
    <w:rsid w:val="008044E9"/>
    <w:rsid w:val="00804E2E"/>
    <w:rsid w:val="00804EE7"/>
    <w:rsid w:val="008055E4"/>
    <w:rsid w:val="0080666B"/>
    <w:rsid w:val="00806701"/>
    <w:rsid w:val="00810083"/>
    <w:rsid w:val="008122BD"/>
    <w:rsid w:val="00812F37"/>
    <w:rsid w:val="00813E8F"/>
    <w:rsid w:val="008148FD"/>
    <w:rsid w:val="00814EA5"/>
    <w:rsid w:val="00814EC4"/>
    <w:rsid w:val="008150DC"/>
    <w:rsid w:val="00816F82"/>
    <w:rsid w:val="00817039"/>
    <w:rsid w:val="008203E1"/>
    <w:rsid w:val="00821497"/>
    <w:rsid w:val="00821822"/>
    <w:rsid w:val="00825872"/>
    <w:rsid w:val="008323C1"/>
    <w:rsid w:val="00832A16"/>
    <w:rsid w:val="00832FC1"/>
    <w:rsid w:val="0083302A"/>
    <w:rsid w:val="0083385B"/>
    <w:rsid w:val="00833CD5"/>
    <w:rsid w:val="00835DF6"/>
    <w:rsid w:val="00836590"/>
    <w:rsid w:val="0083748A"/>
    <w:rsid w:val="0084186B"/>
    <w:rsid w:val="00841E06"/>
    <w:rsid w:val="00843078"/>
    <w:rsid w:val="00843815"/>
    <w:rsid w:val="00843A1C"/>
    <w:rsid w:val="0084722A"/>
    <w:rsid w:val="008551B6"/>
    <w:rsid w:val="00856AB5"/>
    <w:rsid w:val="00857CB1"/>
    <w:rsid w:val="00857EDE"/>
    <w:rsid w:val="00862D4B"/>
    <w:rsid w:val="0086387D"/>
    <w:rsid w:val="008647C7"/>
    <w:rsid w:val="00864EAB"/>
    <w:rsid w:val="00865D0E"/>
    <w:rsid w:val="008700C7"/>
    <w:rsid w:val="008713BA"/>
    <w:rsid w:val="008749D2"/>
    <w:rsid w:val="00874A9B"/>
    <w:rsid w:val="0087651D"/>
    <w:rsid w:val="00877B40"/>
    <w:rsid w:val="00880466"/>
    <w:rsid w:val="00880694"/>
    <w:rsid w:val="008807A4"/>
    <w:rsid w:val="00881650"/>
    <w:rsid w:val="00885BA3"/>
    <w:rsid w:val="008876BA"/>
    <w:rsid w:val="00887C94"/>
    <w:rsid w:val="0089102A"/>
    <w:rsid w:val="00891DC2"/>
    <w:rsid w:val="008924D3"/>
    <w:rsid w:val="00892C57"/>
    <w:rsid w:val="00893902"/>
    <w:rsid w:val="00893A9B"/>
    <w:rsid w:val="00893D44"/>
    <w:rsid w:val="00893E45"/>
    <w:rsid w:val="00893E88"/>
    <w:rsid w:val="00894E07"/>
    <w:rsid w:val="0089621C"/>
    <w:rsid w:val="0089676B"/>
    <w:rsid w:val="00896C07"/>
    <w:rsid w:val="00897EA6"/>
    <w:rsid w:val="008A116D"/>
    <w:rsid w:val="008A4CE4"/>
    <w:rsid w:val="008A506A"/>
    <w:rsid w:val="008B1906"/>
    <w:rsid w:val="008B304A"/>
    <w:rsid w:val="008B3C14"/>
    <w:rsid w:val="008B71C1"/>
    <w:rsid w:val="008C2BDF"/>
    <w:rsid w:val="008C3570"/>
    <w:rsid w:val="008C3B43"/>
    <w:rsid w:val="008C54F9"/>
    <w:rsid w:val="008C76F7"/>
    <w:rsid w:val="008D4E5A"/>
    <w:rsid w:val="008E0CEC"/>
    <w:rsid w:val="008E3920"/>
    <w:rsid w:val="008E5EE3"/>
    <w:rsid w:val="008E6998"/>
    <w:rsid w:val="008F011D"/>
    <w:rsid w:val="008F0416"/>
    <w:rsid w:val="008F0A84"/>
    <w:rsid w:val="008F10EE"/>
    <w:rsid w:val="008F35B4"/>
    <w:rsid w:val="008F527D"/>
    <w:rsid w:val="008F6668"/>
    <w:rsid w:val="008F7084"/>
    <w:rsid w:val="008F7241"/>
    <w:rsid w:val="008F7413"/>
    <w:rsid w:val="008F7CA4"/>
    <w:rsid w:val="00900E47"/>
    <w:rsid w:val="00901F08"/>
    <w:rsid w:val="00902062"/>
    <w:rsid w:val="009021B1"/>
    <w:rsid w:val="0090686A"/>
    <w:rsid w:val="00915019"/>
    <w:rsid w:val="0091611C"/>
    <w:rsid w:val="009165B2"/>
    <w:rsid w:val="009169F2"/>
    <w:rsid w:val="009175A7"/>
    <w:rsid w:val="00924A72"/>
    <w:rsid w:val="009251C1"/>
    <w:rsid w:val="00926E61"/>
    <w:rsid w:val="00927A04"/>
    <w:rsid w:val="00932082"/>
    <w:rsid w:val="0093244D"/>
    <w:rsid w:val="00933C9F"/>
    <w:rsid w:val="00933D73"/>
    <w:rsid w:val="0093516A"/>
    <w:rsid w:val="0093532B"/>
    <w:rsid w:val="00935F78"/>
    <w:rsid w:val="009375B5"/>
    <w:rsid w:val="00941459"/>
    <w:rsid w:val="00942375"/>
    <w:rsid w:val="00942986"/>
    <w:rsid w:val="00951230"/>
    <w:rsid w:val="00953212"/>
    <w:rsid w:val="0095388D"/>
    <w:rsid w:val="00953CFC"/>
    <w:rsid w:val="00954B34"/>
    <w:rsid w:val="00955742"/>
    <w:rsid w:val="009571B1"/>
    <w:rsid w:val="00957C35"/>
    <w:rsid w:val="00961651"/>
    <w:rsid w:val="00962E3F"/>
    <w:rsid w:val="00962F36"/>
    <w:rsid w:val="009644B0"/>
    <w:rsid w:val="00966501"/>
    <w:rsid w:val="009711B5"/>
    <w:rsid w:val="00972D87"/>
    <w:rsid w:val="00973297"/>
    <w:rsid w:val="00974D21"/>
    <w:rsid w:val="009757BD"/>
    <w:rsid w:val="009758C7"/>
    <w:rsid w:val="00976CCA"/>
    <w:rsid w:val="009822C4"/>
    <w:rsid w:val="00983F05"/>
    <w:rsid w:val="0098517E"/>
    <w:rsid w:val="009869CE"/>
    <w:rsid w:val="009873BD"/>
    <w:rsid w:val="00987966"/>
    <w:rsid w:val="0099091E"/>
    <w:rsid w:val="00991A07"/>
    <w:rsid w:val="00993B2E"/>
    <w:rsid w:val="00993E8C"/>
    <w:rsid w:val="00995B3F"/>
    <w:rsid w:val="009A075A"/>
    <w:rsid w:val="009A64E6"/>
    <w:rsid w:val="009B1894"/>
    <w:rsid w:val="009B3AD0"/>
    <w:rsid w:val="009B66D6"/>
    <w:rsid w:val="009C3E77"/>
    <w:rsid w:val="009C4845"/>
    <w:rsid w:val="009C5B24"/>
    <w:rsid w:val="009C7DA1"/>
    <w:rsid w:val="009D0D58"/>
    <w:rsid w:val="009D23BE"/>
    <w:rsid w:val="009D56A6"/>
    <w:rsid w:val="009E0940"/>
    <w:rsid w:val="009E2744"/>
    <w:rsid w:val="009E3651"/>
    <w:rsid w:val="009E62FF"/>
    <w:rsid w:val="009E6D7B"/>
    <w:rsid w:val="009E7408"/>
    <w:rsid w:val="009E7411"/>
    <w:rsid w:val="009E7E3C"/>
    <w:rsid w:val="009F2CC0"/>
    <w:rsid w:val="009F2FCD"/>
    <w:rsid w:val="009F301C"/>
    <w:rsid w:val="009F31AA"/>
    <w:rsid w:val="009F5772"/>
    <w:rsid w:val="009F5B70"/>
    <w:rsid w:val="009F7A40"/>
    <w:rsid w:val="009F7DAC"/>
    <w:rsid w:val="00A001BC"/>
    <w:rsid w:val="00A02DD1"/>
    <w:rsid w:val="00A036D5"/>
    <w:rsid w:val="00A0443D"/>
    <w:rsid w:val="00A066A9"/>
    <w:rsid w:val="00A1162D"/>
    <w:rsid w:val="00A1212A"/>
    <w:rsid w:val="00A1276B"/>
    <w:rsid w:val="00A1300A"/>
    <w:rsid w:val="00A142F5"/>
    <w:rsid w:val="00A167A1"/>
    <w:rsid w:val="00A20E05"/>
    <w:rsid w:val="00A20EAE"/>
    <w:rsid w:val="00A21157"/>
    <w:rsid w:val="00A212A0"/>
    <w:rsid w:val="00A21668"/>
    <w:rsid w:val="00A222CE"/>
    <w:rsid w:val="00A2393C"/>
    <w:rsid w:val="00A33FD6"/>
    <w:rsid w:val="00A421EE"/>
    <w:rsid w:val="00A42EAA"/>
    <w:rsid w:val="00A44E78"/>
    <w:rsid w:val="00A46532"/>
    <w:rsid w:val="00A4753C"/>
    <w:rsid w:val="00A47CB6"/>
    <w:rsid w:val="00A5183A"/>
    <w:rsid w:val="00A55614"/>
    <w:rsid w:val="00A56AAF"/>
    <w:rsid w:val="00A605C7"/>
    <w:rsid w:val="00A633BF"/>
    <w:rsid w:val="00A63F4A"/>
    <w:rsid w:val="00A713A5"/>
    <w:rsid w:val="00A723B6"/>
    <w:rsid w:val="00A729F9"/>
    <w:rsid w:val="00A77D98"/>
    <w:rsid w:val="00A817A6"/>
    <w:rsid w:val="00A820AA"/>
    <w:rsid w:val="00A825AB"/>
    <w:rsid w:val="00A83DC1"/>
    <w:rsid w:val="00A905D1"/>
    <w:rsid w:val="00A9175D"/>
    <w:rsid w:val="00A923E7"/>
    <w:rsid w:val="00A92E80"/>
    <w:rsid w:val="00A934D2"/>
    <w:rsid w:val="00AA01EB"/>
    <w:rsid w:val="00AA0263"/>
    <w:rsid w:val="00AA2A3B"/>
    <w:rsid w:val="00AA5909"/>
    <w:rsid w:val="00AA78EA"/>
    <w:rsid w:val="00AA7F29"/>
    <w:rsid w:val="00AB0D9A"/>
    <w:rsid w:val="00AB10BC"/>
    <w:rsid w:val="00AB27A4"/>
    <w:rsid w:val="00AB2CC2"/>
    <w:rsid w:val="00AB2ED7"/>
    <w:rsid w:val="00AB4331"/>
    <w:rsid w:val="00AB4EAD"/>
    <w:rsid w:val="00AB6B3C"/>
    <w:rsid w:val="00AC2555"/>
    <w:rsid w:val="00AC6430"/>
    <w:rsid w:val="00AD3A60"/>
    <w:rsid w:val="00AD4386"/>
    <w:rsid w:val="00AD7720"/>
    <w:rsid w:val="00AE01AE"/>
    <w:rsid w:val="00AE05AC"/>
    <w:rsid w:val="00AE0A59"/>
    <w:rsid w:val="00AE105C"/>
    <w:rsid w:val="00AE14BC"/>
    <w:rsid w:val="00AE75ED"/>
    <w:rsid w:val="00AF09AC"/>
    <w:rsid w:val="00AF0BA0"/>
    <w:rsid w:val="00AF0D25"/>
    <w:rsid w:val="00AF2AE6"/>
    <w:rsid w:val="00AF4350"/>
    <w:rsid w:val="00AF5095"/>
    <w:rsid w:val="00AF6740"/>
    <w:rsid w:val="00AF7A57"/>
    <w:rsid w:val="00B012D1"/>
    <w:rsid w:val="00B021DA"/>
    <w:rsid w:val="00B028F9"/>
    <w:rsid w:val="00B02C7C"/>
    <w:rsid w:val="00B0325D"/>
    <w:rsid w:val="00B055DB"/>
    <w:rsid w:val="00B06D48"/>
    <w:rsid w:val="00B07608"/>
    <w:rsid w:val="00B102F8"/>
    <w:rsid w:val="00B10EC5"/>
    <w:rsid w:val="00B11C94"/>
    <w:rsid w:val="00B12B30"/>
    <w:rsid w:val="00B13837"/>
    <w:rsid w:val="00B16B2F"/>
    <w:rsid w:val="00B2231D"/>
    <w:rsid w:val="00B22423"/>
    <w:rsid w:val="00B22A82"/>
    <w:rsid w:val="00B25F59"/>
    <w:rsid w:val="00B26EBA"/>
    <w:rsid w:val="00B302E9"/>
    <w:rsid w:val="00B315E2"/>
    <w:rsid w:val="00B3241E"/>
    <w:rsid w:val="00B333AC"/>
    <w:rsid w:val="00B33F88"/>
    <w:rsid w:val="00B366DF"/>
    <w:rsid w:val="00B37CA4"/>
    <w:rsid w:val="00B40115"/>
    <w:rsid w:val="00B40476"/>
    <w:rsid w:val="00B42065"/>
    <w:rsid w:val="00B427B7"/>
    <w:rsid w:val="00B45069"/>
    <w:rsid w:val="00B45EA9"/>
    <w:rsid w:val="00B47D3A"/>
    <w:rsid w:val="00B52098"/>
    <w:rsid w:val="00B559C2"/>
    <w:rsid w:val="00B5674A"/>
    <w:rsid w:val="00B567DB"/>
    <w:rsid w:val="00B60600"/>
    <w:rsid w:val="00B615AC"/>
    <w:rsid w:val="00B61C21"/>
    <w:rsid w:val="00B62F20"/>
    <w:rsid w:val="00B70CA3"/>
    <w:rsid w:val="00B7158D"/>
    <w:rsid w:val="00B74D4A"/>
    <w:rsid w:val="00B772C9"/>
    <w:rsid w:val="00B80484"/>
    <w:rsid w:val="00B80596"/>
    <w:rsid w:val="00B80C5D"/>
    <w:rsid w:val="00B822DA"/>
    <w:rsid w:val="00B84766"/>
    <w:rsid w:val="00B8575F"/>
    <w:rsid w:val="00B86F8F"/>
    <w:rsid w:val="00B91688"/>
    <w:rsid w:val="00B92A44"/>
    <w:rsid w:val="00B9405C"/>
    <w:rsid w:val="00B94A96"/>
    <w:rsid w:val="00B970E2"/>
    <w:rsid w:val="00B975C1"/>
    <w:rsid w:val="00B976B6"/>
    <w:rsid w:val="00BA0CB9"/>
    <w:rsid w:val="00BA1310"/>
    <w:rsid w:val="00BA173B"/>
    <w:rsid w:val="00BA4F62"/>
    <w:rsid w:val="00BA6B9B"/>
    <w:rsid w:val="00BA6F05"/>
    <w:rsid w:val="00BA7479"/>
    <w:rsid w:val="00BB0010"/>
    <w:rsid w:val="00BB1B27"/>
    <w:rsid w:val="00BB1D0F"/>
    <w:rsid w:val="00BB1EAF"/>
    <w:rsid w:val="00BB3058"/>
    <w:rsid w:val="00BB6815"/>
    <w:rsid w:val="00BB7970"/>
    <w:rsid w:val="00BC05B0"/>
    <w:rsid w:val="00BC1349"/>
    <w:rsid w:val="00BC39F9"/>
    <w:rsid w:val="00BC3C75"/>
    <w:rsid w:val="00BC3CA3"/>
    <w:rsid w:val="00BC4AB9"/>
    <w:rsid w:val="00BC4FAB"/>
    <w:rsid w:val="00BD0A4F"/>
    <w:rsid w:val="00BD1073"/>
    <w:rsid w:val="00BD2E2C"/>
    <w:rsid w:val="00BD3507"/>
    <w:rsid w:val="00BD3AA3"/>
    <w:rsid w:val="00BD3AA8"/>
    <w:rsid w:val="00BD4DD4"/>
    <w:rsid w:val="00BD6851"/>
    <w:rsid w:val="00BD72E0"/>
    <w:rsid w:val="00BE13A9"/>
    <w:rsid w:val="00BE1B44"/>
    <w:rsid w:val="00BE1FDB"/>
    <w:rsid w:val="00BE49F7"/>
    <w:rsid w:val="00BE4CFE"/>
    <w:rsid w:val="00BE5A0E"/>
    <w:rsid w:val="00BE76AF"/>
    <w:rsid w:val="00BE7E9E"/>
    <w:rsid w:val="00BF1620"/>
    <w:rsid w:val="00BF2818"/>
    <w:rsid w:val="00BF2B01"/>
    <w:rsid w:val="00BF2C6E"/>
    <w:rsid w:val="00BF354C"/>
    <w:rsid w:val="00BF44C0"/>
    <w:rsid w:val="00BF486D"/>
    <w:rsid w:val="00BF55A1"/>
    <w:rsid w:val="00BF5742"/>
    <w:rsid w:val="00BF7921"/>
    <w:rsid w:val="00C00543"/>
    <w:rsid w:val="00C02EFF"/>
    <w:rsid w:val="00C03A34"/>
    <w:rsid w:val="00C04999"/>
    <w:rsid w:val="00C0557A"/>
    <w:rsid w:val="00C0649D"/>
    <w:rsid w:val="00C07838"/>
    <w:rsid w:val="00C108E6"/>
    <w:rsid w:val="00C12043"/>
    <w:rsid w:val="00C14AC2"/>
    <w:rsid w:val="00C1712A"/>
    <w:rsid w:val="00C17156"/>
    <w:rsid w:val="00C17B4B"/>
    <w:rsid w:val="00C20BD7"/>
    <w:rsid w:val="00C20ED1"/>
    <w:rsid w:val="00C216FC"/>
    <w:rsid w:val="00C22131"/>
    <w:rsid w:val="00C24EDC"/>
    <w:rsid w:val="00C264AE"/>
    <w:rsid w:val="00C264C6"/>
    <w:rsid w:val="00C27040"/>
    <w:rsid w:val="00C277BC"/>
    <w:rsid w:val="00C30CC5"/>
    <w:rsid w:val="00C31E3C"/>
    <w:rsid w:val="00C3271C"/>
    <w:rsid w:val="00C34D88"/>
    <w:rsid w:val="00C35563"/>
    <w:rsid w:val="00C3651C"/>
    <w:rsid w:val="00C40A27"/>
    <w:rsid w:val="00C4150B"/>
    <w:rsid w:val="00C41F32"/>
    <w:rsid w:val="00C42616"/>
    <w:rsid w:val="00C445C0"/>
    <w:rsid w:val="00C45B18"/>
    <w:rsid w:val="00C46921"/>
    <w:rsid w:val="00C47440"/>
    <w:rsid w:val="00C478C4"/>
    <w:rsid w:val="00C5329C"/>
    <w:rsid w:val="00C54CE0"/>
    <w:rsid w:val="00C55C5A"/>
    <w:rsid w:val="00C57C50"/>
    <w:rsid w:val="00C61DA3"/>
    <w:rsid w:val="00C64408"/>
    <w:rsid w:val="00C645AA"/>
    <w:rsid w:val="00C658CE"/>
    <w:rsid w:val="00C66343"/>
    <w:rsid w:val="00C669C6"/>
    <w:rsid w:val="00C66E3C"/>
    <w:rsid w:val="00C71065"/>
    <w:rsid w:val="00C7172A"/>
    <w:rsid w:val="00C71A19"/>
    <w:rsid w:val="00C71AEF"/>
    <w:rsid w:val="00C72B95"/>
    <w:rsid w:val="00C76DB9"/>
    <w:rsid w:val="00C77A5A"/>
    <w:rsid w:val="00C77C93"/>
    <w:rsid w:val="00C80036"/>
    <w:rsid w:val="00C804BE"/>
    <w:rsid w:val="00C809F6"/>
    <w:rsid w:val="00C824C8"/>
    <w:rsid w:val="00C82E31"/>
    <w:rsid w:val="00C85355"/>
    <w:rsid w:val="00C877E7"/>
    <w:rsid w:val="00C91BD4"/>
    <w:rsid w:val="00C9200D"/>
    <w:rsid w:val="00C94AB9"/>
    <w:rsid w:val="00C9567A"/>
    <w:rsid w:val="00C95B1D"/>
    <w:rsid w:val="00CA024B"/>
    <w:rsid w:val="00CA12EF"/>
    <w:rsid w:val="00CA1767"/>
    <w:rsid w:val="00CA19B2"/>
    <w:rsid w:val="00CA3405"/>
    <w:rsid w:val="00CA703E"/>
    <w:rsid w:val="00CA7D0E"/>
    <w:rsid w:val="00CB30A2"/>
    <w:rsid w:val="00CB4B00"/>
    <w:rsid w:val="00CB79D0"/>
    <w:rsid w:val="00CC017D"/>
    <w:rsid w:val="00CC180B"/>
    <w:rsid w:val="00CC1B95"/>
    <w:rsid w:val="00CC1C5C"/>
    <w:rsid w:val="00CC29F6"/>
    <w:rsid w:val="00CC3260"/>
    <w:rsid w:val="00CC3352"/>
    <w:rsid w:val="00CC3433"/>
    <w:rsid w:val="00CC62B5"/>
    <w:rsid w:val="00CD06D4"/>
    <w:rsid w:val="00CD09C0"/>
    <w:rsid w:val="00CD108B"/>
    <w:rsid w:val="00CD2C07"/>
    <w:rsid w:val="00CD64D6"/>
    <w:rsid w:val="00CD7042"/>
    <w:rsid w:val="00CE1EEE"/>
    <w:rsid w:val="00CE2E1E"/>
    <w:rsid w:val="00CE3628"/>
    <w:rsid w:val="00CE4599"/>
    <w:rsid w:val="00CE4E84"/>
    <w:rsid w:val="00CE50AC"/>
    <w:rsid w:val="00CE55ED"/>
    <w:rsid w:val="00CE730E"/>
    <w:rsid w:val="00CE7ACF"/>
    <w:rsid w:val="00CF1FD3"/>
    <w:rsid w:val="00D00D08"/>
    <w:rsid w:val="00D045A6"/>
    <w:rsid w:val="00D06487"/>
    <w:rsid w:val="00D1081E"/>
    <w:rsid w:val="00D13D5E"/>
    <w:rsid w:val="00D14772"/>
    <w:rsid w:val="00D203FB"/>
    <w:rsid w:val="00D20A30"/>
    <w:rsid w:val="00D21A62"/>
    <w:rsid w:val="00D22B6B"/>
    <w:rsid w:val="00D259F0"/>
    <w:rsid w:val="00D27D29"/>
    <w:rsid w:val="00D3118D"/>
    <w:rsid w:val="00D32A67"/>
    <w:rsid w:val="00D33606"/>
    <w:rsid w:val="00D33A80"/>
    <w:rsid w:val="00D33E0E"/>
    <w:rsid w:val="00D34389"/>
    <w:rsid w:val="00D34443"/>
    <w:rsid w:val="00D34F96"/>
    <w:rsid w:val="00D35B6D"/>
    <w:rsid w:val="00D368ED"/>
    <w:rsid w:val="00D37117"/>
    <w:rsid w:val="00D40834"/>
    <w:rsid w:val="00D40AB4"/>
    <w:rsid w:val="00D43160"/>
    <w:rsid w:val="00D46617"/>
    <w:rsid w:val="00D5008A"/>
    <w:rsid w:val="00D50530"/>
    <w:rsid w:val="00D5188C"/>
    <w:rsid w:val="00D52F05"/>
    <w:rsid w:val="00D53DA0"/>
    <w:rsid w:val="00D54FC4"/>
    <w:rsid w:val="00D55B59"/>
    <w:rsid w:val="00D60605"/>
    <w:rsid w:val="00D65D01"/>
    <w:rsid w:val="00D65FAE"/>
    <w:rsid w:val="00D66A7C"/>
    <w:rsid w:val="00D66A89"/>
    <w:rsid w:val="00D67541"/>
    <w:rsid w:val="00D7052E"/>
    <w:rsid w:val="00D711EE"/>
    <w:rsid w:val="00D7158C"/>
    <w:rsid w:val="00D7417D"/>
    <w:rsid w:val="00D74B6A"/>
    <w:rsid w:val="00D76914"/>
    <w:rsid w:val="00D769B9"/>
    <w:rsid w:val="00D76A57"/>
    <w:rsid w:val="00D77CAE"/>
    <w:rsid w:val="00D82783"/>
    <w:rsid w:val="00D82839"/>
    <w:rsid w:val="00D83DB2"/>
    <w:rsid w:val="00D84C1F"/>
    <w:rsid w:val="00D86321"/>
    <w:rsid w:val="00D86DC7"/>
    <w:rsid w:val="00D9335F"/>
    <w:rsid w:val="00D953D5"/>
    <w:rsid w:val="00D95554"/>
    <w:rsid w:val="00D975EC"/>
    <w:rsid w:val="00DA1658"/>
    <w:rsid w:val="00DA19C7"/>
    <w:rsid w:val="00DA2D01"/>
    <w:rsid w:val="00DA35DC"/>
    <w:rsid w:val="00DA65F4"/>
    <w:rsid w:val="00DA6F5B"/>
    <w:rsid w:val="00DA711B"/>
    <w:rsid w:val="00DB0CEC"/>
    <w:rsid w:val="00DB1343"/>
    <w:rsid w:val="00DB192A"/>
    <w:rsid w:val="00DB3893"/>
    <w:rsid w:val="00DC0175"/>
    <w:rsid w:val="00DC0C84"/>
    <w:rsid w:val="00DC0E4E"/>
    <w:rsid w:val="00DC2BCA"/>
    <w:rsid w:val="00DC34B7"/>
    <w:rsid w:val="00DC38D7"/>
    <w:rsid w:val="00DC5DDE"/>
    <w:rsid w:val="00DC7527"/>
    <w:rsid w:val="00DC7B96"/>
    <w:rsid w:val="00DD07DF"/>
    <w:rsid w:val="00DD0A0B"/>
    <w:rsid w:val="00DD47ED"/>
    <w:rsid w:val="00DD78CB"/>
    <w:rsid w:val="00DD7F99"/>
    <w:rsid w:val="00DE0BB0"/>
    <w:rsid w:val="00DE1C0A"/>
    <w:rsid w:val="00DE425E"/>
    <w:rsid w:val="00DE5690"/>
    <w:rsid w:val="00DF068C"/>
    <w:rsid w:val="00DF07E9"/>
    <w:rsid w:val="00DF10EB"/>
    <w:rsid w:val="00DF1FBE"/>
    <w:rsid w:val="00DF32F4"/>
    <w:rsid w:val="00DF5D4E"/>
    <w:rsid w:val="00DF6599"/>
    <w:rsid w:val="00E0008D"/>
    <w:rsid w:val="00E003AF"/>
    <w:rsid w:val="00E02AC9"/>
    <w:rsid w:val="00E02FD4"/>
    <w:rsid w:val="00E036A1"/>
    <w:rsid w:val="00E055D4"/>
    <w:rsid w:val="00E05800"/>
    <w:rsid w:val="00E058A7"/>
    <w:rsid w:val="00E068D4"/>
    <w:rsid w:val="00E11826"/>
    <w:rsid w:val="00E11CAC"/>
    <w:rsid w:val="00E1284F"/>
    <w:rsid w:val="00E16669"/>
    <w:rsid w:val="00E20209"/>
    <w:rsid w:val="00E20790"/>
    <w:rsid w:val="00E22681"/>
    <w:rsid w:val="00E23E0D"/>
    <w:rsid w:val="00E24BE7"/>
    <w:rsid w:val="00E252A3"/>
    <w:rsid w:val="00E25E31"/>
    <w:rsid w:val="00E264F4"/>
    <w:rsid w:val="00E2702C"/>
    <w:rsid w:val="00E27B25"/>
    <w:rsid w:val="00E3117F"/>
    <w:rsid w:val="00E32DAA"/>
    <w:rsid w:val="00E34BBA"/>
    <w:rsid w:val="00E359D3"/>
    <w:rsid w:val="00E379FA"/>
    <w:rsid w:val="00E37DC8"/>
    <w:rsid w:val="00E407CC"/>
    <w:rsid w:val="00E410DB"/>
    <w:rsid w:val="00E42E2A"/>
    <w:rsid w:val="00E44248"/>
    <w:rsid w:val="00E44A45"/>
    <w:rsid w:val="00E45C76"/>
    <w:rsid w:val="00E51DC9"/>
    <w:rsid w:val="00E53658"/>
    <w:rsid w:val="00E536AD"/>
    <w:rsid w:val="00E548E6"/>
    <w:rsid w:val="00E56181"/>
    <w:rsid w:val="00E562FC"/>
    <w:rsid w:val="00E65596"/>
    <w:rsid w:val="00E66178"/>
    <w:rsid w:val="00E667F2"/>
    <w:rsid w:val="00E704FC"/>
    <w:rsid w:val="00E705E3"/>
    <w:rsid w:val="00E71A03"/>
    <w:rsid w:val="00E74FAF"/>
    <w:rsid w:val="00E75137"/>
    <w:rsid w:val="00E75B1E"/>
    <w:rsid w:val="00E77A6D"/>
    <w:rsid w:val="00E804C0"/>
    <w:rsid w:val="00E81967"/>
    <w:rsid w:val="00E83EE0"/>
    <w:rsid w:val="00E8769A"/>
    <w:rsid w:val="00E91732"/>
    <w:rsid w:val="00E940D9"/>
    <w:rsid w:val="00E962EA"/>
    <w:rsid w:val="00E97CF6"/>
    <w:rsid w:val="00EA16ED"/>
    <w:rsid w:val="00EA30E4"/>
    <w:rsid w:val="00EA3918"/>
    <w:rsid w:val="00EA3BCA"/>
    <w:rsid w:val="00EA4F45"/>
    <w:rsid w:val="00EA551B"/>
    <w:rsid w:val="00EA78CD"/>
    <w:rsid w:val="00EB04A6"/>
    <w:rsid w:val="00EB08B3"/>
    <w:rsid w:val="00EB4071"/>
    <w:rsid w:val="00EB6588"/>
    <w:rsid w:val="00EB7629"/>
    <w:rsid w:val="00EC0919"/>
    <w:rsid w:val="00EC09B7"/>
    <w:rsid w:val="00EC16EB"/>
    <w:rsid w:val="00EC3685"/>
    <w:rsid w:val="00EC3F72"/>
    <w:rsid w:val="00EC5412"/>
    <w:rsid w:val="00EC6BE2"/>
    <w:rsid w:val="00EC6F47"/>
    <w:rsid w:val="00EC7D1F"/>
    <w:rsid w:val="00ED06D6"/>
    <w:rsid w:val="00ED0EBB"/>
    <w:rsid w:val="00ED2BAE"/>
    <w:rsid w:val="00ED4013"/>
    <w:rsid w:val="00ED422A"/>
    <w:rsid w:val="00ED6CD0"/>
    <w:rsid w:val="00ED76F3"/>
    <w:rsid w:val="00ED78A9"/>
    <w:rsid w:val="00EE08FE"/>
    <w:rsid w:val="00EE17DE"/>
    <w:rsid w:val="00EE1C17"/>
    <w:rsid w:val="00EE1CA6"/>
    <w:rsid w:val="00EE20CC"/>
    <w:rsid w:val="00EE480F"/>
    <w:rsid w:val="00EE7B95"/>
    <w:rsid w:val="00EF02A4"/>
    <w:rsid w:val="00EF1030"/>
    <w:rsid w:val="00EF210B"/>
    <w:rsid w:val="00EF22CA"/>
    <w:rsid w:val="00EF3355"/>
    <w:rsid w:val="00EF44E7"/>
    <w:rsid w:val="00EF59AC"/>
    <w:rsid w:val="00EF5F31"/>
    <w:rsid w:val="00EF6C45"/>
    <w:rsid w:val="00EF7A27"/>
    <w:rsid w:val="00F0230E"/>
    <w:rsid w:val="00F0317B"/>
    <w:rsid w:val="00F0353B"/>
    <w:rsid w:val="00F04382"/>
    <w:rsid w:val="00F05471"/>
    <w:rsid w:val="00F057A5"/>
    <w:rsid w:val="00F05A30"/>
    <w:rsid w:val="00F06180"/>
    <w:rsid w:val="00F06714"/>
    <w:rsid w:val="00F071B7"/>
    <w:rsid w:val="00F075DC"/>
    <w:rsid w:val="00F102F5"/>
    <w:rsid w:val="00F13B40"/>
    <w:rsid w:val="00F158F7"/>
    <w:rsid w:val="00F20331"/>
    <w:rsid w:val="00F20A36"/>
    <w:rsid w:val="00F2127D"/>
    <w:rsid w:val="00F21943"/>
    <w:rsid w:val="00F21A1B"/>
    <w:rsid w:val="00F22F8C"/>
    <w:rsid w:val="00F2349C"/>
    <w:rsid w:val="00F23965"/>
    <w:rsid w:val="00F2647B"/>
    <w:rsid w:val="00F2766C"/>
    <w:rsid w:val="00F333AD"/>
    <w:rsid w:val="00F34CA1"/>
    <w:rsid w:val="00F36F51"/>
    <w:rsid w:val="00F42833"/>
    <w:rsid w:val="00F43F1B"/>
    <w:rsid w:val="00F46313"/>
    <w:rsid w:val="00F47310"/>
    <w:rsid w:val="00F50F0D"/>
    <w:rsid w:val="00F51BB8"/>
    <w:rsid w:val="00F51D0D"/>
    <w:rsid w:val="00F53824"/>
    <w:rsid w:val="00F539EB"/>
    <w:rsid w:val="00F5498A"/>
    <w:rsid w:val="00F61656"/>
    <w:rsid w:val="00F639C6"/>
    <w:rsid w:val="00F641D4"/>
    <w:rsid w:val="00F66052"/>
    <w:rsid w:val="00F66EC7"/>
    <w:rsid w:val="00F70AC8"/>
    <w:rsid w:val="00F73C62"/>
    <w:rsid w:val="00F73CA4"/>
    <w:rsid w:val="00F7526C"/>
    <w:rsid w:val="00F76D3A"/>
    <w:rsid w:val="00F77423"/>
    <w:rsid w:val="00F80233"/>
    <w:rsid w:val="00F80B8E"/>
    <w:rsid w:val="00F81151"/>
    <w:rsid w:val="00F81F8D"/>
    <w:rsid w:val="00F8358C"/>
    <w:rsid w:val="00F84C88"/>
    <w:rsid w:val="00F9012C"/>
    <w:rsid w:val="00F92556"/>
    <w:rsid w:val="00F9378C"/>
    <w:rsid w:val="00F94437"/>
    <w:rsid w:val="00F95A5E"/>
    <w:rsid w:val="00F969E3"/>
    <w:rsid w:val="00F96EFF"/>
    <w:rsid w:val="00F9774E"/>
    <w:rsid w:val="00FA4826"/>
    <w:rsid w:val="00FA5403"/>
    <w:rsid w:val="00FB3A40"/>
    <w:rsid w:val="00FB3B46"/>
    <w:rsid w:val="00FB63E6"/>
    <w:rsid w:val="00FB6475"/>
    <w:rsid w:val="00FB6C3A"/>
    <w:rsid w:val="00FC1C48"/>
    <w:rsid w:val="00FC3317"/>
    <w:rsid w:val="00FC3E8B"/>
    <w:rsid w:val="00FC495E"/>
    <w:rsid w:val="00FC5AAF"/>
    <w:rsid w:val="00FC7636"/>
    <w:rsid w:val="00FC7CF9"/>
    <w:rsid w:val="00FD1647"/>
    <w:rsid w:val="00FD1E1F"/>
    <w:rsid w:val="00FD21F9"/>
    <w:rsid w:val="00FD4A08"/>
    <w:rsid w:val="00FD70AA"/>
    <w:rsid w:val="00FD7EC8"/>
    <w:rsid w:val="00FE013E"/>
    <w:rsid w:val="00FE0DC3"/>
    <w:rsid w:val="00FE1A63"/>
    <w:rsid w:val="00FE1AB8"/>
    <w:rsid w:val="00FE241D"/>
    <w:rsid w:val="00FE2501"/>
    <w:rsid w:val="00FE41A4"/>
    <w:rsid w:val="00FE5698"/>
    <w:rsid w:val="00FF0BD2"/>
    <w:rsid w:val="00FF21EE"/>
    <w:rsid w:val="00FF325C"/>
    <w:rsid w:val="00FF3CAA"/>
    <w:rsid w:val="00FF42B5"/>
    <w:rsid w:val="00FF4CB2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DFCE0"/>
  <w15:chartTrackingRefBased/>
  <w15:docId w15:val="{06CE96BB-E470-42DD-91AF-A0EF22FB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6834"/>
    <w:pPr>
      <w:spacing w:after="120" w:line="276" w:lineRule="auto"/>
      <w:jc w:val="both"/>
    </w:pPr>
    <w:rPr>
      <w:rFonts w:ascii="Segoe UI" w:hAnsi="Segoe UI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5B51"/>
    <w:pPr>
      <w:keepNext/>
      <w:keepLines/>
      <w:numPr>
        <w:numId w:val="2"/>
      </w:numPr>
      <w:spacing w:before="120"/>
      <w:ind w:left="357" w:hanging="357"/>
      <w:outlineLvl w:val="0"/>
    </w:pPr>
    <w:rPr>
      <w:rFonts w:eastAsiaTheme="majorEastAsia" w:cstheme="majorBidi"/>
      <w:b/>
      <w:color w:val="314364"/>
      <w:position w:val="1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32AD8"/>
    <w:pPr>
      <w:keepNext/>
      <w:keepLines/>
      <w:numPr>
        <w:ilvl w:val="1"/>
        <w:numId w:val="2"/>
      </w:numPr>
      <w:spacing w:before="120"/>
      <w:outlineLvl w:val="1"/>
    </w:pPr>
    <w:rPr>
      <w:rFonts w:eastAsiaTheme="majorEastAsia" w:cstheme="majorBidi"/>
      <w:color w:val="314364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D6267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color w:val="314364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A59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4324A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C64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4324A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5B51"/>
    <w:rPr>
      <w:rFonts w:ascii="Segoe UI" w:eastAsiaTheme="majorEastAsia" w:hAnsi="Segoe UI" w:cstheme="majorBidi"/>
      <w:b/>
      <w:color w:val="314364"/>
      <w:position w:val="1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32AD8"/>
    <w:rPr>
      <w:rFonts w:ascii="Segoe UI" w:eastAsiaTheme="majorEastAsia" w:hAnsi="Segoe UI" w:cstheme="majorBidi"/>
      <w:color w:val="314364"/>
      <w:sz w:val="28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4F1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F10D0"/>
  </w:style>
  <w:style w:type="paragraph" w:styleId="Pta">
    <w:name w:val="footer"/>
    <w:basedOn w:val="Normlny"/>
    <w:link w:val="PtaChar"/>
    <w:uiPriority w:val="99"/>
    <w:unhideWhenUsed/>
    <w:rsid w:val="004F1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10D0"/>
  </w:style>
  <w:style w:type="character" w:styleId="Zstupntext">
    <w:name w:val="Placeholder Text"/>
    <w:basedOn w:val="Predvolenpsmoodseku"/>
    <w:uiPriority w:val="99"/>
    <w:semiHidden/>
    <w:rsid w:val="00F539EB"/>
    <w:rPr>
      <w:color w:val="808080"/>
    </w:rPr>
  </w:style>
  <w:style w:type="paragraph" w:styleId="Nzov">
    <w:name w:val="Title"/>
    <w:basedOn w:val="Normlny"/>
    <w:next w:val="Normlny"/>
    <w:link w:val="NzovChar"/>
    <w:uiPriority w:val="10"/>
    <w:qFormat/>
    <w:rsid w:val="00FF5DA3"/>
    <w:pPr>
      <w:spacing w:before="240" w:after="240" w:line="240" w:lineRule="auto"/>
      <w:contextualSpacing/>
      <w:jc w:val="center"/>
    </w:pPr>
    <w:rPr>
      <w:rFonts w:eastAsiaTheme="majorEastAsia" w:cstheme="majorBidi"/>
      <w:b/>
      <w:smallCaps/>
      <w:color w:val="314364"/>
      <w:spacing w:val="-10"/>
      <w:kern w:val="28"/>
      <w:sz w:val="4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5DA3"/>
    <w:rPr>
      <w:rFonts w:ascii="Segoe UI" w:eastAsiaTheme="majorEastAsia" w:hAnsi="Segoe UI" w:cstheme="majorBidi"/>
      <w:b/>
      <w:smallCaps/>
      <w:color w:val="314364"/>
      <w:spacing w:val="-10"/>
      <w:kern w:val="28"/>
      <w:sz w:val="44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778A6"/>
    <w:pPr>
      <w:numPr>
        <w:ilvl w:val="1"/>
      </w:numPr>
      <w:spacing w:before="240" w:after="240"/>
      <w:jc w:val="center"/>
    </w:pPr>
    <w:rPr>
      <w:rFonts w:eastAsiaTheme="minorEastAsia"/>
      <w:color w:val="314364"/>
      <w:spacing w:val="15"/>
      <w:sz w:val="28"/>
    </w:rPr>
  </w:style>
  <w:style w:type="character" w:customStyle="1" w:styleId="PodtitulChar">
    <w:name w:val="Podtitul Char"/>
    <w:basedOn w:val="Predvolenpsmoodseku"/>
    <w:link w:val="Podtitul"/>
    <w:uiPriority w:val="11"/>
    <w:rsid w:val="001778A6"/>
    <w:rPr>
      <w:rFonts w:ascii="Segoe UI" w:eastAsiaTheme="minorEastAsia" w:hAnsi="Segoe UI"/>
      <w:color w:val="314364"/>
      <w:spacing w:val="15"/>
      <w:sz w:val="28"/>
    </w:rPr>
  </w:style>
  <w:style w:type="paragraph" w:customStyle="1" w:styleId="Zhrnutie">
    <w:name w:val="Zhrnutie"/>
    <w:basedOn w:val="Normlny"/>
    <w:qFormat/>
    <w:rsid w:val="001778A6"/>
    <w:pPr>
      <w:spacing w:before="120"/>
      <w:jc w:val="left"/>
    </w:pPr>
    <w:rPr>
      <w:b/>
      <w:color w:val="314364"/>
      <w:sz w:val="32"/>
    </w:rPr>
  </w:style>
  <w:style w:type="paragraph" w:styleId="Odsekzoznamu">
    <w:name w:val="List Paragraph"/>
    <w:aliases w:val="body,Odsek zoznamu2,Odsek,Odsek zoznamu1,Dot pt,No Spacing1,List Paragraph Char Char Char,Indicator Text,Numbered Para 1,List Paragraph à moi,Odsek zoznamu4,LISTA,Listaszerű bekezdés2,Listaszerű bekezdés3,Listaszerű bekezdés1,Bullet 1,3"/>
    <w:basedOn w:val="Normlny"/>
    <w:link w:val="OdsekzoznamuChar"/>
    <w:uiPriority w:val="34"/>
    <w:qFormat/>
    <w:rsid w:val="0015153D"/>
    <w:pPr>
      <w:ind w:left="720"/>
      <w:contextualSpacing/>
    </w:pPr>
  </w:style>
  <w:style w:type="paragraph" w:customStyle="1" w:styleId="Poakovanie">
    <w:name w:val="Poďakovanie"/>
    <w:basedOn w:val="Normlny"/>
    <w:qFormat/>
    <w:rsid w:val="00BD3507"/>
    <w:pPr>
      <w:spacing w:before="120"/>
      <w:jc w:val="left"/>
    </w:pPr>
    <w:rPr>
      <w:color w:val="314364"/>
      <w:sz w:val="28"/>
    </w:rPr>
  </w:style>
  <w:style w:type="character" w:styleId="Hypertextovprepojenie">
    <w:name w:val="Hyperlink"/>
    <w:basedOn w:val="Predvolenpsmoodseku"/>
    <w:uiPriority w:val="99"/>
    <w:unhideWhenUsed/>
    <w:rsid w:val="00C824C8"/>
    <w:rPr>
      <w:rFonts w:ascii="Segoe UI" w:hAnsi="Segoe UI"/>
      <w:color w:val="314364" w:themeColor="hyperlink"/>
      <w:sz w:val="20"/>
      <w:u w:val="single"/>
    </w:rPr>
  </w:style>
  <w:style w:type="paragraph" w:styleId="Textpoznmkypodiarou">
    <w:name w:val="footnote text"/>
    <w:aliases w:val="Footnote Text Char2,Footnote Text Char1 Char,Footnote Text Char2 Char Char,Footnote Text Char1 Char Char Char,Footnote Text Char2 Char Char Char Char,Footnote Text Char Char1 Char Char Char Char,Footnote Text Char1"/>
    <w:basedOn w:val="Normlny"/>
    <w:link w:val="TextpoznmkypodiarouChar"/>
    <w:uiPriority w:val="99"/>
    <w:rsid w:val="00110271"/>
    <w:pPr>
      <w:spacing w:after="0" w:line="240" w:lineRule="auto"/>
    </w:pPr>
    <w:rPr>
      <w:sz w:val="16"/>
      <w:szCs w:val="20"/>
    </w:rPr>
  </w:style>
  <w:style w:type="character" w:customStyle="1" w:styleId="TextpoznmkypodiarouChar">
    <w:name w:val="Text poznámky pod čiarou Char"/>
    <w:aliases w:val="Footnote Text Char2 Char,Footnote Text Char1 Char Char,Footnote Text Char2 Char Char Char,Footnote Text Char1 Char Char Char Char,Footnote Text Char2 Char Char Char Char Char,Footnote Text Char1 Char1"/>
    <w:basedOn w:val="Predvolenpsmoodseku"/>
    <w:link w:val="Textpoznmkypodiarou"/>
    <w:uiPriority w:val="99"/>
    <w:rsid w:val="008148FD"/>
    <w:rPr>
      <w:rFonts w:ascii="Segoe UI" w:hAnsi="Segoe UI"/>
      <w:sz w:val="16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407D6"/>
    <w:rPr>
      <w:vertAlign w:val="superscript"/>
    </w:rPr>
  </w:style>
  <w:style w:type="paragraph" w:customStyle="1" w:styleId="vodZverZhrnutie">
    <w:name w:val="Úvod/Záver/Zhrnutie"/>
    <w:basedOn w:val="Nadpis1"/>
    <w:next w:val="Textpoznmkypodiarou"/>
    <w:rsid w:val="00277C8B"/>
    <w:pPr>
      <w:numPr>
        <w:numId w:val="0"/>
      </w:numPr>
    </w:pPr>
  </w:style>
  <w:style w:type="paragraph" w:customStyle="1" w:styleId="Zdroj">
    <w:name w:val="Zdroj"/>
    <w:basedOn w:val="Normlny"/>
    <w:qFormat/>
    <w:rsid w:val="00C71065"/>
    <w:pPr>
      <w:spacing w:line="240" w:lineRule="auto"/>
      <w:jc w:val="left"/>
    </w:pPr>
    <w:rPr>
      <w:i/>
      <w:color w:val="314364" w:themeColor="text2"/>
      <w:sz w:val="16"/>
    </w:rPr>
  </w:style>
  <w:style w:type="paragraph" w:styleId="Popis">
    <w:name w:val="caption"/>
    <w:basedOn w:val="Normlny"/>
    <w:next w:val="Normlny"/>
    <w:uiPriority w:val="35"/>
    <w:unhideWhenUsed/>
    <w:qFormat/>
    <w:rsid w:val="002407D6"/>
    <w:pPr>
      <w:spacing w:after="0" w:line="240" w:lineRule="auto"/>
    </w:pPr>
    <w:rPr>
      <w:b/>
      <w:iCs/>
      <w:color w:val="314364" w:themeColor="text2"/>
      <w:szCs w:val="18"/>
    </w:rPr>
  </w:style>
  <w:style w:type="table" w:styleId="Mriekatabuky">
    <w:name w:val="Table Grid"/>
    <w:basedOn w:val="Normlnatabuka"/>
    <w:uiPriority w:val="39"/>
    <w:rsid w:val="0066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664B90"/>
    <w:pPr>
      <w:spacing w:after="0" w:line="240" w:lineRule="auto"/>
    </w:pPr>
    <w:rPr>
      <w:rFonts w:asciiTheme="minorHAnsi" w:eastAsiaTheme="minorEastAsia" w:hAnsiTheme="minorHAnsi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664B90"/>
    <w:rPr>
      <w:rFonts w:asciiTheme="minorHAnsi" w:eastAsiaTheme="minorEastAsia" w:hAnsiTheme="minorHAnsi"/>
      <w:lang w:eastAsia="sk-SK"/>
    </w:rPr>
  </w:style>
  <w:style w:type="paragraph" w:customStyle="1" w:styleId="Pouitliteratra">
    <w:name w:val="Použitá literatúra"/>
    <w:basedOn w:val="Odsekzoznamu"/>
    <w:qFormat/>
    <w:rsid w:val="0070595E"/>
    <w:pPr>
      <w:numPr>
        <w:numId w:val="1"/>
      </w:numPr>
      <w:ind w:left="357" w:hanging="357"/>
    </w:pPr>
  </w:style>
  <w:style w:type="paragraph" w:styleId="Hlavikaobsahu">
    <w:name w:val="TOC Heading"/>
    <w:basedOn w:val="Nadpis1"/>
    <w:next w:val="Normlny"/>
    <w:uiPriority w:val="39"/>
    <w:unhideWhenUsed/>
    <w:qFormat/>
    <w:rsid w:val="00277C8B"/>
    <w:pPr>
      <w:numPr>
        <w:numId w:val="0"/>
      </w:numPr>
      <w:spacing w:before="240" w:after="0" w:line="259" w:lineRule="auto"/>
      <w:jc w:val="left"/>
      <w:outlineLvl w:val="9"/>
    </w:pPr>
    <w:rPr>
      <w:b w:val="0"/>
      <w:position w:val="0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C125B"/>
    <w:pPr>
      <w:tabs>
        <w:tab w:val="left" w:pos="400"/>
        <w:tab w:val="right" w:leader="dot" w:pos="9060"/>
      </w:tabs>
      <w:spacing w:before="120"/>
      <w:jc w:val="left"/>
    </w:pPr>
    <w:rPr>
      <w:rFonts w:asciiTheme="minorHAnsi" w:hAnsiTheme="minorHAnsi" w:cstheme="minorHAnsi"/>
      <w:b/>
      <w:bCs/>
      <w:caps/>
      <w:noProof/>
      <w:color w:val="314364" w:themeColor="text2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004033"/>
    <w:pPr>
      <w:spacing w:after="0"/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004033"/>
    <w:pPr>
      <w:spacing w:after="0"/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Nadpis3Char">
    <w:name w:val="Nadpis 3 Char"/>
    <w:basedOn w:val="Predvolenpsmoodseku"/>
    <w:link w:val="Nadpis3"/>
    <w:uiPriority w:val="9"/>
    <w:rsid w:val="003D6267"/>
    <w:rPr>
      <w:rFonts w:ascii="Segoe UI" w:eastAsiaTheme="majorEastAsia" w:hAnsi="Segoe UI" w:cstheme="majorBidi"/>
      <w:color w:val="314364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2CE6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CE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733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733BE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33BE"/>
    <w:rPr>
      <w:rFonts w:ascii="Segoe UI" w:hAnsi="Segoe U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46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4645"/>
    <w:rPr>
      <w:rFonts w:ascii="Segoe UI" w:hAnsi="Segoe UI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7045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70456C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  <w:sz w:val="22"/>
    </w:rPr>
  </w:style>
  <w:style w:type="table" w:customStyle="1" w:styleId="Mriekatabuky1">
    <w:name w:val="Mriežka tabuľky1"/>
    <w:basedOn w:val="Normlnatabuka"/>
    <w:next w:val="Mriekatabuky"/>
    <w:uiPriority w:val="59"/>
    <w:rsid w:val="0042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2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42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42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4222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422249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OdsekzoznamuChar">
    <w:name w:val="Odsek zoznamu Char"/>
    <w:aliases w:val="body Char,Odsek zoznamu2 Char,Odsek Char,Odsek zoznamu1 Char,Dot pt Char,No Spacing1 Char,List Paragraph Char Char Char Char,Indicator Text Char,Numbered Para 1 Char,List Paragraph à moi Char,Odsek zoznamu4 Char,LISTA Char,3 Char"/>
    <w:basedOn w:val="Predvolenpsmoodseku"/>
    <w:link w:val="Odsekzoznamu"/>
    <w:uiPriority w:val="34"/>
    <w:qFormat/>
    <w:locked/>
    <w:rsid w:val="00571A80"/>
    <w:rPr>
      <w:rFonts w:ascii="Segoe UI" w:hAnsi="Segoe UI"/>
      <w:sz w:val="20"/>
    </w:rPr>
  </w:style>
  <w:style w:type="paragraph" w:customStyle="1" w:styleId="2stlpce">
    <w:name w:val="2 stlpce"/>
    <w:basedOn w:val="Normlny"/>
    <w:link w:val="2stlpceChar"/>
    <w:qFormat/>
    <w:rsid w:val="00A33FD6"/>
    <w:pPr>
      <w:spacing w:line="240" w:lineRule="auto"/>
    </w:pPr>
    <w:rPr>
      <w:rFonts w:ascii="Calibri" w:hAnsi="Calibri"/>
      <w:sz w:val="22"/>
    </w:rPr>
  </w:style>
  <w:style w:type="character" w:customStyle="1" w:styleId="2stlpceChar">
    <w:name w:val="2 stlpce Char"/>
    <w:basedOn w:val="Predvolenpsmoodseku"/>
    <w:link w:val="2stlpce"/>
    <w:rsid w:val="00A33FD6"/>
    <w:rPr>
      <w:rFonts w:ascii="Calibri" w:hAnsi="Calibri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82A6C"/>
    <w:rPr>
      <w:color w:val="314364" w:themeColor="followedHyperlink"/>
      <w:u w:val="single"/>
    </w:rPr>
  </w:style>
  <w:style w:type="paragraph" w:customStyle="1" w:styleId="Default">
    <w:name w:val="Default"/>
    <w:rsid w:val="00DC0C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2A599C"/>
    <w:rPr>
      <w:rFonts w:asciiTheme="majorHAnsi" w:eastAsiaTheme="majorEastAsia" w:hAnsiTheme="majorHAnsi" w:cstheme="majorBidi"/>
      <w:i/>
      <w:iCs/>
      <w:color w:val="24324A" w:themeColor="accent1" w:themeShade="BF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AC6430"/>
    <w:rPr>
      <w:rFonts w:asciiTheme="majorHAnsi" w:eastAsiaTheme="majorEastAsia" w:hAnsiTheme="majorHAnsi" w:cstheme="majorBidi"/>
      <w:color w:val="24324A" w:themeColor="accent1" w:themeShade="BF"/>
      <w:sz w:val="20"/>
    </w:rPr>
  </w:style>
  <w:style w:type="character" w:styleId="Zvraznenie">
    <w:name w:val="Emphasis"/>
    <w:basedOn w:val="Predvolenpsmoodseku"/>
    <w:uiPriority w:val="20"/>
    <w:qFormat/>
    <w:rsid w:val="00AC6430"/>
    <w:rPr>
      <w:i/>
      <w:iCs/>
    </w:rPr>
  </w:style>
  <w:style w:type="character" w:styleId="Siln">
    <w:name w:val="Strong"/>
    <w:basedOn w:val="Predvolenpsmoodseku"/>
    <w:uiPriority w:val="22"/>
    <w:qFormat/>
    <w:rsid w:val="00AC6430"/>
    <w:rPr>
      <w:b/>
      <w:bCs/>
    </w:rPr>
  </w:style>
  <w:style w:type="character" w:styleId="Nzovknihy">
    <w:name w:val="Book Title"/>
    <w:basedOn w:val="Predvolenpsmoodseku"/>
    <w:uiPriority w:val="33"/>
    <w:qFormat/>
    <w:rsid w:val="00AC6430"/>
    <w:rPr>
      <w:b/>
      <w:bCs/>
      <w:i/>
      <w:iCs/>
      <w:spacing w:val="5"/>
    </w:rPr>
  </w:style>
  <w:style w:type="table" w:customStyle="1" w:styleId="Mriekatabuky5">
    <w:name w:val="Mriežka tabuľky5"/>
    <w:basedOn w:val="Normlnatabuka"/>
    <w:next w:val="Mriekatabuky"/>
    <w:uiPriority w:val="39"/>
    <w:rsid w:val="0042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edvolenpsmoodseku"/>
    <w:rsid w:val="005F0F5B"/>
  </w:style>
  <w:style w:type="paragraph" w:styleId="Obsah4">
    <w:name w:val="toc 4"/>
    <w:basedOn w:val="Normlny"/>
    <w:next w:val="Normlny"/>
    <w:autoRedefine/>
    <w:uiPriority w:val="39"/>
    <w:unhideWhenUsed/>
    <w:rsid w:val="006C125B"/>
    <w:pPr>
      <w:spacing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6C125B"/>
    <w:pPr>
      <w:spacing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6C125B"/>
    <w:pPr>
      <w:spacing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6C125B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6C125B"/>
    <w:pPr>
      <w:spacing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6C125B"/>
    <w:pPr>
      <w:spacing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table" w:customStyle="1" w:styleId="Mriekatabuky6">
    <w:name w:val="Mriežka tabuľky6"/>
    <w:basedOn w:val="Normlnatabuka"/>
    <w:next w:val="Mriekatabuky"/>
    <w:uiPriority w:val="39"/>
    <w:rsid w:val="00CE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lov-lex.sk/pravne-predpisy/SK/ZZ/2004/523/20230401" TargetMode="External"/><Relationship Id="rId2" Type="http://schemas.openxmlformats.org/officeDocument/2006/relationships/hyperlink" Target="https://ulozisko.institutfinancnejpolitiky.sk/WEB_IFP/03_Publikacie/03_Strategicke_materialy/04_INE/Ozdravenie%20verejnych%20financi%C3%AD_final.pdf" TargetMode="External"/><Relationship Id="rId1" Type="http://schemas.openxmlformats.org/officeDocument/2006/relationships/hyperlink" Target="https://www.mfsr.sk/files/archiv/29/Vydavkove-priority-pre-uspesne-Slovensko.pdf" TargetMode="External"/><Relationship Id="rId5" Type="http://schemas.openxmlformats.org/officeDocument/2006/relationships/hyperlink" Target="https://www.mfsr.sk/files/archiv/28/Aktualizacia-revizie-vydavkov-MV-SR-Policajny-zbor.pdf" TargetMode="External"/><Relationship Id="rId4" Type="http://schemas.openxmlformats.org/officeDocument/2006/relationships/hyperlink" Target="https://www.mosr.sk/data/files/4767_dlhodoby-plan-rozvoja-rezortu-ministerstva-obrany-s-vyhladom-do-roku-203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novisk&#225;\Stanovisko%20k%20n&#225;vrhu%20&#352;R%202021\Stanovisko%20OSA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YST&#201;MOV&#201;%20PRIE&#268;INKY\Downloads\STANOVISKO\Stanovisko%20k%20RVS%202024\Stanovisko_k_n&#225;vrhu_&#352;R_na_rok_2024_vyrovnan&#253;%20rozpo&#269;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YST&#201;MOV&#201;%20PRIE&#268;INKY\Downloads\STANOVISKO\Stanovisko%20k%20RVS%202024\Stanovisko_k_n&#225;vrhu_&#352;R_na_rok_2024_vyrovnan&#253;%20rozpo&#269;e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_rok_programu_Microsoft_Excel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H_rok_programu_Microsoft_Excel1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YST&#201;MOV&#201;%20PRIE&#268;INKY\Desktop\zamestnanos&#357;%20a%20organiz&#225;cie%20do%20stanovisk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v>Prognóza z júna 2023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2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1'!$B$3:$B$8</c:f>
              <c:strCache>
                <c:ptCount val="6"/>
                <c:pt idx="0">
                  <c:v>HDP, s. c. </c:v>
                </c:pt>
                <c:pt idx="1">
                  <c:v>Súkromná spotreba, s. c.</c:v>
                </c:pt>
                <c:pt idx="2">
                  <c:v>Vládna spotreba</c:v>
                </c:pt>
                <c:pt idx="3">
                  <c:v>Fixné investície</c:v>
                </c:pt>
                <c:pt idx="4">
                  <c:v>Zamestnanosť</c:v>
                </c:pt>
                <c:pt idx="5">
                  <c:v>Miera nezamestnanosti</c:v>
                </c:pt>
              </c:strCache>
            </c:strRef>
          </c:cat>
          <c:val>
            <c:numRef>
              <c:f>'Graf 1'!$C$3:$C$8</c:f>
              <c:numCache>
                <c:formatCode>0.0</c:formatCode>
                <c:ptCount val="6"/>
                <c:pt idx="0">
                  <c:v>1.3</c:v>
                </c:pt>
                <c:pt idx="1">
                  <c:v>0.9</c:v>
                </c:pt>
                <c:pt idx="2">
                  <c:v>-3.8</c:v>
                </c:pt>
                <c:pt idx="3">
                  <c:v>3.1</c:v>
                </c:pt>
                <c:pt idx="4">
                  <c:v>0.2</c:v>
                </c:pt>
                <c:pt idx="5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36-4989-A511-2906006E750D}"/>
            </c:ext>
          </c:extLst>
        </c:ser>
        <c:ser>
          <c:idx val="1"/>
          <c:order val="1"/>
          <c:tx>
            <c:v>Prognóza zo septembra 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bg2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1'!$B$3:$B$8</c:f>
              <c:strCache>
                <c:ptCount val="6"/>
                <c:pt idx="0">
                  <c:v>HDP, s. c. </c:v>
                </c:pt>
                <c:pt idx="1">
                  <c:v>Súkromná spotreba, s. c.</c:v>
                </c:pt>
                <c:pt idx="2">
                  <c:v>Vládna spotreba</c:v>
                </c:pt>
                <c:pt idx="3">
                  <c:v>Fixné investície</c:v>
                </c:pt>
                <c:pt idx="4">
                  <c:v>Zamestnanosť</c:v>
                </c:pt>
                <c:pt idx="5">
                  <c:v>Miera nezamestnanosti</c:v>
                </c:pt>
              </c:strCache>
            </c:strRef>
          </c:cat>
          <c:val>
            <c:numRef>
              <c:f>'Graf 1'!$D$3:$D$8</c:f>
              <c:numCache>
                <c:formatCode>0.0</c:formatCode>
                <c:ptCount val="6"/>
                <c:pt idx="0">
                  <c:v>-6.4</c:v>
                </c:pt>
                <c:pt idx="1">
                  <c:v>-5.8</c:v>
                </c:pt>
                <c:pt idx="2">
                  <c:v>-38.200000000000003</c:v>
                </c:pt>
                <c:pt idx="3">
                  <c:v>-5.4</c:v>
                </c:pt>
                <c:pt idx="4">
                  <c:v>-5.4</c:v>
                </c:pt>
                <c:pt idx="5">
                  <c:v>9.3000000000000007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36-4989-A511-2906006E75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3189072"/>
        <c:axId val="123201968"/>
      </c:barChart>
      <c:catAx>
        <c:axId val="123189072"/>
        <c:scaling>
          <c:orientation val="maxMin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tx2"/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sk-SK"/>
          </a:p>
        </c:txPr>
        <c:crossAx val="123201968"/>
        <c:crosses val="autoZero"/>
        <c:auto val="1"/>
        <c:lblAlgn val="ctr"/>
        <c:lblOffset val="100"/>
        <c:noMultiLvlLbl val="0"/>
      </c:catAx>
      <c:valAx>
        <c:axId val="123201968"/>
        <c:scaling>
          <c:orientation val="minMax"/>
          <c:max val="10"/>
          <c:min val="-45"/>
        </c:scaling>
        <c:delete val="0"/>
        <c:axPos val="t"/>
        <c:numFmt formatCode="0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sk-SK"/>
          </a:p>
        </c:txPr>
        <c:crossAx val="12318907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2"/>
          </a:solidFill>
          <a:latin typeface="Segoe UI" panose="020B0502040204020203" pitchFamily="34" charset="0"/>
          <a:cs typeface="Segoe UI" panose="020B0502040204020203" pitchFamily="34" charset="0"/>
        </a:defRPr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'Graf 2'!$B$4</c:f>
              <c:strCache>
                <c:ptCount val="1"/>
                <c:pt idx="0">
                  <c:v>Skutočnosť</c:v>
                </c:pt>
              </c:strCache>
            </c:strRef>
          </c:tx>
          <c:spPr>
            <a:solidFill>
              <a:schemeClr val="bg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2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sk-S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2'!$C$3:$H$3</c:f>
              <c:strCache>
                <c:ptCount val="6"/>
                <c:pt idx="0">
                  <c:v>2021</c:v>
                </c:pt>
                <c:pt idx="1">
                  <c:v>2022</c:v>
                </c:pt>
                <c:pt idx="2">
                  <c:v>2023*</c:v>
                </c:pt>
                <c:pt idx="3">
                  <c:v>2024**</c:v>
                </c:pt>
                <c:pt idx="4">
                  <c:v>2025**</c:v>
                </c:pt>
                <c:pt idx="5">
                  <c:v>2026**</c:v>
                </c:pt>
              </c:strCache>
            </c:strRef>
          </c:cat>
          <c:val>
            <c:numRef>
              <c:f>'Graf 2'!$C$4:$H$4</c:f>
              <c:numCache>
                <c:formatCode>0.00</c:formatCode>
                <c:ptCount val="6"/>
                <c:pt idx="0">
                  <c:v>-5.43</c:v>
                </c:pt>
                <c:pt idx="1">
                  <c:v>-2.02</c:v>
                </c:pt>
                <c:pt idx="2">
                  <c:v>-6.2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46-4B76-9045-BDA23495C4AA}"/>
            </c:ext>
          </c:extLst>
        </c:ser>
        <c:ser>
          <c:idx val="1"/>
          <c:order val="1"/>
          <c:tx>
            <c:strRef>
              <c:f>'Graf 2'!$B$5</c:f>
              <c:strCache>
                <c:ptCount val="1"/>
                <c:pt idx="0">
                  <c:v>Ciele rozpočtu</c:v>
                </c:pt>
              </c:strCache>
            </c:strRef>
          </c:tx>
          <c:spPr>
            <a:pattFill prst="pct5">
              <a:fgClr>
                <a:schemeClr val="accent6"/>
              </a:fgClr>
              <a:bgClr>
                <a:schemeClr val="bg1"/>
              </a:bgClr>
            </a:pattFill>
            <a:ln>
              <a:solidFill>
                <a:schemeClr val="accent6"/>
              </a:solidFill>
            </a:ln>
            <a:effectLst/>
          </c:spPr>
          <c:invertIfNegative val="0"/>
          <c:cat>
            <c:strRef>
              <c:f>'Graf 2'!$C$3:$H$3</c:f>
              <c:strCache>
                <c:ptCount val="6"/>
                <c:pt idx="0">
                  <c:v>2021</c:v>
                </c:pt>
                <c:pt idx="1">
                  <c:v>2022</c:v>
                </c:pt>
                <c:pt idx="2">
                  <c:v>2023*</c:v>
                </c:pt>
                <c:pt idx="3">
                  <c:v>2024**</c:v>
                </c:pt>
                <c:pt idx="4">
                  <c:v>2025**</c:v>
                </c:pt>
                <c:pt idx="5">
                  <c:v>2026**</c:v>
                </c:pt>
              </c:strCache>
            </c:strRef>
          </c:cat>
          <c:val>
            <c:numRef>
              <c:f>'Graf 2'!$C$5:$H$5</c:f>
              <c:numCache>
                <c:formatCode>0.00</c:formatCode>
                <c:ptCount val="6"/>
                <c:pt idx="0">
                  <c:v>-2.0099999999999998</c:v>
                </c:pt>
                <c:pt idx="1">
                  <c:v>-2.92</c:v>
                </c:pt>
                <c:pt idx="2">
                  <c:v>-0.24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46-4B76-9045-BDA23495C4AA}"/>
            </c:ext>
          </c:extLst>
        </c:ser>
        <c:ser>
          <c:idx val="2"/>
          <c:order val="2"/>
          <c:tx>
            <c:strRef>
              <c:f>'Graf 2'!$B$6</c:f>
              <c:strCache>
                <c:ptCount val="1"/>
                <c:pt idx="0">
                  <c:v>Návrh rozpočtu bez konsolidácie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2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sk-S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2'!$C$3:$H$3</c:f>
              <c:strCache>
                <c:ptCount val="6"/>
                <c:pt idx="0">
                  <c:v>2021</c:v>
                </c:pt>
                <c:pt idx="1">
                  <c:v>2022</c:v>
                </c:pt>
                <c:pt idx="2">
                  <c:v>2023*</c:v>
                </c:pt>
                <c:pt idx="3">
                  <c:v>2024**</c:v>
                </c:pt>
                <c:pt idx="4">
                  <c:v>2025**</c:v>
                </c:pt>
                <c:pt idx="5">
                  <c:v>2026**</c:v>
                </c:pt>
              </c:strCache>
            </c:strRef>
          </c:cat>
          <c:val>
            <c:numRef>
              <c:f>'Graf 2'!$C$6:$H$6</c:f>
              <c:numCache>
                <c:formatCode>General</c:formatCode>
                <c:ptCount val="6"/>
                <c:pt idx="3" formatCode="0.00">
                  <c:v>-6.55</c:v>
                </c:pt>
                <c:pt idx="4" formatCode="0.00">
                  <c:v>-6.95</c:v>
                </c:pt>
                <c:pt idx="5" formatCode="0.00">
                  <c:v>-6.64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46-4B76-9045-BDA23495C4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001764464"/>
        <c:axId val="1001765712"/>
      </c:barChart>
      <c:lineChart>
        <c:grouping val="standard"/>
        <c:varyColors val="0"/>
        <c:ser>
          <c:idx val="3"/>
          <c:order val="3"/>
          <c:tx>
            <c:strRef>
              <c:f>'Graf 2'!$B$7</c:f>
              <c:strCache>
                <c:ptCount val="1"/>
                <c:pt idx="0">
                  <c:v>Ciele rozpočtu</c:v>
                </c:pt>
              </c:strCache>
            </c:strRef>
          </c:tx>
          <c:spPr>
            <a:ln w="15875" cap="rnd">
              <a:solidFill>
                <a:schemeClr val="accent6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bg1"/>
                </a:solidFill>
              </a:ln>
              <a:effectLst/>
            </c:spPr>
          </c:marker>
          <c:dLbls>
            <c:dLbl>
              <c:idx val="3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046-4B76-9045-BDA23495C4AA}"/>
                </c:ext>
              </c:extLst>
            </c:dLbl>
            <c:dLbl>
              <c:idx val="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046-4B76-9045-BDA23495C4AA}"/>
                </c:ext>
              </c:extLst>
            </c:dLbl>
            <c:dLbl>
              <c:idx val="5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046-4B76-9045-BDA23495C4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6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sk-SK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2'!$C$3:$H$3</c:f>
              <c:strCache>
                <c:ptCount val="6"/>
                <c:pt idx="0">
                  <c:v>2021</c:v>
                </c:pt>
                <c:pt idx="1">
                  <c:v>2022</c:v>
                </c:pt>
                <c:pt idx="2">
                  <c:v>2023*</c:v>
                </c:pt>
                <c:pt idx="3">
                  <c:v>2024**</c:v>
                </c:pt>
                <c:pt idx="4">
                  <c:v>2025**</c:v>
                </c:pt>
                <c:pt idx="5">
                  <c:v>2026**</c:v>
                </c:pt>
              </c:strCache>
            </c:strRef>
          </c:cat>
          <c:val>
            <c:numRef>
              <c:f>'Graf 2'!$C$7:$H$7</c:f>
              <c:numCache>
                <c:formatCode>0.00</c:formatCode>
                <c:ptCount val="6"/>
                <c:pt idx="0">
                  <c:v>-7.4399999999999995</c:v>
                </c:pt>
                <c:pt idx="1">
                  <c:v>-4.9399999999999995</c:v>
                </c:pt>
                <c:pt idx="2">
                  <c:v>-6.44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046-4B76-9045-BDA23495C4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1764464"/>
        <c:axId val="1001765712"/>
      </c:lineChart>
      <c:catAx>
        <c:axId val="100176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high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sk-SK"/>
          </a:p>
        </c:txPr>
        <c:crossAx val="1001765712"/>
        <c:crosses val="autoZero"/>
        <c:auto val="1"/>
        <c:lblAlgn val="ctr"/>
        <c:lblOffset val="100"/>
        <c:noMultiLvlLbl val="0"/>
      </c:catAx>
      <c:valAx>
        <c:axId val="1001765712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sk-SK"/>
          </a:p>
        </c:txPr>
        <c:crossAx val="100176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2"/>
          </a:solidFill>
          <a:latin typeface="Segoe UI" panose="020B0502040204020203" pitchFamily="34" charset="0"/>
          <a:cs typeface="Segoe UI" panose="020B0502040204020203" pitchFamily="34" charset="0"/>
        </a:defRPr>
      </a:pPr>
      <a:endParaRPr lang="sk-S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66380008680573E-2"/>
          <c:y val="5.1137816415239068E-2"/>
          <c:w val="0.93900704110267863"/>
          <c:h val="0.716490737813999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'Graf 4'!$B$3</c:f>
              <c:strCache>
                <c:ptCount val="1"/>
                <c:pt idx="0">
                  <c:v>Hrubý dlh VS</c:v>
                </c:pt>
              </c:strCache>
            </c:strRef>
          </c:tx>
          <c:spPr>
            <a:solidFill>
              <a:schemeClr val="bg2"/>
            </a:solidFill>
            <a:ln>
              <a:noFill/>
            </a:ln>
            <a:effectLst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fld id="{DECB7F4D-E296-4737-952F-ADAF2CBC419F}" type="VALUE">
                      <a:rPr lang="en-US"/>
                      <a:pPr/>
                      <a:t>[HODNOTA]</a:t>
                    </a:fld>
                    <a:r>
                      <a:rPr lang="en-US"/>
                      <a:t>,0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69ED-4DE8-A44C-6E70B1904D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2"/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endParaRPr lang="sk-SK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4'!$K$2:$U$2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2023*</c:v>
                </c:pt>
                <c:pt idx="8">
                  <c:v>2024**</c:v>
                </c:pt>
                <c:pt idx="9">
                  <c:v>2025**</c:v>
                </c:pt>
                <c:pt idx="10">
                  <c:v>2026**</c:v>
                </c:pt>
              </c:strCache>
            </c:strRef>
          </c:cat>
          <c:val>
            <c:numRef>
              <c:f>'Graf 4'!$K$3:$U$3</c:f>
              <c:numCache>
                <c:formatCode>0.0</c:formatCode>
                <c:ptCount val="11"/>
                <c:pt idx="0">
                  <c:v>52.3</c:v>
                </c:pt>
                <c:pt idx="1">
                  <c:v>51.5</c:v>
                </c:pt>
                <c:pt idx="2">
                  <c:v>49.4</c:v>
                </c:pt>
                <c:pt idx="3" formatCode="General">
                  <c:v>48</c:v>
                </c:pt>
                <c:pt idx="4" formatCode="General">
                  <c:v>58.9</c:v>
                </c:pt>
                <c:pt idx="5">
                  <c:v>61</c:v>
                </c:pt>
                <c:pt idx="6">
                  <c:v>57.8</c:v>
                </c:pt>
                <c:pt idx="7">
                  <c:v>57.1</c:v>
                </c:pt>
                <c:pt idx="8">
                  <c:v>59.7</c:v>
                </c:pt>
                <c:pt idx="9">
                  <c:v>58.3</c:v>
                </c:pt>
                <c:pt idx="10">
                  <c:v>57.1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ED-4DE8-A44C-6E70B1904D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216065872"/>
        <c:axId val="1216091664"/>
      </c:barChart>
      <c:lineChart>
        <c:grouping val="standard"/>
        <c:varyColors val="0"/>
        <c:ser>
          <c:idx val="1"/>
          <c:order val="1"/>
          <c:tx>
            <c:strRef>
              <c:f>'Graf 4'!$B$4</c:f>
              <c:strCache>
                <c:ptCount val="1"/>
                <c:pt idx="0">
                  <c:v>Čistý dlh VS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2"/>
              </a:solidFill>
              <a:ln w="9525">
                <a:solidFill>
                  <a:schemeClr val="bg1"/>
                </a:solidFill>
              </a:ln>
              <a:effectLst/>
            </c:spPr>
          </c:marker>
          <c:cat>
            <c:strRef>
              <c:f>'Graf 4'!$K$2:$U$2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2023*</c:v>
                </c:pt>
                <c:pt idx="8">
                  <c:v>2024**</c:v>
                </c:pt>
                <c:pt idx="9">
                  <c:v>2025**</c:v>
                </c:pt>
                <c:pt idx="10">
                  <c:v>2026**</c:v>
                </c:pt>
              </c:strCache>
            </c:strRef>
          </c:cat>
          <c:val>
            <c:numRef>
              <c:f>'Graf 4'!$K$4:$U$4</c:f>
              <c:numCache>
                <c:formatCode>0.0</c:formatCode>
                <c:ptCount val="11"/>
                <c:pt idx="0">
                  <c:v>46.9</c:v>
                </c:pt>
                <c:pt idx="1">
                  <c:v>45.7</c:v>
                </c:pt>
                <c:pt idx="2">
                  <c:v>43.3</c:v>
                </c:pt>
                <c:pt idx="3">
                  <c:v>43.1</c:v>
                </c:pt>
                <c:pt idx="4">
                  <c:v>48.9</c:v>
                </c:pt>
                <c:pt idx="5">
                  <c:v>49.6</c:v>
                </c:pt>
                <c:pt idx="6">
                  <c:v>47.7</c:v>
                </c:pt>
                <c:pt idx="7">
                  <c:v>49.4</c:v>
                </c:pt>
                <c:pt idx="8">
                  <c:v>51.1</c:v>
                </c:pt>
                <c:pt idx="9">
                  <c:v>48.9</c:v>
                </c:pt>
                <c:pt idx="10">
                  <c:v>46.7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9ED-4DE8-A44C-6E70B1904DD2}"/>
            </c:ext>
          </c:extLst>
        </c:ser>
        <c:ser>
          <c:idx val="3"/>
          <c:order val="2"/>
          <c:tx>
            <c:strRef>
              <c:f>'Graf 4'!$B$5</c:f>
              <c:strCache>
                <c:ptCount val="1"/>
                <c:pt idx="0">
                  <c:v>Maastrichtská hranica</c:v>
                </c:pt>
              </c:strCache>
            </c:strRef>
          </c:tx>
          <c:spPr>
            <a:ln w="25400" cap="rnd">
              <a:solidFill>
                <a:schemeClr val="accent6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'Graf 4'!$K$2:$U$2</c:f>
              <c:strCache>
                <c:ptCount val="11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2023*</c:v>
                </c:pt>
                <c:pt idx="8">
                  <c:v>2024**</c:v>
                </c:pt>
                <c:pt idx="9">
                  <c:v>2025**</c:v>
                </c:pt>
                <c:pt idx="10">
                  <c:v>2026**</c:v>
                </c:pt>
              </c:strCache>
            </c:strRef>
          </c:cat>
          <c:val>
            <c:numRef>
              <c:f>'Graf 4'!$K$5:$U$5</c:f>
              <c:numCache>
                <c:formatCode>0.0</c:formatCode>
                <c:ptCount val="11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60</c:v>
                </c:pt>
                <c:pt idx="6">
                  <c:v>60</c:v>
                </c:pt>
                <c:pt idx="7">
                  <c:v>60</c:v>
                </c:pt>
                <c:pt idx="8">
                  <c:v>60</c:v>
                </c:pt>
                <c:pt idx="9">
                  <c:v>60</c:v>
                </c:pt>
                <c:pt idx="10">
                  <c:v>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9ED-4DE8-A44C-6E70B1904D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6065872"/>
        <c:axId val="1216091664"/>
      </c:lineChart>
      <c:valAx>
        <c:axId val="1216091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sk-SK"/>
          </a:p>
        </c:txPr>
        <c:crossAx val="1216065872"/>
        <c:crosses val="autoZero"/>
        <c:crossBetween val="between"/>
      </c:valAx>
      <c:catAx>
        <c:axId val="121606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sk-SK"/>
          </a:p>
        </c:txPr>
        <c:crossAx val="12160916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2"/>
          </a:solidFill>
          <a:latin typeface="Segoe UI" panose="020B0502040204020203" pitchFamily="34" charset="0"/>
          <a:cs typeface="Segoe UI" panose="020B0502040204020203" pitchFamily="34" charset="0"/>
        </a:defRPr>
      </a:pPr>
      <a:endParaRPr lang="sk-S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EÚ</c:v>
                </c:pt>
              </c:strCache>
            </c:strRef>
          </c:tx>
          <c:spPr>
            <a:solidFill>
              <a:srgbClr val="314364"/>
            </a:solidFill>
            <a:ln>
              <a:noFill/>
            </a:ln>
            <a:effectLst/>
          </c:spPr>
          <c:invertIfNegative val="0"/>
          <c:cat>
            <c:strRef>
              <c:f>Hárok1!$A$2:$A$14</c:f>
              <c:strCache>
                <c:ptCount val="13"/>
                <c:pt idx="0">
                  <c:v>MF SR</c:v>
                </c:pt>
                <c:pt idx="1">
                  <c:v>MPSVR SR</c:v>
                </c:pt>
                <c:pt idx="2">
                  <c:v>MS SR</c:v>
                </c:pt>
                <c:pt idx="3">
                  <c:v>MV SR</c:v>
                </c:pt>
                <c:pt idx="4">
                  <c:v>ÚVO</c:v>
                </c:pt>
                <c:pt idx="5">
                  <c:v>MŠVVŠ SR</c:v>
                </c:pt>
                <c:pt idx="6">
                  <c:v>MZ SR</c:v>
                </c:pt>
                <c:pt idx="7">
                  <c:v>MD SR</c:v>
                </c:pt>
                <c:pt idx="8">
                  <c:v>MH SR</c:v>
                </c:pt>
                <c:pt idx="9">
                  <c:v>MIRRI SR</c:v>
                </c:pt>
                <c:pt idx="10">
                  <c:v>ÚV SR</c:v>
                </c:pt>
                <c:pt idx="11">
                  <c:v>MŽP SR</c:v>
                </c:pt>
                <c:pt idx="12">
                  <c:v>MPRV SR</c:v>
                </c:pt>
              </c:strCache>
            </c:strRef>
          </c:cat>
          <c:val>
            <c:numRef>
              <c:f>Hárok1!$B$2:$B$14</c:f>
              <c:numCache>
                <c:formatCode>General</c:formatCode>
                <c:ptCount val="13"/>
                <c:pt idx="0">
                  <c:v>0</c:v>
                </c:pt>
                <c:pt idx="1">
                  <c:v>0.82824172432470822</c:v>
                </c:pt>
                <c:pt idx="2">
                  <c:v>0</c:v>
                </c:pt>
                <c:pt idx="3">
                  <c:v>1.0494077462362119</c:v>
                </c:pt>
                <c:pt idx="4">
                  <c:v>0</c:v>
                </c:pt>
                <c:pt idx="5">
                  <c:v>2.8022603592958424</c:v>
                </c:pt>
                <c:pt idx="6">
                  <c:v>0</c:v>
                </c:pt>
                <c:pt idx="7">
                  <c:v>4.9899788881071876</c:v>
                </c:pt>
                <c:pt idx="8">
                  <c:v>28.367483841419173</c:v>
                </c:pt>
                <c:pt idx="9">
                  <c:v>29.477558370437222</c:v>
                </c:pt>
                <c:pt idx="10">
                  <c:v>0</c:v>
                </c:pt>
                <c:pt idx="11">
                  <c:v>23.049434526138718</c:v>
                </c:pt>
                <c:pt idx="12">
                  <c:v>91.653681589553898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84-4175-84A2-FB938305C7F7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POO</c:v>
                </c:pt>
              </c:strCache>
            </c:strRef>
          </c:tx>
          <c:spPr>
            <a:solidFill>
              <a:srgbClr val="9CB9EC"/>
            </a:solidFill>
            <a:ln>
              <a:noFill/>
            </a:ln>
            <a:effectLst/>
          </c:spPr>
          <c:invertIfNegative val="0"/>
          <c:cat>
            <c:strRef>
              <c:f>Hárok1!$A$2:$A$14</c:f>
              <c:strCache>
                <c:ptCount val="13"/>
                <c:pt idx="0">
                  <c:v>MF SR</c:v>
                </c:pt>
                <c:pt idx="1">
                  <c:v>MPSVR SR</c:v>
                </c:pt>
                <c:pt idx="2">
                  <c:v>MS SR</c:v>
                </c:pt>
                <c:pt idx="3">
                  <c:v>MV SR</c:v>
                </c:pt>
                <c:pt idx="4">
                  <c:v>ÚVO</c:v>
                </c:pt>
                <c:pt idx="5">
                  <c:v>MŠVVŠ SR</c:v>
                </c:pt>
                <c:pt idx="6">
                  <c:v>MZ SR</c:v>
                </c:pt>
                <c:pt idx="7">
                  <c:v>MD SR</c:v>
                </c:pt>
                <c:pt idx="8">
                  <c:v>MH SR</c:v>
                </c:pt>
                <c:pt idx="9">
                  <c:v>MIRRI SR</c:v>
                </c:pt>
                <c:pt idx="10">
                  <c:v>ÚV SR</c:v>
                </c:pt>
                <c:pt idx="11">
                  <c:v>MŽP SR</c:v>
                </c:pt>
                <c:pt idx="12">
                  <c:v>MPRV SR</c:v>
                </c:pt>
              </c:strCache>
            </c:strRef>
          </c:cat>
          <c:val>
            <c:numRef>
              <c:f>Hárok1!$C$2:$C$14</c:f>
              <c:numCache>
                <c:formatCode>General</c:formatCode>
                <c:ptCount val="13"/>
                <c:pt idx="0">
                  <c:v>0.53278628880878132</c:v>
                </c:pt>
                <c:pt idx="1">
                  <c:v>0.61038892765807662</c:v>
                </c:pt>
                <c:pt idx="2">
                  <c:v>2.9056002255338438</c:v>
                </c:pt>
                <c:pt idx="3">
                  <c:v>3.0516722035586801</c:v>
                </c:pt>
                <c:pt idx="4">
                  <c:v>4.7720969738047181</c:v>
                </c:pt>
                <c:pt idx="5">
                  <c:v>2.8762463533206595</c:v>
                </c:pt>
                <c:pt idx="6">
                  <c:v>9.1599038615814212</c:v>
                </c:pt>
                <c:pt idx="7">
                  <c:v>16.057592401913194</c:v>
                </c:pt>
                <c:pt idx="8">
                  <c:v>39.692213079235117</c:v>
                </c:pt>
                <c:pt idx="9">
                  <c:v>54.585651191607795</c:v>
                </c:pt>
                <c:pt idx="10">
                  <c:v>84.892161483042315</c:v>
                </c:pt>
                <c:pt idx="11">
                  <c:v>67.04327519646192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84-4175-84A2-FB938305C7F7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ŠR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Hárok1!$A$2:$A$14</c:f>
              <c:strCache>
                <c:ptCount val="13"/>
                <c:pt idx="0">
                  <c:v>MF SR</c:v>
                </c:pt>
                <c:pt idx="1">
                  <c:v>MPSVR SR</c:v>
                </c:pt>
                <c:pt idx="2">
                  <c:v>MS SR</c:v>
                </c:pt>
                <c:pt idx="3">
                  <c:v>MV SR</c:v>
                </c:pt>
                <c:pt idx="4">
                  <c:v>ÚVO</c:v>
                </c:pt>
                <c:pt idx="5">
                  <c:v>MŠVVŠ SR</c:v>
                </c:pt>
                <c:pt idx="6">
                  <c:v>MZ SR</c:v>
                </c:pt>
                <c:pt idx="7">
                  <c:v>MD SR</c:v>
                </c:pt>
                <c:pt idx="8">
                  <c:v>MH SR</c:v>
                </c:pt>
                <c:pt idx="9">
                  <c:v>MIRRI SR</c:v>
                </c:pt>
                <c:pt idx="10">
                  <c:v>ÚV SR</c:v>
                </c:pt>
                <c:pt idx="11">
                  <c:v>MŽP SR</c:v>
                </c:pt>
                <c:pt idx="12">
                  <c:v>MPRV SR</c:v>
                </c:pt>
              </c:strCache>
            </c:strRef>
          </c:cat>
          <c:val>
            <c:numRef>
              <c:f>Hárok1!$D$2:$D$14</c:f>
              <c:numCache>
                <c:formatCode>General</c:formatCode>
                <c:ptCount val="13"/>
                <c:pt idx="0">
                  <c:v>99.467213711191221</c:v>
                </c:pt>
                <c:pt idx="1">
                  <c:v>98.561369348017209</c:v>
                </c:pt>
                <c:pt idx="2">
                  <c:v>97.094399774466154</c:v>
                </c:pt>
                <c:pt idx="3">
                  <c:v>95.898920050205106</c:v>
                </c:pt>
                <c:pt idx="4">
                  <c:v>95.227903026195278</c:v>
                </c:pt>
                <c:pt idx="5">
                  <c:v>94.321493287383504</c:v>
                </c:pt>
                <c:pt idx="6">
                  <c:v>90.840096138418573</c:v>
                </c:pt>
                <c:pt idx="7">
                  <c:v>78.952428709979614</c:v>
                </c:pt>
                <c:pt idx="8">
                  <c:v>31.940303079345711</c:v>
                </c:pt>
                <c:pt idx="9">
                  <c:v>15.936790437954983</c:v>
                </c:pt>
                <c:pt idx="10">
                  <c:v>15.107838516957685</c:v>
                </c:pt>
                <c:pt idx="11">
                  <c:v>9.9072902773993547</c:v>
                </c:pt>
                <c:pt idx="12">
                  <c:v>8.3463184104461021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84-4175-84A2-FB938305C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041350288"/>
        <c:axId val="1041354032"/>
      </c:barChart>
      <c:catAx>
        <c:axId val="1041350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sk-SK"/>
          </a:p>
        </c:txPr>
        <c:crossAx val="1041354032"/>
        <c:crosses val="autoZero"/>
        <c:auto val="1"/>
        <c:lblAlgn val="ctr"/>
        <c:lblOffset val="100"/>
        <c:noMultiLvlLbl val="0"/>
      </c:catAx>
      <c:valAx>
        <c:axId val="1041354032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 sz="800">
                    <a:solidFill>
                      <a:schemeClr val="tx2"/>
                    </a:solidFill>
                    <a:latin typeface="Segoe UI" panose="020B0502040204020203" pitchFamily="34" charset="0"/>
                    <a:cs typeface="Segoe UI" panose="020B0502040204020203" pitchFamily="34" charset="0"/>
                  </a:rPr>
                  <a:t>v %</a:t>
                </a:r>
              </a:p>
            </c:rich>
          </c:tx>
          <c:layout>
            <c:manualLayout>
              <c:xMode val="edge"/>
              <c:yMode val="edge"/>
              <c:x val="0.46979283839520058"/>
              <c:y val="0.803685952299440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sk-SK"/>
          </a:p>
        </c:txPr>
        <c:crossAx val="104135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89198919579497"/>
          <c:y val="0.88687764732733221"/>
          <c:w val="0.17554628588093155"/>
          <c:h val="8.75469051023353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'RO PO a zamestnanci'!$B$4</c:f>
              <c:strCache>
                <c:ptCount val="1"/>
                <c:pt idx="0">
                  <c:v>štátne RO - počet</c:v>
                </c:pt>
              </c:strCache>
            </c:strRef>
          </c:tx>
          <c:spPr>
            <a:solidFill>
              <a:schemeClr val="bg2"/>
            </a:solidFill>
            <a:ln>
              <a:noFill/>
            </a:ln>
            <a:effectLst/>
          </c:spPr>
          <c:invertIfNegative val="0"/>
          <c:cat>
            <c:strRef>
              <c:f>'RO PO a zamestnanci'!$C$3:$K$3</c:f>
              <c:strCach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2023*</c:v>
                </c:pt>
              </c:strCache>
            </c:strRef>
          </c:cat>
          <c:val>
            <c:numRef>
              <c:f>'RO PO a zamestnanci'!$C$4:$K$4</c:f>
              <c:numCache>
                <c:formatCode>General</c:formatCode>
                <c:ptCount val="9"/>
                <c:pt idx="0">
                  <c:v>707</c:v>
                </c:pt>
                <c:pt idx="1">
                  <c:v>706</c:v>
                </c:pt>
                <c:pt idx="2">
                  <c:v>701</c:v>
                </c:pt>
                <c:pt idx="3">
                  <c:v>688</c:v>
                </c:pt>
                <c:pt idx="4">
                  <c:v>683</c:v>
                </c:pt>
                <c:pt idx="5">
                  <c:v>677</c:v>
                </c:pt>
                <c:pt idx="6">
                  <c:v>677</c:v>
                </c:pt>
                <c:pt idx="7">
                  <c:v>665</c:v>
                </c:pt>
                <c:pt idx="8">
                  <c:v>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D-424B-AD6B-265FB980D4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00765375"/>
        <c:axId val="900766207"/>
      </c:barChart>
      <c:lineChart>
        <c:grouping val="standard"/>
        <c:varyColors val="0"/>
        <c:ser>
          <c:idx val="1"/>
          <c:order val="1"/>
          <c:tx>
            <c:strRef>
              <c:f>'RO PO a zamestnanci'!$B$5</c:f>
              <c:strCache>
                <c:ptCount val="1"/>
                <c:pt idx="0">
                  <c:v>zamestnanci štátnych RO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tx2"/>
              </a:solidFill>
              <a:ln w="9525">
                <a:solidFill>
                  <a:schemeClr val="tx2"/>
                </a:solidFill>
              </a:ln>
              <a:effectLst/>
            </c:spPr>
          </c:marker>
          <c:cat>
            <c:strRef>
              <c:f>'RO PO a zamestnanci'!$C$3:$K$3</c:f>
              <c:strCach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2023*</c:v>
                </c:pt>
              </c:strCache>
            </c:strRef>
          </c:cat>
          <c:val>
            <c:numRef>
              <c:f>'RO PO a zamestnanci'!$C$5:$K$5</c:f>
              <c:numCache>
                <c:formatCode>General</c:formatCode>
                <c:ptCount val="9"/>
                <c:pt idx="0">
                  <c:v>124198</c:v>
                </c:pt>
                <c:pt idx="1">
                  <c:v>123152</c:v>
                </c:pt>
                <c:pt idx="2">
                  <c:v>123015</c:v>
                </c:pt>
                <c:pt idx="3">
                  <c:v>123056</c:v>
                </c:pt>
                <c:pt idx="4">
                  <c:v>124214</c:v>
                </c:pt>
                <c:pt idx="5">
                  <c:v>125574</c:v>
                </c:pt>
                <c:pt idx="6">
                  <c:v>124257</c:v>
                </c:pt>
                <c:pt idx="7">
                  <c:v>122975</c:v>
                </c:pt>
                <c:pt idx="8">
                  <c:v>128662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3D-424B-AD6B-265FB980D4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5852831"/>
        <c:axId val="1465854495"/>
      </c:lineChart>
      <c:catAx>
        <c:axId val="900765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sk-SK"/>
          </a:p>
        </c:txPr>
        <c:crossAx val="900766207"/>
        <c:crosses val="autoZero"/>
        <c:auto val="1"/>
        <c:lblAlgn val="ctr"/>
        <c:lblOffset val="100"/>
        <c:noMultiLvlLbl val="0"/>
      </c:catAx>
      <c:valAx>
        <c:axId val="900766207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sk-SK"/>
          </a:p>
        </c:txPr>
        <c:crossAx val="900765375"/>
        <c:crosses val="autoZero"/>
        <c:crossBetween val="between"/>
        <c:majorUnit val="200"/>
      </c:valAx>
      <c:valAx>
        <c:axId val="1465854495"/>
        <c:scaling>
          <c:orientation val="minMax"/>
          <c:min val="60000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sk-SK"/>
          </a:p>
        </c:txPr>
        <c:crossAx val="1465852831"/>
        <c:crosses val="max"/>
        <c:crossBetween val="between"/>
        <c:majorUnit val="20000"/>
      </c:valAx>
      <c:catAx>
        <c:axId val="146585283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6585449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2"/>
          </a:solidFill>
          <a:latin typeface="Segoe UI" panose="020B0502040204020203" pitchFamily="34" charset="0"/>
          <a:cs typeface="Segoe UI" panose="020B0502040204020203" pitchFamily="34" charset="0"/>
        </a:defRPr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FA9320A03148E98EF733F7A917AE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F649BF-7601-4D14-95D7-FEA20E0734E3}"/>
      </w:docPartPr>
      <w:docPartBody>
        <w:p w:rsidR="00F869BD" w:rsidRDefault="000B5EA4">
          <w:pPr>
            <w:pStyle w:val="4CFA9320A03148E98EF733F7A917AECF"/>
          </w:pPr>
          <w:r w:rsidRPr="00F539EB">
            <w:t>Názov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A4"/>
    <w:rsid w:val="000155BB"/>
    <w:rsid w:val="00025698"/>
    <w:rsid w:val="00026327"/>
    <w:rsid w:val="00051058"/>
    <w:rsid w:val="00051587"/>
    <w:rsid w:val="00074BF0"/>
    <w:rsid w:val="000753FB"/>
    <w:rsid w:val="000757F3"/>
    <w:rsid w:val="000779F4"/>
    <w:rsid w:val="0008392F"/>
    <w:rsid w:val="00090411"/>
    <w:rsid w:val="00095B24"/>
    <w:rsid w:val="000B5EA4"/>
    <w:rsid w:val="000D221B"/>
    <w:rsid w:val="000E0014"/>
    <w:rsid w:val="000F2519"/>
    <w:rsid w:val="001068C9"/>
    <w:rsid w:val="001341D1"/>
    <w:rsid w:val="001510FC"/>
    <w:rsid w:val="00161F43"/>
    <w:rsid w:val="001702EC"/>
    <w:rsid w:val="00173F9A"/>
    <w:rsid w:val="001A3F0F"/>
    <w:rsid w:val="001B2297"/>
    <w:rsid w:val="001C1755"/>
    <w:rsid w:val="001C3668"/>
    <w:rsid w:val="001D407D"/>
    <w:rsid w:val="001E101E"/>
    <w:rsid w:val="00200D05"/>
    <w:rsid w:val="00206384"/>
    <w:rsid w:val="0022539B"/>
    <w:rsid w:val="00245E84"/>
    <w:rsid w:val="002636A4"/>
    <w:rsid w:val="002A281C"/>
    <w:rsid w:val="002A6B14"/>
    <w:rsid w:val="002B3011"/>
    <w:rsid w:val="002E2938"/>
    <w:rsid w:val="002F18B5"/>
    <w:rsid w:val="002F3D7E"/>
    <w:rsid w:val="00300EBA"/>
    <w:rsid w:val="003114CE"/>
    <w:rsid w:val="00320C18"/>
    <w:rsid w:val="0032329F"/>
    <w:rsid w:val="0033071D"/>
    <w:rsid w:val="003602D9"/>
    <w:rsid w:val="003613A8"/>
    <w:rsid w:val="003F6E9C"/>
    <w:rsid w:val="00417AA4"/>
    <w:rsid w:val="00426F67"/>
    <w:rsid w:val="004D3EE4"/>
    <w:rsid w:val="004D5093"/>
    <w:rsid w:val="004F2A25"/>
    <w:rsid w:val="004F6F21"/>
    <w:rsid w:val="004F6F4A"/>
    <w:rsid w:val="00503020"/>
    <w:rsid w:val="005063DA"/>
    <w:rsid w:val="00542D8C"/>
    <w:rsid w:val="00555DF4"/>
    <w:rsid w:val="005609D7"/>
    <w:rsid w:val="005A2F95"/>
    <w:rsid w:val="005A6CD2"/>
    <w:rsid w:val="005B3EF0"/>
    <w:rsid w:val="005C3A79"/>
    <w:rsid w:val="00605AC0"/>
    <w:rsid w:val="00637F6A"/>
    <w:rsid w:val="00652CEF"/>
    <w:rsid w:val="006826E8"/>
    <w:rsid w:val="006850A5"/>
    <w:rsid w:val="007153BF"/>
    <w:rsid w:val="00717F15"/>
    <w:rsid w:val="0073760A"/>
    <w:rsid w:val="00785750"/>
    <w:rsid w:val="007B09B5"/>
    <w:rsid w:val="007E35BF"/>
    <w:rsid w:val="0082313E"/>
    <w:rsid w:val="00830374"/>
    <w:rsid w:val="00856A38"/>
    <w:rsid w:val="00857BE3"/>
    <w:rsid w:val="00866161"/>
    <w:rsid w:val="00875292"/>
    <w:rsid w:val="0088295B"/>
    <w:rsid w:val="008874F2"/>
    <w:rsid w:val="008A0161"/>
    <w:rsid w:val="008C7E9E"/>
    <w:rsid w:val="008D2D53"/>
    <w:rsid w:val="008F3D9C"/>
    <w:rsid w:val="0090442D"/>
    <w:rsid w:val="00914754"/>
    <w:rsid w:val="00915D3A"/>
    <w:rsid w:val="009C4458"/>
    <w:rsid w:val="00A36ADA"/>
    <w:rsid w:val="00A40856"/>
    <w:rsid w:val="00A43229"/>
    <w:rsid w:val="00A43C2B"/>
    <w:rsid w:val="00A62144"/>
    <w:rsid w:val="00A65A7E"/>
    <w:rsid w:val="00A76514"/>
    <w:rsid w:val="00AE1F00"/>
    <w:rsid w:val="00AE27B6"/>
    <w:rsid w:val="00AF1584"/>
    <w:rsid w:val="00B648A8"/>
    <w:rsid w:val="00B76CE5"/>
    <w:rsid w:val="00B86EC0"/>
    <w:rsid w:val="00BC4C5D"/>
    <w:rsid w:val="00BC5681"/>
    <w:rsid w:val="00BC5B29"/>
    <w:rsid w:val="00BE72F9"/>
    <w:rsid w:val="00BF39BF"/>
    <w:rsid w:val="00C00643"/>
    <w:rsid w:val="00C060B5"/>
    <w:rsid w:val="00C1534B"/>
    <w:rsid w:val="00C1583C"/>
    <w:rsid w:val="00C60099"/>
    <w:rsid w:val="00C660D1"/>
    <w:rsid w:val="00CB5BC2"/>
    <w:rsid w:val="00CF5732"/>
    <w:rsid w:val="00D34DF9"/>
    <w:rsid w:val="00D53BA6"/>
    <w:rsid w:val="00D76FEE"/>
    <w:rsid w:val="00D84196"/>
    <w:rsid w:val="00DA664B"/>
    <w:rsid w:val="00DF3852"/>
    <w:rsid w:val="00E63F4D"/>
    <w:rsid w:val="00E84930"/>
    <w:rsid w:val="00EA4551"/>
    <w:rsid w:val="00EE0899"/>
    <w:rsid w:val="00F351AD"/>
    <w:rsid w:val="00F46DEB"/>
    <w:rsid w:val="00F51A6E"/>
    <w:rsid w:val="00F668C5"/>
    <w:rsid w:val="00F72812"/>
    <w:rsid w:val="00F85475"/>
    <w:rsid w:val="00F869BD"/>
    <w:rsid w:val="00FB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CFA9320A03148E98EF733F7A917AECF">
    <w:name w:val="4CFA9320A03148E98EF733F7A917AECF"/>
  </w:style>
  <w:style w:type="paragraph" w:customStyle="1" w:styleId="638D3FBF853047F4884D2C6F99BBF025">
    <w:name w:val="638D3FBF853047F4884D2C6F99BBF025"/>
    <w:rsid w:val="00915D3A"/>
  </w:style>
  <w:style w:type="paragraph" w:customStyle="1" w:styleId="528060612E6C45EFB01AA622802816BB">
    <w:name w:val="528060612E6C45EFB01AA622802816BB"/>
    <w:rsid w:val="00915D3A"/>
  </w:style>
  <w:style w:type="paragraph" w:customStyle="1" w:styleId="6184F4EE737B4A10A86411EE59B693AC">
    <w:name w:val="6184F4EE737B4A10A86411EE59B693AC"/>
    <w:rsid w:val="00915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NKÚ SR">
      <a:dk1>
        <a:sysClr val="windowText" lastClr="000000"/>
      </a:dk1>
      <a:lt1>
        <a:sysClr val="window" lastClr="FFFFFF"/>
      </a:lt1>
      <a:dk2>
        <a:srgbClr val="314364"/>
      </a:dk2>
      <a:lt2>
        <a:srgbClr val="9CB9EC"/>
      </a:lt2>
      <a:accent1>
        <a:srgbClr val="314364"/>
      </a:accent1>
      <a:accent2>
        <a:srgbClr val="9CB9EC"/>
      </a:accent2>
      <a:accent3>
        <a:srgbClr val="6D87B7"/>
      </a:accent3>
      <a:accent4>
        <a:srgbClr val="B3BECF"/>
      </a:accent4>
      <a:accent5>
        <a:srgbClr val="B7706D"/>
      </a:accent5>
      <a:accent6>
        <a:srgbClr val="F55647"/>
      </a:accent6>
      <a:hlink>
        <a:srgbClr val="314364"/>
      </a:hlink>
      <a:folHlink>
        <a:srgbClr val="31436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KÚ">
    <a:dk1>
      <a:sysClr val="windowText" lastClr="000000"/>
    </a:dk1>
    <a:lt1>
      <a:sysClr val="window" lastClr="FFFFFF"/>
    </a:lt1>
    <a:dk2>
      <a:srgbClr val="314364"/>
    </a:dk2>
    <a:lt2>
      <a:srgbClr val="9CB9EC"/>
    </a:lt2>
    <a:accent1>
      <a:srgbClr val="314364"/>
    </a:accent1>
    <a:accent2>
      <a:srgbClr val="9CB9EC"/>
    </a:accent2>
    <a:accent3>
      <a:srgbClr val="6D87B7"/>
    </a:accent3>
    <a:accent4>
      <a:srgbClr val="B3BECF"/>
    </a:accent4>
    <a:accent5>
      <a:srgbClr val="B7706D"/>
    </a:accent5>
    <a:accent6>
      <a:srgbClr val="F55647"/>
    </a:accent6>
    <a:hlink>
      <a:srgbClr val="314364"/>
    </a:hlink>
    <a:folHlink>
      <a:srgbClr val="314364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615DB-CD59-4E02-B559-52466B83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Stanovisko OSA.dotx</Template>
  <TotalTime>33</TotalTime>
  <Pages>13</Pages>
  <Words>4097</Words>
  <Characters>23359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Onisik Milan</dc:creator>
  <cp:keywords/>
  <dc:description/>
  <cp:lastModifiedBy>Juriová Jana</cp:lastModifiedBy>
  <cp:revision>14</cp:revision>
  <cp:lastPrinted>2023-11-06T10:01:00Z</cp:lastPrinted>
  <dcterms:created xsi:type="dcterms:W3CDTF">2023-11-06T07:46:00Z</dcterms:created>
  <dcterms:modified xsi:type="dcterms:W3CDTF">2023-11-06T10:04:00Z</dcterms:modified>
</cp:coreProperties>
</file>