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918" w:rsidRPr="004C7EC8" w:rsidRDefault="00AF4CC1" w:rsidP="00547911">
      <w:pPr>
        <w:pStyle w:val="Zarkazkladnhotextu2"/>
        <w:spacing w:line="240" w:lineRule="auto"/>
        <w:ind w:left="-181"/>
        <w:jc w:val="center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Návrh rozpočtu Sociálnej poisťovne </w:t>
      </w:r>
      <w:r w:rsidR="00BA63ED" w:rsidRPr="004C7EC8">
        <w:rPr>
          <w:rFonts w:ascii="Times New Roman" w:hAnsi="Times New Roman"/>
          <w:b/>
          <w:szCs w:val="24"/>
        </w:rPr>
        <w:t xml:space="preserve">na rok </w:t>
      </w:r>
      <w:r w:rsidR="009136D8">
        <w:rPr>
          <w:rFonts w:ascii="Times New Roman" w:hAnsi="Times New Roman"/>
          <w:b/>
          <w:szCs w:val="24"/>
        </w:rPr>
        <w:t>2024</w:t>
      </w:r>
      <w:r w:rsidR="00BA63ED" w:rsidRPr="004C7EC8">
        <w:rPr>
          <w:rFonts w:ascii="Times New Roman" w:hAnsi="Times New Roman"/>
          <w:b/>
          <w:szCs w:val="24"/>
        </w:rPr>
        <w:br/>
        <w:t xml:space="preserve"> a rozpočtový výhľad</w:t>
      </w:r>
      <w:r w:rsidR="00A11918" w:rsidRPr="004C7EC8">
        <w:rPr>
          <w:rFonts w:ascii="Times New Roman" w:hAnsi="Times New Roman"/>
          <w:b/>
          <w:szCs w:val="24"/>
        </w:rPr>
        <w:t xml:space="preserve"> na roky </w:t>
      </w:r>
      <w:r w:rsidR="009136D8">
        <w:rPr>
          <w:rFonts w:ascii="Times New Roman" w:hAnsi="Times New Roman"/>
          <w:b/>
          <w:szCs w:val="24"/>
        </w:rPr>
        <w:t>2025</w:t>
      </w:r>
      <w:r w:rsidR="00BA63ED" w:rsidRPr="004C7EC8">
        <w:rPr>
          <w:rFonts w:ascii="Times New Roman" w:hAnsi="Times New Roman"/>
          <w:b/>
          <w:szCs w:val="24"/>
        </w:rPr>
        <w:t xml:space="preserve"> a</w:t>
      </w:r>
      <w:r w:rsidR="006C0F88" w:rsidRPr="004C7EC8">
        <w:rPr>
          <w:rFonts w:ascii="Times New Roman" w:hAnsi="Times New Roman"/>
          <w:b/>
          <w:szCs w:val="24"/>
        </w:rPr>
        <w:t> </w:t>
      </w:r>
      <w:r w:rsidR="009136D8">
        <w:rPr>
          <w:rFonts w:ascii="Times New Roman" w:hAnsi="Times New Roman"/>
          <w:b/>
          <w:szCs w:val="24"/>
        </w:rPr>
        <w:t>2026</w:t>
      </w:r>
      <w:r w:rsidR="00A11918" w:rsidRPr="004C7EC8">
        <w:rPr>
          <w:rFonts w:ascii="Times New Roman" w:hAnsi="Times New Roman"/>
          <w:b/>
          <w:szCs w:val="24"/>
        </w:rPr>
        <w:t xml:space="preserve"> </w:t>
      </w:r>
    </w:p>
    <w:p w:rsidR="009E1B44" w:rsidRPr="00F607AC" w:rsidRDefault="009E1B44" w:rsidP="009E1B44">
      <w:pPr>
        <w:spacing w:before="240" w:after="120"/>
        <w:ind w:firstLine="709"/>
        <w:jc w:val="both"/>
        <w:rPr>
          <w:rFonts w:ascii="Times New Roman" w:hAnsi="Times New Roman"/>
        </w:rPr>
      </w:pPr>
      <w:r w:rsidRPr="00F607AC">
        <w:rPr>
          <w:rFonts w:ascii="Times New Roman" w:hAnsi="Times New Roman"/>
        </w:rPr>
        <w:t xml:space="preserve">Návrh rozpočtu Sociálnej poisťovne na rok 2024 a rozpočtový výhľad na roky 2025 a 2026 (ďalej len „návrh rozpočtu na rok 2024“) je zostavený v podmienkach </w:t>
      </w:r>
      <w:r w:rsidRPr="00F607AC">
        <w:rPr>
          <w:rFonts w:ascii="Times New Roman" w:hAnsi="Times New Roman"/>
          <w:szCs w:val="24"/>
        </w:rPr>
        <w:t>zákona č. 461/2003 Z. z. o sociálnom poistení v znení neskorších predpisov (ďalej len „zákon o sociálnom poistení“)</w:t>
      </w:r>
      <w:r w:rsidRPr="00F607AC">
        <w:rPr>
          <w:rFonts w:ascii="Times New Roman" w:hAnsi="Times New Roman"/>
        </w:rPr>
        <w:t xml:space="preserve"> účinných k termínu spracovávania materiálu. </w:t>
      </w:r>
    </w:p>
    <w:p w:rsidR="009E1B44" w:rsidRPr="00F607AC" w:rsidRDefault="009E1B44" w:rsidP="009E1B44">
      <w:pPr>
        <w:spacing w:before="240" w:after="120"/>
        <w:ind w:firstLine="709"/>
        <w:jc w:val="both"/>
        <w:rPr>
          <w:rFonts w:ascii="Times New Roman" w:hAnsi="Times New Roman"/>
        </w:rPr>
      </w:pPr>
      <w:r w:rsidRPr="00F607AC">
        <w:rPr>
          <w:rFonts w:ascii="Times New Roman" w:hAnsi="Times New Roman"/>
        </w:rPr>
        <w:t xml:space="preserve">V materiáli </w:t>
      </w:r>
      <w:r w:rsidRPr="00345CEA">
        <w:rPr>
          <w:rFonts w:ascii="Times New Roman" w:hAnsi="Times New Roman"/>
        </w:rPr>
        <w:t>sú v zmysle čl.5, odseku 9 ústavného zákona č. 493/2011 Z.</w:t>
      </w:r>
      <w:r w:rsidR="00F56ED7">
        <w:rPr>
          <w:rFonts w:ascii="Times New Roman" w:hAnsi="Times New Roman"/>
        </w:rPr>
        <w:t xml:space="preserve"> </w:t>
      </w:r>
      <w:r w:rsidRPr="00345CEA">
        <w:rPr>
          <w:rFonts w:ascii="Times New Roman" w:hAnsi="Times New Roman"/>
        </w:rPr>
        <w:t>z. zapracované príjmy a výdavky vychádzajúce z tabuľky 5 prílohy Vládou SR schváleného Návrhu rozpočtu verejnej správy na roky 2024 až 2026</w:t>
      </w:r>
      <w:r>
        <w:rPr>
          <w:rFonts w:ascii="Times New Roman" w:hAnsi="Times New Roman"/>
        </w:rPr>
        <w:t xml:space="preserve">. </w:t>
      </w:r>
    </w:p>
    <w:p w:rsidR="009E1B44" w:rsidRPr="00F607AC" w:rsidRDefault="009E1B44" w:rsidP="009E1B44">
      <w:pPr>
        <w:spacing w:before="240" w:after="120"/>
        <w:ind w:firstLine="709"/>
        <w:jc w:val="both"/>
        <w:rPr>
          <w:rFonts w:ascii="Times New Roman" w:hAnsi="Times New Roman"/>
        </w:rPr>
      </w:pPr>
      <w:r w:rsidRPr="00F607AC">
        <w:rPr>
          <w:rFonts w:ascii="Times New Roman" w:hAnsi="Times New Roman"/>
        </w:rPr>
        <w:t xml:space="preserve">Návrh rozpočtu Sociálnej poisťovne na rok 2024 </w:t>
      </w:r>
      <w:r w:rsidRPr="00F607AC">
        <w:rPr>
          <w:rFonts w:ascii="Times New Roman" w:hAnsi="Times New Roman"/>
          <w:szCs w:val="24"/>
        </w:rPr>
        <w:t xml:space="preserve">a rozpočtový výhľad na roky 2025 a 2026  </w:t>
      </w:r>
      <w:r w:rsidRPr="00F607AC">
        <w:rPr>
          <w:rFonts w:ascii="Times New Roman" w:hAnsi="Times New Roman"/>
        </w:rPr>
        <w:t>v podrobnom členení je uvedený v prílohe č. 1, v metodike ESA 2010 v príl</w:t>
      </w:r>
      <w:bookmarkStart w:id="0" w:name="_GoBack"/>
      <w:bookmarkEnd w:id="0"/>
      <w:r w:rsidRPr="00F607AC">
        <w:rPr>
          <w:rFonts w:ascii="Times New Roman" w:hAnsi="Times New Roman"/>
        </w:rPr>
        <w:t xml:space="preserve">ohe č. 1a  a podľa ekonomickej klasifikácie v prílohe č. 2. </w:t>
      </w:r>
      <w:r w:rsidRPr="00F607AC">
        <w:rPr>
          <w:rFonts w:ascii="Times New Roman" w:hAnsi="Times New Roman"/>
          <w:szCs w:val="24"/>
        </w:rPr>
        <w:t>Návrh rozpočtu výdavkov základných fondov Sociálnej poisťovne na rok 2024 a rozpočtový výhľad na roky 2025 a 2026 podľa rozpočtovej klasifikácie je uvedený v prílohe č. 3 a návrh rozpočtu správneho fondu na rok 2024 a rozpočtový výhľad na roky 2025 a 2026  je uvedený v prílohe č. 4.</w:t>
      </w:r>
    </w:p>
    <w:p w:rsidR="00F11721" w:rsidRPr="004C7EC8" w:rsidRDefault="00675566" w:rsidP="004C7EC8">
      <w:pPr>
        <w:pStyle w:val="Odsekzoznamu"/>
        <w:numPr>
          <w:ilvl w:val="0"/>
          <w:numId w:val="28"/>
        </w:numPr>
        <w:spacing w:before="240" w:after="120"/>
        <w:ind w:left="709" w:hanging="709"/>
        <w:contextualSpacing w:val="0"/>
        <w:jc w:val="both"/>
        <w:rPr>
          <w:rFonts w:ascii="Times New Roman" w:hAnsi="Times New Roman"/>
          <w:b/>
        </w:rPr>
      </w:pPr>
      <w:r w:rsidRPr="004C7EC8">
        <w:rPr>
          <w:rFonts w:ascii="Times New Roman" w:hAnsi="Times New Roman"/>
          <w:b/>
        </w:rPr>
        <w:t xml:space="preserve">Očakávané výsledky hospodárenia Sociálnej poisťovne v roku </w:t>
      </w:r>
      <w:r w:rsidR="009136D8">
        <w:rPr>
          <w:rFonts w:ascii="Times New Roman" w:hAnsi="Times New Roman"/>
          <w:b/>
        </w:rPr>
        <w:t>2023</w:t>
      </w:r>
    </w:p>
    <w:p w:rsidR="00F11721" w:rsidRDefault="00F11721" w:rsidP="000F3AC5">
      <w:pPr>
        <w:spacing w:before="12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Príjmy</w:t>
      </w:r>
      <w:r w:rsidRPr="004C7EC8">
        <w:rPr>
          <w:rFonts w:ascii="Times New Roman" w:hAnsi="Times New Roman"/>
          <w:szCs w:val="24"/>
        </w:rPr>
        <w:t xml:space="preserve"> Sociálnej poisťovne sa </w:t>
      </w:r>
      <w:r w:rsidRPr="004C7EC8">
        <w:rPr>
          <w:rFonts w:ascii="Times New Roman" w:hAnsi="Times New Roman"/>
          <w:b/>
          <w:szCs w:val="24"/>
        </w:rPr>
        <w:t xml:space="preserve">v roku </w:t>
      </w:r>
      <w:r w:rsidR="009136D8">
        <w:rPr>
          <w:rFonts w:ascii="Times New Roman" w:hAnsi="Times New Roman"/>
          <w:b/>
          <w:szCs w:val="24"/>
        </w:rPr>
        <w:t>2023</w:t>
      </w:r>
      <w:r w:rsidRPr="004C7EC8">
        <w:rPr>
          <w:rFonts w:ascii="Times New Roman" w:hAnsi="Times New Roman"/>
          <w:b/>
          <w:szCs w:val="24"/>
        </w:rPr>
        <w:t xml:space="preserve"> očakávajú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9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876"/>
        <w:gridCol w:w="1976"/>
        <w:gridCol w:w="1656"/>
      </w:tblGrid>
      <w:tr w:rsidR="00961CB0" w:rsidRPr="00961CB0" w:rsidTr="002E3AEA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961CB0" w:rsidRPr="00961CB0" w:rsidTr="002E3AEA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3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Rok 2023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Rozdiel 2-1</w:t>
            </w:r>
          </w:p>
        </w:tc>
      </w:tr>
      <w:tr w:rsidR="00961CB0" w:rsidRPr="00961CB0" w:rsidTr="002E3AEA"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Schválený rozpočet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CB0" w:rsidRPr="00961CB0" w:rsidRDefault="00961CB0" w:rsidP="00961CB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61CB0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CB0" w:rsidRPr="00961CB0" w:rsidRDefault="00961CB0" w:rsidP="00961CB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144161" w:rsidRPr="00961CB0" w:rsidTr="006C543F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b/>
                <w:bCs/>
                <w:sz w:val="22"/>
                <w:szCs w:val="22"/>
              </w:rPr>
              <w:t>Zdroje celkom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4161">
              <w:rPr>
                <w:rFonts w:ascii="Times New Roman" w:hAnsi="Times New Roman"/>
                <w:b/>
                <w:bCs/>
                <w:sz w:val="22"/>
                <w:szCs w:val="22"/>
              </w:rPr>
              <w:t>11 900 735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4161">
              <w:rPr>
                <w:rFonts w:ascii="Times New Roman" w:hAnsi="Times New Roman"/>
                <w:b/>
                <w:bCs/>
                <w:sz w:val="22"/>
                <w:szCs w:val="22"/>
              </w:rPr>
              <w:t>12 757 927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144161">
              <w:rPr>
                <w:rFonts w:ascii="Times New Roman" w:hAnsi="Times New Roman"/>
                <w:b/>
                <w:bCs/>
                <w:sz w:val="22"/>
                <w:szCs w:val="22"/>
              </w:rPr>
              <w:t>857 192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1 140 422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1 050 952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-89 470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10 760 313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11 706 975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946 662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 bežného poistného od ekonomicky aktívneho obyvateľstva (EAO)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10 100 239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9 957 181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-143 058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poistné podľa osobitného predpisu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1 370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1 393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 poistného od štátu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402 398</w:t>
            </w:r>
          </w:p>
        </w:tc>
        <w:tc>
          <w:tcPr>
            <w:tcW w:w="1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397 036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-5 362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od Sociálnej poisťovne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4 893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4 615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-278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z pokút a penál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12 586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5 047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144161">
              <w:rPr>
                <w:rFonts w:ascii="Times New Roman" w:hAnsi="Times New Roman"/>
                <w:i/>
                <w:iCs/>
                <w:sz w:val="22"/>
                <w:szCs w:val="22"/>
              </w:rPr>
              <w:t>-7 539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 xml:space="preserve">príjmy z dlžného poistného 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201 145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237 010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35 865</w:t>
            </w:r>
          </w:p>
        </w:tc>
      </w:tr>
      <w:tr w:rsidR="00144161" w:rsidRPr="00961CB0" w:rsidTr="002E3AE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 xml:space="preserve">ostatné príjmy 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24 136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1 092 431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1 068 295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961CB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štátneho rozpočtu SR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1 060 000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1 060 000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príspevky na starobné dôchodkové sporenie (SDS) zaplatené zamestnávateľom po uplynutí 60 dní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10 282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9 293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-989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správneho fondu z príspevkov na SDS  (EAO 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3 118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2 828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-290</w:t>
            </w:r>
          </w:p>
        </w:tc>
      </w:tr>
      <w:tr w:rsidR="00144161" w:rsidRPr="00961CB0" w:rsidTr="002E3AEA"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4161" w:rsidRPr="00961CB0" w:rsidRDefault="00144161" w:rsidP="00144161">
            <w:pPr>
              <w:rPr>
                <w:rFonts w:ascii="Times New Roman" w:hAnsi="Times New Roman"/>
                <w:sz w:val="22"/>
                <w:szCs w:val="22"/>
              </w:rPr>
            </w:pPr>
            <w:r w:rsidRPr="00961CB0">
              <w:rPr>
                <w:rFonts w:ascii="Times New Roman" w:hAnsi="Times New Roman"/>
                <w:sz w:val="22"/>
                <w:szCs w:val="22"/>
              </w:rPr>
              <w:t>príjmy správneho fondu z príspevkov na SDS (štát)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146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141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4161" w:rsidRPr="00144161" w:rsidRDefault="00144161" w:rsidP="00144161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144161">
              <w:rPr>
                <w:rFonts w:ascii="Times New Roman" w:hAnsi="Times New Roman"/>
                <w:sz w:val="22"/>
                <w:szCs w:val="22"/>
              </w:rPr>
              <w:t>-5</w:t>
            </w:r>
          </w:p>
        </w:tc>
      </w:tr>
    </w:tbl>
    <w:p w:rsidR="00961CB0" w:rsidRDefault="00961CB0" w:rsidP="00270573">
      <w:pPr>
        <w:spacing w:before="120"/>
        <w:jc w:val="both"/>
        <w:rPr>
          <w:rFonts w:ascii="Times New Roman" w:hAnsi="Times New Roman"/>
          <w:szCs w:val="24"/>
        </w:rPr>
      </w:pPr>
    </w:p>
    <w:p w:rsidR="00D92BF1" w:rsidRDefault="00DD06B6" w:rsidP="00181377">
      <w:pPr>
        <w:spacing w:after="120"/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V roku </w:t>
      </w:r>
      <w:r w:rsidR="009136D8">
        <w:rPr>
          <w:rFonts w:ascii="Times New Roman" w:eastAsia="Calibri" w:hAnsi="Times New Roman"/>
          <w:szCs w:val="24"/>
        </w:rPr>
        <w:t>2023</w:t>
      </w:r>
      <w:r w:rsidR="00D92BF1" w:rsidRPr="003F2313">
        <w:rPr>
          <w:rFonts w:ascii="Times New Roman" w:eastAsia="Calibri" w:hAnsi="Times New Roman"/>
          <w:szCs w:val="24"/>
        </w:rPr>
        <w:t xml:space="preserve"> sa očakáva vyššie plnenie rozpočtu príjmov </w:t>
      </w:r>
      <w:r w:rsidR="00D92BF1">
        <w:rPr>
          <w:rFonts w:ascii="Times New Roman" w:eastAsia="Calibri" w:hAnsi="Times New Roman"/>
          <w:szCs w:val="24"/>
        </w:rPr>
        <w:t>v bežnom roku o</w:t>
      </w:r>
      <w:r w:rsidR="00961CB0">
        <w:rPr>
          <w:rFonts w:ascii="Times New Roman" w:eastAsia="Calibri" w:hAnsi="Times New Roman"/>
          <w:szCs w:val="24"/>
        </w:rPr>
        <w:t> 8</w:t>
      </w:r>
      <w:r w:rsidR="00CE617B">
        <w:rPr>
          <w:rFonts w:ascii="Times New Roman" w:eastAsia="Calibri" w:hAnsi="Times New Roman"/>
          <w:szCs w:val="24"/>
        </w:rPr>
        <w:t>5</w:t>
      </w:r>
      <w:r w:rsidR="00961CB0">
        <w:rPr>
          <w:rFonts w:ascii="Times New Roman" w:eastAsia="Calibri" w:hAnsi="Times New Roman"/>
          <w:szCs w:val="24"/>
        </w:rPr>
        <w:t>7 </w:t>
      </w:r>
      <w:r w:rsidR="00CE617B">
        <w:rPr>
          <w:rFonts w:ascii="Times New Roman" w:eastAsia="Calibri" w:hAnsi="Times New Roman"/>
          <w:szCs w:val="24"/>
        </w:rPr>
        <w:t>192</w:t>
      </w:r>
      <w:r w:rsidR="00D92BF1">
        <w:rPr>
          <w:rFonts w:ascii="Times New Roman" w:eastAsia="Calibri" w:hAnsi="Times New Roman"/>
          <w:szCs w:val="24"/>
        </w:rPr>
        <w:t> </w:t>
      </w:r>
      <w:r w:rsidR="00D92BF1" w:rsidRPr="003F2313">
        <w:rPr>
          <w:rFonts w:ascii="Times New Roman" w:eastAsia="Calibri" w:hAnsi="Times New Roman"/>
          <w:szCs w:val="24"/>
        </w:rPr>
        <w:t>tis.</w:t>
      </w:r>
      <w:r w:rsidR="006A03F2">
        <w:rPr>
          <w:rFonts w:ascii="Times New Roman" w:eastAsia="Calibri" w:hAnsi="Times New Roman"/>
          <w:szCs w:val="24"/>
        </w:rPr>
        <w:t> eur</w:t>
      </w:r>
      <w:r w:rsidR="00D92BF1">
        <w:rPr>
          <w:rFonts w:ascii="Times New Roman" w:eastAsia="Calibri" w:hAnsi="Times New Roman"/>
          <w:szCs w:val="24"/>
        </w:rPr>
        <w:t xml:space="preserve">. Príjmy </w:t>
      </w:r>
      <w:r w:rsidR="00D92BF1" w:rsidRPr="003F2313">
        <w:rPr>
          <w:rFonts w:ascii="Times New Roman" w:eastAsia="Calibri" w:hAnsi="Times New Roman"/>
          <w:szCs w:val="24"/>
        </w:rPr>
        <w:t>z bežného poistného od EAO</w:t>
      </w:r>
      <w:r w:rsidR="00D92BF1">
        <w:rPr>
          <w:rFonts w:ascii="Times New Roman" w:eastAsia="Calibri" w:hAnsi="Times New Roman"/>
          <w:szCs w:val="24"/>
        </w:rPr>
        <w:t xml:space="preserve"> sa očakávajú </w:t>
      </w:r>
      <w:r w:rsidR="005D17E0">
        <w:rPr>
          <w:rFonts w:ascii="Times New Roman" w:eastAsia="Calibri" w:hAnsi="Times New Roman"/>
          <w:szCs w:val="24"/>
        </w:rPr>
        <w:t>nižšie</w:t>
      </w:r>
      <w:r w:rsidR="00D92BF1">
        <w:rPr>
          <w:rFonts w:ascii="Times New Roman" w:eastAsia="Calibri" w:hAnsi="Times New Roman"/>
          <w:szCs w:val="24"/>
        </w:rPr>
        <w:t xml:space="preserve"> o</w:t>
      </w:r>
      <w:r w:rsidR="00961CB0">
        <w:rPr>
          <w:rFonts w:ascii="Times New Roman" w:eastAsia="Calibri" w:hAnsi="Times New Roman"/>
          <w:szCs w:val="24"/>
        </w:rPr>
        <w:t> </w:t>
      </w:r>
      <w:r w:rsidR="00CE617B">
        <w:rPr>
          <w:rFonts w:ascii="Times New Roman" w:eastAsia="Calibri" w:hAnsi="Times New Roman"/>
          <w:szCs w:val="24"/>
        </w:rPr>
        <w:t>143</w:t>
      </w:r>
      <w:r w:rsidR="00961CB0">
        <w:rPr>
          <w:rFonts w:ascii="Times New Roman" w:eastAsia="Calibri" w:hAnsi="Times New Roman"/>
          <w:szCs w:val="24"/>
        </w:rPr>
        <w:t> 0</w:t>
      </w:r>
      <w:r w:rsidR="00CE617B">
        <w:rPr>
          <w:rFonts w:ascii="Times New Roman" w:eastAsia="Calibri" w:hAnsi="Times New Roman"/>
          <w:szCs w:val="24"/>
        </w:rPr>
        <w:t>58</w:t>
      </w:r>
      <w:r w:rsidR="00D92BF1">
        <w:rPr>
          <w:rFonts w:ascii="Times New Roman" w:eastAsia="Calibri" w:hAnsi="Times New Roman"/>
          <w:szCs w:val="24"/>
        </w:rPr>
        <w:t> tis.</w:t>
      </w:r>
      <w:r w:rsidR="006A03F2">
        <w:rPr>
          <w:rFonts w:ascii="Times New Roman" w:eastAsia="Calibri" w:hAnsi="Times New Roman"/>
          <w:szCs w:val="24"/>
        </w:rPr>
        <w:t> eur</w:t>
      </w:r>
      <w:r w:rsidR="00D92BF1">
        <w:rPr>
          <w:rFonts w:ascii="Times New Roman" w:eastAsia="Calibri" w:hAnsi="Times New Roman"/>
          <w:szCs w:val="24"/>
        </w:rPr>
        <w:t xml:space="preserve"> oproti schválenému rozpočtu na rok </w:t>
      </w:r>
      <w:r w:rsidR="009136D8">
        <w:rPr>
          <w:rFonts w:ascii="Times New Roman" w:eastAsia="Calibri" w:hAnsi="Times New Roman"/>
          <w:szCs w:val="24"/>
        </w:rPr>
        <w:t>2023</w:t>
      </w:r>
      <w:r w:rsidR="00D92BF1">
        <w:rPr>
          <w:rFonts w:ascii="Times New Roman" w:eastAsia="Calibri" w:hAnsi="Times New Roman"/>
          <w:szCs w:val="24"/>
        </w:rPr>
        <w:t>.</w:t>
      </w:r>
    </w:p>
    <w:p w:rsidR="009506E5" w:rsidRDefault="009506E5" w:rsidP="00181377">
      <w:pPr>
        <w:spacing w:after="120"/>
        <w:ind w:firstLine="709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Predpokladá sa, že </w:t>
      </w:r>
      <w:r w:rsidR="00B75DE3">
        <w:rPr>
          <w:rFonts w:ascii="Times New Roman" w:eastAsia="Calibri" w:hAnsi="Times New Roman"/>
          <w:szCs w:val="24"/>
        </w:rPr>
        <w:t>Sociálnej poisťovni</w:t>
      </w:r>
      <w:r>
        <w:rPr>
          <w:rFonts w:ascii="Times New Roman" w:eastAsia="Calibri" w:hAnsi="Times New Roman"/>
          <w:szCs w:val="24"/>
        </w:rPr>
        <w:t xml:space="preserve"> bude v roku </w:t>
      </w:r>
      <w:r w:rsidR="009136D8">
        <w:rPr>
          <w:rFonts w:ascii="Times New Roman" w:eastAsia="Calibri" w:hAnsi="Times New Roman"/>
          <w:szCs w:val="24"/>
        </w:rPr>
        <w:t>2023</w:t>
      </w:r>
      <w:r>
        <w:rPr>
          <w:rFonts w:ascii="Times New Roman" w:eastAsia="Calibri" w:hAnsi="Times New Roman"/>
          <w:szCs w:val="24"/>
        </w:rPr>
        <w:t xml:space="preserve"> poskytnutý</w:t>
      </w:r>
      <w:r w:rsidR="00B75DE3">
        <w:rPr>
          <w:rFonts w:ascii="Times New Roman" w:eastAsia="Calibri" w:hAnsi="Times New Roman"/>
          <w:szCs w:val="24"/>
        </w:rPr>
        <w:t xml:space="preserve"> transfer </w:t>
      </w:r>
      <w:r w:rsidR="00B75DE3" w:rsidRPr="00BE614D">
        <w:rPr>
          <w:rFonts w:ascii="Times New Roman" w:hAnsi="Times New Roman"/>
          <w:szCs w:val="24"/>
        </w:rPr>
        <w:t xml:space="preserve">finančných prostriedkov </w:t>
      </w:r>
      <w:r w:rsidR="00B75DE3">
        <w:rPr>
          <w:rFonts w:ascii="Times New Roman" w:eastAsia="Calibri" w:hAnsi="Times New Roman"/>
          <w:szCs w:val="24"/>
        </w:rPr>
        <w:t>zo ŠR SR</w:t>
      </w:r>
      <w:r w:rsidR="00961CB0">
        <w:rPr>
          <w:rFonts w:ascii="Times New Roman" w:eastAsia="Calibri" w:hAnsi="Times New Roman"/>
          <w:szCs w:val="24"/>
        </w:rPr>
        <w:t xml:space="preserve"> vo výške 1 060 000 tis. eur</w:t>
      </w:r>
      <w:r>
        <w:rPr>
          <w:rFonts w:ascii="Times New Roman" w:eastAsia="Calibri" w:hAnsi="Times New Roman"/>
          <w:szCs w:val="24"/>
        </w:rPr>
        <w:t>.</w:t>
      </w:r>
    </w:p>
    <w:p w:rsidR="00F9495D" w:rsidRDefault="00675566" w:rsidP="009B67AD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lastRenderedPageBreak/>
        <w:t xml:space="preserve">Výdavky (náklady) Sociálnej poisťovne v roku </w:t>
      </w:r>
      <w:r w:rsidR="009136D8">
        <w:rPr>
          <w:rFonts w:ascii="Times New Roman" w:hAnsi="Times New Roman"/>
          <w:b/>
          <w:szCs w:val="24"/>
        </w:rPr>
        <w:t>2023</w:t>
      </w:r>
      <w:r w:rsidRPr="004C7EC8">
        <w:rPr>
          <w:rFonts w:ascii="Times New Roman" w:hAnsi="Times New Roman"/>
          <w:b/>
          <w:szCs w:val="24"/>
        </w:rPr>
        <w:t xml:space="preserve"> </w:t>
      </w:r>
      <w:r w:rsidRPr="004C7EC8">
        <w:rPr>
          <w:rFonts w:ascii="Times New Roman" w:hAnsi="Times New Roman"/>
          <w:szCs w:val="24"/>
        </w:rPr>
        <w:t>sa predpokladajú:</w:t>
      </w:r>
    </w:p>
    <w:tbl>
      <w:tblPr>
        <w:tblW w:w="93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1621"/>
        <w:gridCol w:w="1709"/>
        <w:gridCol w:w="1443"/>
      </w:tblGrid>
      <w:tr w:rsidR="006C543F" w:rsidRPr="006C543F" w:rsidTr="00F668D7">
        <w:tc>
          <w:tcPr>
            <w:tcW w:w="4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3F" w:rsidRPr="006C543F" w:rsidRDefault="006C543F" w:rsidP="006C543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3F" w:rsidRPr="006C543F" w:rsidRDefault="006C543F" w:rsidP="006C54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43F" w:rsidRPr="006C543F" w:rsidRDefault="006C543F" w:rsidP="006C54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6C543F" w:rsidRPr="006C543F" w:rsidTr="006C543F"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543F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543F">
              <w:rPr>
                <w:rFonts w:ascii="Times New Roman" w:hAnsi="Times New Roman"/>
                <w:b/>
                <w:bCs/>
                <w:sz w:val="22"/>
                <w:szCs w:val="22"/>
              </w:rPr>
              <w:t>Rok 2023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543F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6C543F" w:rsidRPr="006C543F" w:rsidTr="00F668D7">
        <w:tc>
          <w:tcPr>
            <w:tcW w:w="4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43F" w:rsidRPr="006C543F" w:rsidRDefault="006C543F" w:rsidP="006C54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54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Schválený rozpočet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543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543F">
              <w:rPr>
                <w:rFonts w:ascii="Times New Roman" w:hAnsi="Times New Roman"/>
                <w:b/>
                <w:bCs/>
                <w:sz w:val="22"/>
                <w:szCs w:val="22"/>
              </w:rPr>
              <w:t>Rozdiel  2-1</w:t>
            </w:r>
          </w:p>
        </w:tc>
      </w:tr>
      <w:tr w:rsidR="006C543F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543F" w:rsidRPr="006C543F" w:rsidRDefault="006C543F" w:rsidP="006C54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543F">
              <w:rPr>
                <w:rFonts w:ascii="Times New Roman" w:hAnsi="Times New Roman"/>
                <w:b/>
                <w:bCs/>
                <w:sz w:val="22"/>
                <w:szCs w:val="22"/>
              </w:rPr>
              <w:t>Použitie prostriedkov celkom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11 079 439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11 861 011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781 572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1 140 737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1 062 782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-77 955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8 270 428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9 040 957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770 529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1 069 429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1 147 887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78 458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9 339 857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10 188 844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848 987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62 779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63 282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503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57 244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59 068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1 824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5 535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4 214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-1 321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32 307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32 778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471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3 496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2 083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-1 413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28 811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30 695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1 884</w:t>
            </w:r>
          </w:p>
        </w:tc>
      </w:tr>
      <w:tr w:rsidR="00F668D7" w:rsidRPr="006C543F" w:rsidTr="00F668D7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základný fond poistenia v nezamestnanosti, v tom: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284 105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270 536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-13 569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 - výdavky na dávku v nezamestnanosti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264 105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262 536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-1 569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 xml:space="preserve"> - postúpenie fin. prostriedkov, ktoré žiada príslušný orgán na výplatu podpory v čase skrátenej práce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20 000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8 000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-12 000</w:t>
            </w:r>
          </w:p>
        </w:tc>
      </w:tr>
      <w:tr w:rsidR="00F668D7" w:rsidRPr="006C543F" w:rsidTr="00F668D7">
        <w:tc>
          <w:tcPr>
            <w:tcW w:w="4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6C543F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6C543F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219 654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242 789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23 135</w:t>
            </w:r>
          </w:p>
        </w:tc>
      </w:tr>
    </w:tbl>
    <w:p w:rsidR="006C543F" w:rsidRDefault="006C543F" w:rsidP="006C543F">
      <w:pPr>
        <w:spacing w:before="240"/>
        <w:jc w:val="both"/>
        <w:rPr>
          <w:rFonts w:ascii="Times New Roman" w:hAnsi="Times New Roman"/>
          <w:szCs w:val="24"/>
        </w:rPr>
      </w:pPr>
    </w:p>
    <w:p w:rsidR="005025E6" w:rsidRPr="002A1BB3" w:rsidRDefault="002E3AEA" w:rsidP="00F20062">
      <w:pPr>
        <w:spacing w:after="120"/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Sociálna poisťovňa</w:t>
      </w:r>
      <w:r w:rsidR="009506E5">
        <w:rPr>
          <w:rFonts w:ascii="Times New Roman" w:hAnsi="Times New Roman"/>
          <w:szCs w:val="24"/>
        </w:rPr>
        <w:t xml:space="preserve"> </w:t>
      </w:r>
      <w:r w:rsidR="007E2445" w:rsidRPr="002A1BB3">
        <w:rPr>
          <w:rFonts w:ascii="Times New Roman" w:hAnsi="Times New Roman"/>
          <w:szCs w:val="24"/>
        </w:rPr>
        <w:t xml:space="preserve">očakáva </w:t>
      </w:r>
      <w:r w:rsidR="009506E5">
        <w:rPr>
          <w:rFonts w:ascii="Times New Roman" w:hAnsi="Times New Roman"/>
          <w:szCs w:val="24"/>
        </w:rPr>
        <w:t>v</w:t>
      </w:r>
      <w:r w:rsidR="00507B2C" w:rsidRPr="002A1BB3">
        <w:rPr>
          <w:rFonts w:ascii="Times New Roman" w:hAnsi="Times New Roman"/>
          <w:szCs w:val="24"/>
        </w:rPr>
        <w:t xml:space="preserve"> roku </w:t>
      </w:r>
      <w:r w:rsidR="009136D8">
        <w:rPr>
          <w:rFonts w:ascii="Times New Roman" w:hAnsi="Times New Roman"/>
          <w:szCs w:val="24"/>
        </w:rPr>
        <w:t>2023</w:t>
      </w:r>
      <w:r w:rsidR="007E2445">
        <w:rPr>
          <w:rFonts w:ascii="Times New Roman" w:hAnsi="Times New Roman"/>
          <w:szCs w:val="24"/>
        </w:rPr>
        <w:t xml:space="preserve">, oproti schválenému rozpočtu na rok </w:t>
      </w:r>
      <w:r w:rsidR="009136D8">
        <w:rPr>
          <w:rFonts w:ascii="Times New Roman" w:hAnsi="Times New Roman"/>
          <w:szCs w:val="24"/>
        </w:rPr>
        <w:t>2023</w:t>
      </w:r>
      <w:r w:rsidR="00AA46A4">
        <w:rPr>
          <w:rFonts w:ascii="Times New Roman" w:hAnsi="Times New Roman"/>
          <w:szCs w:val="24"/>
        </w:rPr>
        <w:t>,</w:t>
      </w:r>
      <w:r w:rsidR="00507B2C" w:rsidRPr="002A1BB3">
        <w:rPr>
          <w:rFonts w:ascii="Times New Roman" w:hAnsi="Times New Roman"/>
          <w:szCs w:val="24"/>
        </w:rPr>
        <w:t xml:space="preserve"> </w:t>
      </w:r>
      <w:r w:rsidR="000E628B">
        <w:rPr>
          <w:rFonts w:ascii="Times New Roman" w:hAnsi="Times New Roman"/>
          <w:szCs w:val="24"/>
        </w:rPr>
        <w:t>vyššie výdavky o 781 57</w:t>
      </w:r>
      <w:r w:rsidR="00F668D7">
        <w:rPr>
          <w:rFonts w:ascii="Times New Roman" w:hAnsi="Times New Roman"/>
          <w:szCs w:val="24"/>
        </w:rPr>
        <w:t>2</w:t>
      </w:r>
      <w:r w:rsidR="000E628B">
        <w:rPr>
          <w:rFonts w:ascii="Times New Roman" w:hAnsi="Times New Roman"/>
          <w:szCs w:val="24"/>
        </w:rPr>
        <w:t> tis. eur. V</w:t>
      </w:r>
      <w:r w:rsidR="00AA46A4">
        <w:rPr>
          <w:rFonts w:ascii="Times New Roman" w:hAnsi="Times New Roman"/>
          <w:szCs w:val="24"/>
        </w:rPr>
        <w:t xml:space="preserve">ýrazne </w:t>
      </w:r>
      <w:r w:rsidR="00507B2C" w:rsidRPr="002A1BB3">
        <w:rPr>
          <w:rFonts w:ascii="Times New Roman" w:hAnsi="Times New Roman"/>
          <w:szCs w:val="24"/>
        </w:rPr>
        <w:t>vyššie výdavky</w:t>
      </w:r>
      <w:r w:rsidR="00AA46A4">
        <w:rPr>
          <w:rFonts w:ascii="Times New Roman" w:hAnsi="Times New Roman"/>
          <w:szCs w:val="24"/>
        </w:rPr>
        <w:t xml:space="preserve"> </w:t>
      </w:r>
      <w:r w:rsidR="000E628B">
        <w:rPr>
          <w:rFonts w:ascii="Times New Roman" w:hAnsi="Times New Roman"/>
          <w:szCs w:val="24"/>
        </w:rPr>
        <w:t xml:space="preserve">sa očakávajú </w:t>
      </w:r>
      <w:r w:rsidR="00AA46A4">
        <w:rPr>
          <w:rFonts w:ascii="Times New Roman" w:hAnsi="Times New Roman"/>
          <w:szCs w:val="24"/>
        </w:rPr>
        <w:t>z</w:t>
      </w:r>
      <w:r w:rsidR="00507B2C" w:rsidRPr="002A1BB3">
        <w:rPr>
          <w:rFonts w:ascii="Times New Roman" w:hAnsi="Times New Roman"/>
          <w:szCs w:val="24"/>
        </w:rPr>
        <w:t xml:space="preserve"> </w:t>
      </w:r>
      <w:r w:rsidR="00AA46A4">
        <w:rPr>
          <w:rFonts w:ascii="Times New Roman" w:hAnsi="Times New Roman"/>
          <w:szCs w:val="24"/>
        </w:rPr>
        <w:t>dôchodkového</w:t>
      </w:r>
      <w:r w:rsidR="009506E5">
        <w:rPr>
          <w:rFonts w:ascii="Times New Roman" w:hAnsi="Times New Roman"/>
          <w:szCs w:val="24"/>
        </w:rPr>
        <w:t xml:space="preserve"> poistenia o</w:t>
      </w:r>
      <w:r>
        <w:rPr>
          <w:rFonts w:ascii="Times New Roman" w:hAnsi="Times New Roman"/>
          <w:szCs w:val="24"/>
        </w:rPr>
        <w:t> </w:t>
      </w:r>
      <w:r w:rsidR="006C543F">
        <w:rPr>
          <w:rFonts w:ascii="Times New Roman" w:hAnsi="Times New Roman"/>
          <w:szCs w:val="24"/>
        </w:rPr>
        <w:t>848</w:t>
      </w:r>
      <w:r>
        <w:rPr>
          <w:rFonts w:ascii="Times New Roman" w:hAnsi="Times New Roman"/>
          <w:szCs w:val="24"/>
        </w:rPr>
        <w:t> </w:t>
      </w:r>
      <w:r w:rsidR="006C543F">
        <w:rPr>
          <w:rFonts w:ascii="Times New Roman" w:hAnsi="Times New Roman"/>
          <w:szCs w:val="24"/>
        </w:rPr>
        <w:t>987</w:t>
      </w:r>
      <w:r w:rsidR="00AA46A4">
        <w:rPr>
          <w:rFonts w:ascii="Times New Roman" w:hAnsi="Times New Roman"/>
          <w:szCs w:val="24"/>
        </w:rPr>
        <w:t xml:space="preserve"> tis. eur (vplyv zapracovaných legislatívnych zmien). </w:t>
      </w:r>
    </w:p>
    <w:p w:rsidR="0090404B" w:rsidRDefault="00A937B8" w:rsidP="001874F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Z hľadiska </w:t>
      </w:r>
      <w:r w:rsidRPr="004C7EC8">
        <w:rPr>
          <w:rFonts w:ascii="Times New Roman" w:hAnsi="Times New Roman"/>
          <w:b/>
          <w:szCs w:val="24"/>
        </w:rPr>
        <w:t xml:space="preserve">celkového hospodárenia Sociálnej poisťovne </w:t>
      </w:r>
      <w:r w:rsidRPr="004C7EC8">
        <w:rPr>
          <w:rFonts w:ascii="Times New Roman" w:hAnsi="Times New Roman"/>
          <w:szCs w:val="24"/>
        </w:rPr>
        <w:t>(vrátane prevodu prostriedkov z minulých rokov) je možné očakávať k 31. </w:t>
      </w:r>
      <w:r w:rsidR="00867F00" w:rsidRPr="004C7EC8">
        <w:rPr>
          <w:rFonts w:ascii="Times New Roman" w:hAnsi="Times New Roman"/>
          <w:szCs w:val="24"/>
        </w:rPr>
        <w:t>decembru</w:t>
      </w:r>
      <w:r w:rsidRPr="004C7EC8">
        <w:rPr>
          <w:rFonts w:ascii="Times New Roman" w:hAnsi="Times New Roman"/>
          <w:szCs w:val="24"/>
        </w:rPr>
        <w:t> </w:t>
      </w:r>
      <w:r w:rsidR="009136D8">
        <w:rPr>
          <w:rFonts w:ascii="Times New Roman" w:hAnsi="Times New Roman"/>
          <w:szCs w:val="24"/>
        </w:rPr>
        <w:t>2023</w:t>
      </w:r>
      <w:r w:rsidRPr="004C7EC8">
        <w:rPr>
          <w:rFonts w:ascii="Times New Roman" w:hAnsi="Times New Roman"/>
          <w:szCs w:val="24"/>
        </w:rPr>
        <w:t xml:space="preserve"> v jednotlivých fondoch výsledky:</w:t>
      </w:r>
    </w:p>
    <w:tbl>
      <w:tblPr>
        <w:tblW w:w="938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651"/>
        <w:gridCol w:w="1740"/>
        <w:gridCol w:w="1470"/>
      </w:tblGrid>
      <w:tr w:rsidR="002A1BB3" w:rsidRPr="002A1BB3" w:rsidTr="002A1BB3">
        <w:trPr>
          <w:trHeight w:val="28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v tis.</w:t>
            </w:r>
            <w:r w:rsidR="006A03F2"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2A1BB3" w:rsidRPr="002A1BB3" w:rsidTr="002A1BB3">
        <w:trPr>
          <w:trHeight w:val="565"/>
        </w:trPr>
        <w:tc>
          <w:tcPr>
            <w:tcW w:w="4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Fond  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Bilančný rozdiel k 31.12.</w:t>
            </w:r>
            <w:r w:rsidR="009136D8">
              <w:rPr>
                <w:rFonts w:ascii="Times New Roman" w:hAnsi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Rozdiel  2-1</w:t>
            </w:r>
          </w:p>
        </w:tc>
      </w:tr>
      <w:tr w:rsidR="002A1BB3" w:rsidRPr="002A1BB3" w:rsidTr="002A1BB3">
        <w:trPr>
          <w:trHeight w:val="486"/>
        </w:trPr>
        <w:tc>
          <w:tcPr>
            <w:tcW w:w="4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B3" w:rsidRPr="00005F2A" w:rsidRDefault="002A1BB3" w:rsidP="002A1BB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Schválený rozpočet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005F2A" w:rsidRDefault="002A1BB3" w:rsidP="002A1B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BB3" w:rsidRPr="002A1BB3" w:rsidRDefault="002A1BB3" w:rsidP="002A1BB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A1BB3" w:rsidRPr="002A1BB3" w:rsidTr="002A1BB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B3" w:rsidRPr="002A1BB3" w:rsidRDefault="002A1BB3" w:rsidP="002A1B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nemocenského poistenia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65 000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65 000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starobného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403 856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506 685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102 829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invalidného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262 044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260 292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-1 752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úrazového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garančného poistenia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Základný fond poistenia v nezamestnanosti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35 000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Rezervný fond solidarity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42 345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16 751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-25 594</w:t>
            </w:r>
          </w:p>
        </w:tc>
      </w:tr>
      <w:tr w:rsidR="00F668D7" w:rsidRPr="002A1BB3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2A1BB3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2A1BB3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5 051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5 188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137</w:t>
            </w:r>
          </w:p>
        </w:tc>
      </w:tr>
      <w:tr w:rsidR="00F668D7" w:rsidRPr="005978A9" w:rsidTr="00E72053">
        <w:trPr>
          <w:trHeight w:val="289"/>
        </w:trPr>
        <w:tc>
          <w:tcPr>
            <w:tcW w:w="4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68D7" w:rsidRPr="005978A9" w:rsidRDefault="00F668D7" w:rsidP="00F668D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Spolu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821 296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896 916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75 620</w:t>
            </w:r>
          </w:p>
        </w:tc>
      </w:tr>
    </w:tbl>
    <w:p w:rsidR="001C1AD2" w:rsidRPr="00FE16D4" w:rsidRDefault="00A937B8" w:rsidP="00822609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181377">
        <w:rPr>
          <w:rFonts w:ascii="Times New Roman" w:hAnsi="Times New Roman"/>
          <w:b/>
          <w:szCs w:val="24"/>
        </w:rPr>
        <w:lastRenderedPageBreak/>
        <w:t xml:space="preserve">Hospodárenie Sociálnej poisťovne </w:t>
      </w:r>
      <w:r w:rsidR="000F7344">
        <w:rPr>
          <w:rFonts w:ascii="Times New Roman" w:hAnsi="Times New Roman"/>
          <w:b/>
          <w:szCs w:val="24"/>
        </w:rPr>
        <w:t xml:space="preserve">k 31. decembru </w:t>
      </w:r>
      <w:r w:rsidR="009136D8">
        <w:rPr>
          <w:rFonts w:ascii="Times New Roman" w:hAnsi="Times New Roman"/>
          <w:b/>
          <w:szCs w:val="24"/>
        </w:rPr>
        <w:t>2023</w:t>
      </w:r>
      <w:r w:rsidRPr="00181377">
        <w:rPr>
          <w:rFonts w:ascii="Times New Roman" w:hAnsi="Times New Roman"/>
          <w:b/>
          <w:szCs w:val="24"/>
        </w:rPr>
        <w:t xml:space="preserve"> by malo skončiť bilančným rozdielom </w:t>
      </w:r>
      <w:r w:rsidR="00C973D9">
        <w:rPr>
          <w:rFonts w:ascii="Times New Roman" w:hAnsi="Times New Roman"/>
          <w:b/>
          <w:szCs w:val="24"/>
        </w:rPr>
        <w:t>896</w:t>
      </w:r>
      <w:r w:rsidR="00270573">
        <w:rPr>
          <w:rFonts w:ascii="Times New Roman" w:hAnsi="Times New Roman"/>
          <w:b/>
          <w:szCs w:val="24"/>
        </w:rPr>
        <w:t> </w:t>
      </w:r>
      <w:r w:rsidR="00C973D9">
        <w:rPr>
          <w:rFonts w:ascii="Times New Roman" w:hAnsi="Times New Roman"/>
          <w:b/>
          <w:szCs w:val="24"/>
        </w:rPr>
        <w:t>916</w:t>
      </w:r>
      <w:r w:rsidRPr="00181377">
        <w:rPr>
          <w:rFonts w:ascii="Times New Roman" w:hAnsi="Times New Roman"/>
          <w:b/>
          <w:szCs w:val="24"/>
        </w:rPr>
        <w:t> tis.</w:t>
      </w:r>
      <w:r w:rsidR="006A03F2" w:rsidRPr="00181377">
        <w:rPr>
          <w:rFonts w:ascii="Times New Roman" w:hAnsi="Times New Roman"/>
          <w:b/>
          <w:szCs w:val="24"/>
        </w:rPr>
        <w:t> eur</w:t>
      </w:r>
      <w:r w:rsidRPr="00181377">
        <w:rPr>
          <w:rFonts w:ascii="Times New Roman" w:hAnsi="Times New Roman"/>
          <w:szCs w:val="24"/>
        </w:rPr>
        <w:t>.</w:t>
      </w:r>
      <w:r w:rsidR="001C1AD2" w:rsidRPr="001C1AD2">
        <w:rPr>
          <w:rFonts w:ascii="Times New Roman" w:hAnsi="Times New Roman"/>
          <w:szCs w:val="24"/>
        </w:rPr>
        <w:t xml:space="preserve"> </w:t>
      </w:r>
      <w:r w:rsidR="001C1AD2" w:rsidRPr="00FE16D4">
        <w:rPr>
          <w:rFonts w:ascii="Times New Roman" w:hAnsi="Times New Roman"/>
          <w:szCs w:val="24"/>
        </w:rPr>
        <w:t xml:space="preserve">Hospodárenie Sociálnej poisťovne bude v roku </w:t>
      </w:r>
      <w:r w:rsidR="009136D8">
        <w:rPr>
          <w:rFonts w:ascii="Times New Roman" w:hAnsi="Times New Roman"/>
          <w:szCs w:val="24"/>
        </w:rPr>
        <w:t>2023</w:t>
      </w:r>
      <w:r w:rsidR="001C1AD2" w:rsidRPr="00FE16D4">
        <w:rPr>
          <w:rFonts w:ascii="Times New Roman" w:hAnsi="Times New Roman"/>
          <w:szCs w:val="24"/>
        </w:rPr>
        <w:t xml:space="preserve"> ovplyvňovať deficitné hospodárenie </w:t>
      </w:r>
      <w:r w:rsidR="00D61B11">
        <w:rPr>
          <w:rFonts w:ascii="Times New Roman" w:hAnsi="Times New Roman"/>
          <w:szCs w:val="24"/>
        </w:rPr>
        <w:t xml:space="preserve">v základnom fonde nemocenského poistenia a </w:t>
      </w:r>
      <w:r w:rsidR="001C1AD2" w:rsidRPr="00FE16D4">
        <w:rPr>
          <w:rFonts w:ascii="Times New Roman" w:hAnsi="Times New Roman"/>
          <w:szCs w:val="24"/>
        </w:rPr>
        <w:t>v</w:t>
      </w:r>
      <w:r w:rsidR="008B2CF7">
        <w:rPr>
          <w:rFonts w:ascii="Times New Roman" w:hAnsi="Times New Roman"/>
          <w:szCs w:val="24"/>
        </w:rPr>
        <w:t> základnom fond</w:t>
      </w:r>
      <w:r w:rsidR="00D72537">
        <w:rPr>
          <w:rFonts w:ascii="Times New Roman" w:hAnsi="Times New Roman"/>
          <w:szCs w:val="24"/>
        </w:rPr>
        <w:t>e</w:t>
      </w:r>
      <w:r w:rsidR="008B2CF7">
        <w:rPr>
          <w:rFonts w:ascii="Times New Roman" w:hAnsi="Times New Roman"/>
          <w:szCs w:val="24"/>
        </w:rPr>
        <w:t xml:space="preserve"> starobného poistenia</w:t>
      </w:r>
      <w:r w:rsidR="001C1AD2" w:rsidRPr="00FE16D4">
        <w:rPr>
          <w:rFonts w:ascii="Times New Roman" w:hAnsi="Times New Roman"/>
          <w:szCs w:val="24"/>
        </w:rPr>
        <w:t xml:space="preserve">. Deficit bude Sociálna poisťovňa riešiť v zmysle § 167 ods. 1 zákona o sociálnom poistení z rezervného fondu solidarity a aj z vnútorných zdrojov v zmysle § 122 ods. </w:t>
      </w:r>
      <w:r w:rsidR="00181377">
        <w:rPr>
          <w:rFonts w:ascii="Times New Roman" w:hAnsi="Times New Roman"/>
          <w:szCs w:val="24"/>
        </w:rPr>
        <w:t>4 písm. g) a </w:t>
      </w:r>
      <w:r w:rsidR="008B2CF7">
        <w:rPr>
          <w:rFonts w:ascii="Times New Roman" w:hAnsi="Times New Roman"/>
          <w:szCs w:val="24"/>
        </w:rPr>
        <w:t>§ 123 ods. 2 písm. </w:t>
      </w:r>
      <w:r w:rsidR="001C1AD2" w:rsidRPr="00FE16D4">
        <w:rPr>
          <w:rFonts w:ascii="Times New Roman" w:hAnsi="Times New Roman"/>
          <w:szCs w:val="24"/>
        </w:rPr>
        <w:t>b)</w:t>
      </w:r>
      <w:r w:rsidR="00221659">
        <w:rPr>
          <w:rFonts w:ascii="Times New Roman" w:hAnsi="Times New Roman"/>
          <w:szCs w:val="24"/>
        </w:rPr>
        <w:t xml:space="preserve"> bod 6</w:t>
      </w:r>
      <w:r w:rsidR="001C1AD2" w:rsidRPr="00FE16D4">
        <w:rPr>
          <w:rFonts w:ascii="Times New Roman" w:hAnsi="Times New Roman"/>
          <w:szCs w:val="24"/>
        </w:rPr>
        <w:t xml:space="preserve">. </w:t>
      </w:r>
    </w:p>
    <w:p w:rsidR="00A937B8" w:rsidRPr="004C7EC8" w:rsidRDefault="00A937B8" w:rsidP="00192C03">
      <w:pPr>
        <w:spacing w:before="24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:rsidR="001C1AD2" w:rsidRDefault="004B1350" w:rsidP="00192C03">
      <w:pPr>
        <w:pStyle w:val="Zarkazkladnhotextu"/>
        <w:tabs>
          <w:tab w:val="decimal" w:pos="8222"/>
        </w:tabs>
        <w:spacing w:before="24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 </w:t>
      </w:r>
      <w:r w:rsidR="001C1AD2">
        <w:rPr>
          <w:rFonts w:ascii="Times New Roman" w:hAnsi="Times New Roman"/>
          <w:szCs w:val="24"/>
        </w:rPr>
        <w:t xml:space="preserve">hospodárenie </w:t>
      </w:r>
      <w:r w:rsidR="001C1AD2" w:rsidRPr="005A072F">
        <w:rPr>
          <w:rFonts w:ascii="Times New Roman" w:hAnsi="Times New Roman"/>
          <w:szCs w:val="24"/>
        </w:rPr>
        <w:t xml:space="preserve">Sociálnej poisťovne </w:t>
      </w:r>
      <w:r>
        <w:rPr>
          <w:rFonts w:ascii="Times New Roman" w:hAnsi="Times New Roman"/>
          <w:szCs w:val="24"/>
        </w:rPr>
        <w:t xml:space="preserve">má </w:t>
      </w:r>
      <w:r w:rsidR="001C1AD2">
        <w:rPr>
          <w:rFonts w:ascii="Times New Roman" w:hAnsi="Times New Roman"/>
          <w:szCs w:val="24"/>
        </w:rPr>
        <w:t xml:space="preserve">výrazný vplyv </w:t>
      </w:r>
      <w:r w:rsidR="001C1AD2" w:rsidRPr="005A072F">
        <w:rPr>
          <w:rFonts w:ascii="Times New Roman" w:hAnsi="Times New Roman"/>
          <w:szCs w:val="24"/>
        </w:rPr>
        <w:t>existenci</w:t>
      </w:r>
      <w:r w:rsidR="001C1AD2">
        <w:rPr>
          <w:rFonts w:ascii="Times New Roman" w:hAnsi="Times New Roman"/>
          <w:szCs w:val="24"/>
        </w:rPr>
        <w:t>a</w:t>
      </w:r>
      <w:r w:rsidR="001C1AD2" w:rsidRPr="005A072F">
        <w:rPr>
          <w:rFonts w:ascii="Times New Roman" w:hAnsi="Times New Roman"/>
          <w:szCs w:val="24"/>
        </w:rPr>
        <w:t xml:space="preserve"> starobného dôchodkového sporenia</w:t>
      </w:r>
      <w:r w:rsidR="001C1AD2">
        <w:rPr>
          <w:rFonts w:ascii="Times New Roman" w:hAnsi="Times New Roman"/>
          <w:szCs w:val="24"/>
        </w:rPr>
        <w:t>. Prehľad vybraných a postúpených príspevkov na SDS:</w:t>
      </w:r>
      <w:r w:rsidR="001C1AD2" w:rsidRPr="005A072F">
        <w:rPr>
          <w:rFonts w:ascii="Times New Roman" w:hAnsi="Times New Roman"/>
          <w:szCs w:val="24"/>
        </w:rPr>
        <w:t xml:space="preserve"> </w:t>
      </w:r>
    </w:p>
    <w:tbl>
      <w:tblPr>
        <w:tblW w:w="923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8"/>
        <w:gridCol w:w="1860"/>
        <w:gridCol w:w="1960"/>
        <w:gridCol w:w="1656"/>
      </w:tblGrid>
      <w:tr w:rsidR="00C8406B" w:rsidRPr="00C8406B" w:rsidTr="00C973D9">
        <w:trPr>
          <w:cantSplit/>
        </w:trPr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tis.</w:t>
            </w:r>
            <w:r w:rsidR="006A03F2"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8D05A8" w:rsidRPr="00C8406B" w:rsidTr="00C973D9">
        <w:trPr>
          <w:cantSplit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05A8" w:rsidRPr="00005F2A" w:rsidRDefault="008D05A8" w:rsidP="00E864C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="009136D8">
              <w:rPr>
                <w:rFonts w:ascii="Times New Roman" w:hAnsi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Rozdiel  2-1</w:t>
            </w:r>
          </w:p>
        </w:tc>
      </w:tr>
      <w:tr w:rsidR="008D05A8" w:rsidRPr="00C8406B" w:rsidTr="00C973D9">
        <w:trPr>
          <w:cantSplit/>
        </w:trPr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A8" w:rsidRPr="00C8406B" w:rsidRDefault="008D05A8" w:rsidP="00C8406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Schválený rozpočet 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A8" w:rsidRPr="00005F2A" w:rsidRDefault="008D05A8" w:rsidP="00C840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Očakávaná skutočnosť </w:t>
            </w:r>
          </w:p>
        </w:tc>
        <w:tc>
          <w:tcPr>
            <w:tcW w:w="165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A8" w:rsidRPr="00C8406B" w:rsidRDefault="008D05A8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406B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06B" w:rsidRPr="00C8406B" w:rsidRDefault="00C8406B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6B" w:rsidRPr="00C8406B" w:rsidRDefault="00C8406B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6B" w:rsidRPr="00C8406B" w:rsidRDefault="00C8406B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6B" w:rsidRPr="00C8406B" w:rsidRDefault="00C8406B" w:rsidP="00C840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C973D9" w:rsidRPr="005978A9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5978A9" w:rsidRDefault="00C973D9" w:rsidP="00C973D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Vybraté príspevky na SDS celkom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73D9">
              <w:rPr>
                <w:rFonts w:ascii="Times New Roman" w:hAnsi="Times New Roman"/>
                <w:b/>
                <w:bCs/>
                <w:sz w:val="22"/>
                <w:szCs w:val="22"/>
              </w:rPr>
              <w:t>1 296 481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73D9">
              <w:rPr>
                <w:rFonts w:ascii="Times New Roman" w:hAnsi="Times New Roman"/>
                <w:b/>
                <w:bCs/>
                <w:sz w:val="22"/>
                <w:szCs w:val="22"/>
              </w:rPr>
              <w:t>1 178 817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73D9">
              <w:rPr>
                <w:rFonts w:ascii="Times New Roman" w:hAnsi="Times New Roman"/>
                <w:b/>
                <w:bCs/>
                <w:sz w:val="22"/>
                <w:szCs w:val="22"/>
              </w:rPr>
              <w:t>-117 664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1 237 281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1 121 769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-115 512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58 558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56 405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-2 153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642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643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973D9" w:rsidRPr="005978A9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5978A9" w:rsidRDefault="00C973D9" w:rsidP="00C973D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Postúpené príspevky na SDS celkom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73D9">
              <w:rPr>
                <w:rFonts w:ascii="Times New Roman" w:hAnsi="Times New Roman"/>
                <w:b/>
                <w:bCs/>
                <w:sz w:val="22"/>
                <w:szCs w:val="22"/>
              </w:rPr>
              <w:t>1 322 052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73D9">
              <w:rPr>
                <w:rFonts w:ascii="Times New Roman" w:hAnsi="Times New Roman"/>
                <w:b/>
                <w:bCs/>
                <w:sz w:val="22"/>
                <w:szCs w:val="22"/>
              </w:rPr>
              <w:t>1 206 566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973D9">
              <w:rPr>
                <w:rFonts w:ascii="Times New Roman" w:hAnsi="Times New Roman"/>
                <w:b/>
                <w:bCs/>
                <w:sz w:val="22"/>
                <w:szCs w:val="22"/>
              </w:rPr>
              <w:t>-115 486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EAO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1 234 187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1 118 964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-115 223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58 412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56 264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-2 148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642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643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C973D9" w:rsidRPr="00C8406B" w:rsidTr="00C973D9">
        <w:trPr>
          <w:cantSplit/>
        </w:trPr>
        <w:tc>
          <w:tcPr>
            <w:tcW w:w="3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73D9" w:rsidRPr="00C8406B" w:rsidRDefault="00C973D9" w:rsidP="00C973D9">
            <w:pPr>
              <w:rPr>
                <w:rFonts w:ascii="Times New Roman" w:hAnsi="Times New Roman"/>
                <w:sz w:val="22"/>
                <w:szCs w:val="22"/>
              </w:rPr>
            </w:pPr>
            <w:r w:rsidRPr="00C8406B">
              <w:rPr>
                <w:rFonts w:ascii="Times New Roman" w:hAnsi="Times New Roman"/>
                <w:sz w:val="22"/>
                <w:szCs w:val="22"/>
              </w:rPr>
              <w:t xml:space="preserve">uhradené príspevky zo </w:t>
            </w:r>
            <w:r>
              <w:rPr>
                <w:rFonts w:ascii="Times New Roman" w:hAnsi="Times New Roman"/>
                <w:sz w:val="22"/>
                <w:szCs w:val="22"/>
              </w:rPr>
              <w:t>zákl. fondu garančného poistenia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28 811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30 695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73D9" w:rsidRPr="00C973D9" w:rsidRDefault="00C973D9" w:rsidP="00C973D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C973D9">
              <w:rPr>
                <w:rFonts w:ascii="Times New Roman" w:hAnsi="Times New Roman"/>
                <w:sz w:val="22"/>
                <w:szCs w:val="22"/>
              </w:rPr>
              <w:t>1 884</w:t>
            </w:r>
          </w:p>
        </w:tc>
      </w:tr>
    </w:tbl>
    <w:p w:rsidR="00F11721" w:rsidRPr="004C7EC8" w:rsidRDefault="00A937B8" w:rsidP="006E2ABA">
      <w:pPr>
        <w:tabs>
          <w:tab w:val="left" w:pos="709"/>
        </w:tabs>
        <w:spacing w:before="360" w:after="120"/>
        <w:ind w:left="703" w:hanging="703"/>
        <w:jc w:val="both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II. </w:t>
      </w:r>
      <w:r w:rsidRPr="004C7EC8">
        <w:rPr>
          <w:rFonts w:ascii="Times New Roman" w:hAnsi="Times New Roman"/>
          <w:b/>
          <w:szCs w:val="24"/>
        </w:rPr>
        <w:tab/>
      </w:r>
      <w:r w:rsidR="00F11721" w:rsidRPr="004C7EC8">
        <w:rPr>
          <w:rFonts w:ascii="Times New Roman" w:hAnsi="Times New Roman"/>
          <w:b/>
          <w:szCs w:val="24"/>
        </w:rPr>
        <w:t xml:space="preserve">Návrh rozpočtu Sociálnej poisťovne na rok </w:t>
      </w:r>
      <w:r w:rsidR="009136D8">
        <w:rPr>
          <w:rFonts w:ascii="Times New Roman" w:hAnsi="Times New Roman"/>
          <w:b/>
          <w:szCs w:val="24"/>
        </w:rPr>
        <w:t>2024</w:t>
      </w:r>
      <w:r w:rsidR="00F11721" w:rsidRPr="004C7EC8">
        <w:rPr>
          <w:rFonts w:ascii="Times New Roman" w:hAnsi="Times New Roman"/>
          <w:b/>
          <w:szCs w:val="24"/>
        </w:rPr>
        <w:t xml:space="preserve"> </w:t>
      </w:r>
      <w:r w:rsidR="00716880" w:rsidRPr="004C7EC8">
        <w:rPr>
          <w:rFonts w:ascii="Times New Roman" w:hAnsi="Times New Roman"/>
          <w:b/>
          <w:szCs w:val="24"/>
        </w:rPr>
        <w:t>a rozpočtový výhľad na roky</w:t>
      </w:r>
      <w:r w:rsidR="00BE614D">
        <w:rPr>
          <w:rFonts w:ascii="Times New Roman" w:hAnsi="Times New Roman"/>
          <w:b/>
          <w:szCs w:val="24"/>
        </w:rPr>
        <w:t xml:space="preserve"> </w:t>
      </w:r>
      <w:r w:rsidR="009136D8">
        <w:rPr>
          <w:rFonts w:ascii="Times New Roman" w:hAnsi="Times New Roman"/>
          <w:b/>
          <w:szCs w:val="24"/>
        </w:rPr>
        <w:t>2025</w:t>
      </w:r>
      <w:r w:rsidR="00D6723F">
        <w:rPr>
          <w:rFonts w:ascii="Times New Roman" w:hAnsi="Times New Roman"/>
          <w:b/>
          <w:szCs w:val="24"/>
        </w:rPr>
        <w:t xml:space="preserve"> a </w:t>
      </w:r>
      <w:r w:rsidR="009136D8">
        <w:rPr>
          <w:rFonts w:ascii="Times New Roman" w:hAnsi="Times New Roman"/>
          <w:b/>
          <w:szCs w:val="24"/>
        </w:rPr>
        <w:t>2026</w:t>
      </w:r>
    </w:p>
    <w:p w:rsidR="00D6723F" w:rsidRDefault="00D6723F" w:rsidP="00D6723F">
      <w:pPr>
        <w:pStyle w:val="Zarkazkladnhotextu"/>
        <w:tabs>
          <w:tab w:val="decimal" w:pos="8222"/>
        </w:tabs>
        <w:spacing w:before="240"/>
        <w:ind w:left="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Príjmy Sociálnej poisťovne</w:t>
      </w:r>
    </w:p>
    <w:p w:rsidR="00666925" w:rsidRDefault="00D6723F" w:rsidP="00D6723F">
      <w:pPr>
        <w:pStyle w:val="Zarkazkladnhotextu"/>
        <w:tabs>
          <w:tab w:val="decimal" w:pos="8222"/>
        </w:tabs>
        <w:ind w:left="0" w:firstLine="709"/>
        <w:jc w:val="both"/>
        <w:rPr>
          <w:rFonts w:ascii="Times New Roman" w:hAnsi="Times New Roman"/>
          <w:szCs w:val="24"/>
        </w:rPr>
      </w:pPr>
      <w:r w:rsidRPr="00A85D16">
        <w:rPr>
          <w:rFonts w:ascii="Times New Roman" w:hAnsi="Times New Roman"/>
          <w:b/>
          <w:szCs w:val="24"/>
        </w:rPr>
        <w:t>Zdroje</w:t>
      </w:r>
      <w:r w:rsidRPr="00CA4B4A">
        <w:rPr>
          <w:rFonts w:ascii="Times New Roman" w:hAnsi="Times New Roman"/>
          <w:szCs w:val="24"/>
        </w:rPr>
        <w:t xml:space="preserve"> Sociálnej poisťovne sa </w:t>
      </w:r>
      <w:r w:rsidRPr="00A85D16">
        <w:rPr>
          <w:rFonts w:ascii="Times New Roman" w:hAnsi="Times New Roman"/>
          <w:b/>
          <w:szCs w:val="24"/>
        </w:rPr>
        <w:t xml:space="preserve">v roku </w:t>
      </w:r>
      <w:r>
        <w:rPr>
          <w:rFonts w:ascii="Times New Roman" w:hAnsi="Times New Roman"/>
          <w:b/>
          <w:szCs w:val="24"/>
        </w:rPr>
        <w:t>2024</w:t>
      </w:r>
      <w:r w:rsidRPr="00CA4B4A">
        <w:rPr>
          <w:rFonts w:ascii="Times New Roman" w:hAnsi="Times New Roman"/>
          <w:szCs w:val="24"/>
        </w:rPr>
        <w:t xml:space="preserve"> predpokladajú vo výške </w:t>
      </w:r>
      <w:r w:rsidR="00AA46A4">
        <w:rPr>
          <w:rFonts w:ascii="Times New Roman" w:hAnsi="Times New Roman"/>
          <w:b/>
          <w:szCs w:val="24"/>
        </w:rPr>
        <w:t>13 </w:t>
      </w:r>
      <w:r w:rsidR="00666925">
        <w:rPr>
          <w:rFonts w:ascii="Times New Roman" w:hAnsi="Times New Roman"/>
          <w:b/>
          <w:szCs w:val="24"/>
        </w:rPr>
        <w:t>919</w:t>
      </w:r>
      <w:r w:rsidR="00AA46A4">
        <w:rPr>
          <w:rFonts w:ascii="Times New Roman" w:hAnsi="Times New Roman"/>
          <w:b/>
          <w:szCs w:val="24"/>
        </w:rPr>
        <w:t> </w:t>
      </w:r>
      <w:r w:rsidR="00666925">
        <w:rPr>
          <w:rFonts w:ascii="Times New Roman" w:hAnsi="Times New Roman"/>
          <w:b/>
          <w:szCs w:val="24"/>
        </w:rPr>
        <w:t>423</w:t>
      </w:r>
      <w:r w:rsidRPr="00A85D16">
        <w:rPr>
          <w:rFonts w:ascii="Times New Roman" w:hAnsi="Times New Roman"/>
          <w:b/>
          <w:szCs w:val="24"/>
        </w:rPr>
        <w:t> tis. eur</w:t>
      </w:r>
      <w:r w:rsidRPr="00CA4B4A">
        <w:rPr>
          <w:rFonts w:ascii="Times New Roman" w:hAnsi="Times New Roman"/>
          <w:szCs w:val="24"/>
        </w:rPr>
        <w:t xml:space="preserve"> pri zohľadnení očakávaného prevodu </w:t>
      </w:r>
      <w:r>
        <w:rPr>
          <w:rFonts w:ascii="Times New Roman" w:hAnsi="Times New Roman"/>
          <w:szCs w:val="24"/>
        </w:rPr>
        <w:t>zostatku finančných prostriedkov</w:t>
      </w:r>
      <w:r w:rsidRPr="00CA4B4A">
        <w:rPr>
          <w:rFonts w:ascii="Times New Roman" w:hAnsi="Times New Roman"/>
          <w:szCs w:val="24"/>
        </w:rPr>
        <w:t xml:space="preserve"> z roku 20</w:t>
      </w:r>
      <w:r>
        <w:rPr>
          <w:rFonts w:ascii="Times New Roman" w:hAnsi="Times New Roman"/>
          <w:szCs w:val="24"/>
        </w:rPr>
        <w:t>23</w:t>
      </w:r>
      <w:r w:rsidRPr="00CA4B4A">
        <w:rPr>
          <w:rFonts w:ascii="Times New Roman" w:hAnsi="Times New Roman"/>
          <w:szCs w:val="24"/>
        </w:rPr>
        <w:t xml:space="preserve"> vo výške </w:t>
      </w:r>
      <w:r w:rsidR="00666925">
        <w:rPr>
          <w:rFonts w:ascii="Times New Roman" w:hAnsi="Times New Roman"/>
          <w:szCs w:val="24"/>
        </w:rPr>
        <w:t>896</w:t>
      </w:r>
      <w:r w:rsidR="00AA46A4">
        <w:rPr>
          <w:rFonts w:ascii="Times New Roman" w:hAnsi="Times New Roman"/>
          <w:szCs w:val="24"/>
        </w:rPr>
        <w:t> </w:t>
      </w:r>
      <w:r w:rsidR="00666925">
        <w:rPr>
          <w:rFonts w:ascii="Times New Roman" w:hAnsi="Times New Roman"/>
          <w:szCs w:val="24"/>
        </w:rPr>
        <w:t>916</w:t>
      </w:r>
      <w:r>
        <w:rPr>
          <w:rFonts w:ascii="Times New Roman" w:hAnsi="Times New Roman"/>
          <w:szCs w:val="24"/>
        </w:rPr>
        <w:t> t</w:t>
      </w:r>
      <w:r w:rsidRPr="00CA4B4A">
        <w:rPr>
          <w:rFonts w:ascii="Times New Roman" w:hAnsi="Times New Roman"/>
          <w:szCs w:val="24"/>
        </w:rPr>
        <w:t>is.</w:t>
      </w:r>
      <w:r>
        <w:rPr>
          <w:rFonts w:ascii="Times New Roman" w:hAnsi="Times New Roman"/>
          <w:szCs w:val="24"/>
        </w:rPr>
        <w:t xml:space="preserve"> eur. </w:t>
      </w:r>
      <w:r w:rsidRPr="00A85D16">
        <w:rPr>
          <w:rFonts w:ascii="Times New Roman" w:hAnsi="Times New Roman"/>
          <w:b/>
          <w:szCs w:val="24"/>
        </w:rPr>
        <w:t>Príjmy</w:t>
      </w:r>
      <w:r>
        <w:rPr>
          <w:rFonts w:ascii="Times New Roman" w:hAnsi="Times New Roman"/>
          <w:szCs w:val="24"/>
        </w:rPr>
        <w:t xml:space="preserve"> v </w:t>
      </w:r>
      <w:r w:rsidRPr="00A85D16">
        <w:rPr>
          <w:rFonts w:ascii="Times New Roman" w:hAnsi="Times New Roman"/>
          <w:b/>
          <w:szCs w:val="24"/>
        </w:rPr>
        <w:t>bežnom roku</w:t>
      </w:r>
      <w:r>
        <w:rPr>
          <w:rFonts w:ascii="Times New Roman" w:hAnsi="Times New Roman"/>
          <w:szCs w:val="24"/>
        </w:rPr>
        <w:t xml:space="preserve"> na rok 2024 sú </w:t>
      </w:r>
      <w:proofErr w:type="spellStart"/>
      <w:r>
        <w:rPr>
          <w:rFonts w:ascii="Times New Roman" w:hAnsi="Times New Roman"/>
          <w:szCs w:val="24"/>
        </w:rPr>
        <w:t>vykvantifikované</w:t>
      </w:r>
      <w:proofErr w:type="spellEnd"/>
      <w:r>
        <w:rPr>
          <w:rFonts w:ascii="Times New Roman" w:hAnsi="Times New Roman"/>
          <w:szCs w:val="24"/>
        </w:rPr>
        <w:t xml:space="preserve"> vo výške   </w:t>
      </w:r>
      <w:r w:rsidR="001859E2">
        <w:rPr>
          <w:rFonts w:ascii="Times New Roman" w:hAnsi="Times New Roman"/>
          <w:b/>
          <w:szCs w:val="24"/>
        </w:rPr>
        <w:t>1</w:t>
      </w:r>
      <w:r w:rsidR="003A3A30">
        <w:rPr>
          <w:rFonts w:ascii="Times New Roman" w:hAnsi="Times New Roman"/>
          <w:b/>
          <w:szCs w:val="24"/>
        </w:rPr>
        <w:t>3</w:t>
      </w:r>
      <w:r w:rsidR="001859E2">
        <w:rPr>
          <w:rFonts w:ascii="Times New Roman" w:hAnsi="Times New Roman"/>
          <w:b/>
          <w:szCs w:val="24"/>
        </w:rPr>
        <w:t> </w:t>
      </w:r>
      <w:r w:rsidR="00666925">
        <w:rPr>
          <w:rFonts w:ascii="Times New Roman" w:hAnsi="Times New Roman"/>
          <w:b/>
          <w:szCs w:val="24"/>
        </w:rPr>
        <w:t>022</w:t>
      </w:r>
      <w:r w:rsidR="001859E2">
        <w:rPr>
          <w:rFonts w:ascii="Times New Roman" w:hAnsi="Times New Roman"/>
          <w:b/>
          <w:szCs w:val="24"/>
        </w:rPr>
        <w:t> </w:t>
      </w:r>
      <w:r w:rsidR="00666925">
        <w:rPr>
          <w:rFonts w:ascii="Times New Roman" w:hAnsi="Times New Roman"/>
          <w:b/>
          <w:szCs w:val="24"/>
        </w:rPr>
        <w:t>507</w:t>
      </w:r>
      <w:r>
        <w:rPr>
          <w:rFonts w:ascii="Times New Roman" w:hAnsi="Times New Roman"/>
          <w:szCs w:val="24"/>
        </w:rPr>
        <w:t> </w:t>
      </w:r>
      <w:r w:rsidRPr="00A85D16">
        <w:rPr>
          <w:rFonts w:ascii="Times New Roman" w:hAnsi="Times New Roman"/>
          <w:b/>
          <w:szCs w:val="24"/>
        </w:rPr>
        <w:t>tis. eur</w:t>
      </w:r>
      <w:r>
        <w:rPr>
          <w:rFonts w:ascii="Times New Roman" w:hAnsi="Times New Roman"/>
          <w:szCs w:val="24"/>
        </w:rPr>
        <w:t>.</w:t>
      </w:r>
      <w:r w:rsidR="004A4A8E">
        <w:rPr>
          <w:rFonts w:ascii="Times New Roman" w:hAnsi="Times New Roman"/>
          <w:szCs w:val="24"/>
        </w:rPr>
        <w:t xml:space="preserve"> </w:t>
      </w:r>
    </w:p>
    <w:p w:rsidR="00D6723F" w:rsidRDefault="00D6723F" w:rsidP="00D6723F">
      <w:pPr>
        <w:pStyle w:val="Zarkazkladnhotextu"/>
        <w:tabs>
          <w:tab w:val="decimal" w:pos="8222"/>
        </w:tabs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Predpokladá sa, že </w:t>
      </w:r>
      <w:r w:rsidRPr="00A85D16">
        <w:rPr>
          <w:rFonts w:ascii="Times New Roman" w:hAnsi="Times New Roman"/>
          <w:b/>
          <w:szCs w:val="24"/>
        </w:rPr>
        <w:t xml:space="preserve">v roku </w:t>
      </w:r>
      <w:r>
        <w:rPr>
          <w:rFonts w:ascii="Times New Roman" w:hAnsi="Times New Roman"/>
          <w:b/>
          <w:szCs w:val="24"/>
        </w:rPr>
        <w:t>2024</w:t>
      </w:r>
      <w:r w:rsidR="001859E2">
        <w:rPr>
          <w:rFonts w:ascii="Times New Roman" w:hAnsi="Times New Roman"/>
          <w:b/>
          <w:szCs w:val="24"/>
        </w:rPr>
        <w:t xml:space="preserve"> </w:t>
      </w:r>
      <w:r w:rsidRPr="00A85D16">
        <w:rPr>
          <w:rFonts w:ascii="Times New Roman" w:hAnsi="Times New Roman"/>
          <w:b/>
          <w:szCs w:val="24"/>
        </w:rPr>
        <w:t>bude</w:t>
      </w:r>
      <w:r w:rsidRPr="0044348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Sociálnej poisťovni </w:t>
      </w:r>
      <w:r w:rsidRPr="00A85D16">
        <w:rPr>
          <w:rFonts w:ascii="Times New Roman" w:hAnsi="Times New Roman"/>
          <w:b/>
          <w:szCs w:val="24"/>
        </w:rPr>
        <w:t>poskytnutý transfer finančných prostriedkov zo ŠR SR</w:t>
      </w:r>
      <w:r w:rsidR="001859E2">
        <w:rPr>
          <w:rFonts w:ascii="Times New Roman" w:hAnsi="Times New Roman"/>
          <w:b/>
          <w:szCs w:val="24"/>
        </w:rPr>
        <w:t xml:space="preserve"> </w:t>
      </w:r>
      <w:r w:rsidR="001859E2" w:rsidRPr="001859E2">
        <w:rPr>
          <w:rFonts w:ascii="Times New Roman" w:hAnsi="Times New Roman"/>
          <w:szCs w:val="24"/>
        </w:rPr>
        <w:t>vo výške</w:t>
      </w:r>
      <w:r w:rsidR="001859E2">
        <w:rPr>
          <w:rFonts w:ascii="Times New Roman" w:hAnsi="Times New Roman"/>
          <w:b/>
          <w:szCs w:val="24"/>
        </w:rPr>
        <w:t xml:space="preserve"> </w:t>
      </w:r>
      <w:r w:rsidR="00666925">
        <w:rPr>
          <w:rFonts w:ascii="Times New Roman" w:hAnsi="Times New Roman"/>
          <w:b/>
          <w:szCs w:val="24"/>
        </w:rPr>
        <w:t>2</w:t>
      </w:r>
      <w:r w:rsidR="001859E2">
        <w:rPr>
          <w:rFonts w:ascii="Times New Roman" w:hAnsi="Times New Roman"/>
          <w:b/>
          <w:szCs w:val="24"/>
        </w:rPr>
        <w:t> </w:t>
      </w:r>
      <w:r w:rsidR="00666925">
        <w:rPr>
          <w:rFonts w:ascii="Times New Roman" w:hAnsi="Times New Roman"/>
          <w:b/>
          <w:szCs w:val="24"/>
        </w:rPr>
        <w:t>800</w:t>
      </w:r>
      <w:r w:rsidR="001859E2">
        <w:rPr>
          <w:rFonts w:ascii="Times New Roman" w:hAnsi="Times New Roman"/>
          <w:b/>
          <w:szCs w:val="24"/>
        </w:rPr>
        <w:t> </w:t>
      </w:r>
      <w:r w:rsidR="00666925">
        <w:rPr>
          <w:rFonts w:ascii="Times New Roman" w:hAnsi="Times New Roman"/>
          <w:b/>
          <w:szCs w:val="24"/>
        </w:rPr>
        <w:t>000</w:t>
      </w:r>
      <w:r w:rsidR="001859E2">
        <w:rPr>
          <w:rFonts w:ascii="Times New Roman" w:hAnsi="Times New Roman"/>
          <w:b/>
          <w:szCs w:val="24"/>
        </w:rPr>
        <w:t> tis. eur</w:t>
      </w:r>
      <w:r>
        <w:rPr>
          <w:rFonts w:ascii="Times New Roman" w:hAnsi="Times New Roman"/>
          <w:szCs w:val="24"/>
        </w:rPr>
        <w:t>.</w:t>
      </w:r>
    </w:p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  <w:b/>
        </w:rPr>
      </w:pPr>
    </w:p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  <w:b/>
        </w:rPr>
      </w:pPr>
    </w:p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  <w:b/>
        </w:rPr>
      </w:pPr>
    </w:p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  <w:b/>
        </w:rPr>
      </w:pPr>
    </w:p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  <w:b/>
        </w:rPr>
      </w:pPr>
    </w:p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  <w:b/>
        </w:rPr>
      </w:pPr>
    </w:p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  <w:b/>
        </w:rPr>
      </w:pPr>
    </w:p>
    <w:p w:rsidR="00D6723F" w:rsidRDefault="00D6723F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</w:rPr>
      </w:pPr>
      <w:r w:rsidRPr="004C7EC8">
        <w:rPr>
          <w:rFonts w:ascii="Times New Roman" w:hAnsi="Times New Roman"/>
          <w:b/>
        </w:rPr>
        <w:lastRenderedPageBreak/>
        <w:t xml:space="preserve">V rokoch </w:t>
      </w:r>
      <w:r>
        <w:rPr>
          <w:rFonts w:ascii="Times New Roman" w:hAnsi="Times New Roman"/>
          <w:b/>
        </w:rPr>
        <w:t>2024 až 2026</w:t>
      </w:r>
      <w:r w:rsidRPr="004C7EC8">
        <w:rPr>
          <w:rFonts w:ascii="Times New Roman" w:hAnsi="Times New Roman"/>
          <w:b/>
        </w:rPr>
        <w:t xml:space="preserve"> sa príjmy Sociálnej poisťovne</w:t>
      </w:r>
      <w:r w:rsidRPr="004C7EC8">
        <w:rPr>
          <w:rFonts w:ascii="Times New Roman" w:hAnsi="Times New Roman"/>
        </w:rPr>
        <w:t xml:space="preserve"> predpokladajú:</w:t>
      </w:r>
    </w:p>
    <w:tbl>
      <w:tblPr>
        <w:tblW w:w="92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5"/>
        <w:gridCol w:w="1608"/>
        <w:gridCol w:w="1694"/>
        <w:gridCol w:w="1432"/>
      </w:tblGrid>
      <w:tr w:rsidR="00666925" w:rsidRPr="00666925" w:rsidTr="003D2A67"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666925" w:rsidRPr="00666925" w:rsidTr="003D2A67">
        <w:tc>
          <w:tcPr>
            <w:tcW w:w="4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2024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666925" w:rsidRPr="00666925" w:rsidTr="003D2A67">
        <w:tc>
          <w:tcPr>
            <w:tcW w:w="4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rok 2025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rok 2026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925" w:rsidRPr="00666925" w:rsidRDefault="00666925" w:rsidP="006669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Zdroje celkom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13 919 423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14 785 359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15 107 532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prevod z minulých rokov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896 916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890 682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918 614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príjmy v bežnom roku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13 022 507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13 894 677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b/>
                <w:bCs/>
                <w:sz w:val="22"/>
                <w:szCs w:val="22"/>
              </w:rPr>
              <w:t>14 188 918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príjmy z bežného poistného od EAO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9 517 256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9 552 564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9 946 799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poistné podľa osobitného predpisu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1 430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1 463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1 510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príjmy z poistného od štátu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437 743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477 605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477 516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príjmy od Sociálnej poisťovne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5 020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5 463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5 944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3D2A67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príjmy z pokút a penál</w:t>
            </w:r>
            <w:r w:rsidR="003D2A67">
              <w:rPr>
                <w:rFonts w:ascii="Times New Roman" w:hAnsi="Times New Roman"/>
                <w:sz w:val="22"/>
                <w:szCs w:val="22"/>
              </w:rPr>
              <w:t>e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11 803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11 803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11 803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 xml:space="preserve">príjmy z dlžného poistného  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204 205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200 364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199 660</w:t>
            </w:r>
          </w:p>
        </w:tc>
      </w:tr>
      <w:tr w:rsidR="00666925" w:rsidRPr="00666925" w:rsidTr="003D2A67"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 xml:space="preserve">ostatné príjmy 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2 832 443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3 632 337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3 532 165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  z toho príjmy zo štátneho rozpočtu SR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i/>
                <w:iCs/>
                <w:sz w:val="22"/>
                <w:szCs w:val="22"/>
              </w:rPr>
              <w:t>2 800 000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i/>
                <w:iCs/>
                <w:sz w:val="22"/>
                <w:szCs w:val="22"/>
              </w:rPr>
              <w:t>3 600 000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66925">
              <w:rPr>
                <w:rFonts w:ascii="Times New Roman" w:hAnsi="Times New Roman"/>
                <w:i/>
                <w:iCs/>
                <w:sz w:val="22"/>
                <w:szCs w:val="22"/>
              </w:rPr>
              <w:t>3 500 000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3D2A67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 xml:space="preserve">príspevky na </w:t>
            </w:r>
            <w:r w:rsidR="003D2A67">
              <w:rPr>
                <w:rFonts w:ascii="Times New Roman" w:hAnsi="Times New Roman"/>
                <w:sz w:val="22"/>
                <w:szCs w:val="22"/>
              </w:rPr>
              <w:t>SDS</w:t>
            </w:r>
            <w:r w:rsidRPr="00666925">
              <w:rPr>
                <w:rFonts w:ascii="Times New Roman" w:hAnsi="Times New Roman"/>
                <w:sz w:val="22"/>
                <w:szCs w:val="22"/>
              </w:rPr>
              <w:t xml:space="preserve"> zaplatené zamestnávateľom po uplynutí 60 dní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9 550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9 815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10 086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príjmy správneho fondu z príspevkov na SDS  (EAO)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2 900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3 077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3 242</w:t>
            </w:r>
          </w:p>
        </w:tc>
      </w:tr>
      <w:tr w:rsidR="00666925" w:rsidRPr="00666925" w:rsidTr="003D2A67"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925" w:rsidRPr="00666925" w:rsidRDefault="00666925" w:rsidP="00666925">
            <w:pPr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príjmy správneho fondu z príspevkov na SDS (štát)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157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186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925" w:rsidRPr="00666925" w:rsidRDefault="00666925" w:rsidP="0066692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66925">
              <w:rPr>
                <w:rFonts w:ascii="Times New Roman" w:hAnsi="Times New Roman"/>
                <w:sz w:val="22"/>
                <w:szCs w:val="22"/>
              </w:rPr>
              <w:t>192</w:t>
            </w:r>
          </w:p>
        </w:tc>
      </w:tr>
    </w:tbl>
    <w:p w:rsidR="00666925" w:rsidRDefault="00666925" w:rsidP="00D6723F">
      <w:pPr>
        <w:pStyle w:val="Zarkazkladnhotextu"/>
        <w:tabs>
          <w:tab w:val="decimal" w:pos="8222"/>
        </w:tabs>
        <w:spacing w:before="240" w:after="0"/>
        <w:ind w:left="0" w:firstLine="720"/>
        <w:jc w:val="both"/>
        <w:rPr>
          <w:rFonts w:ascii="Times New Roman" w:hAnsi="Times New Roman"/>
        </w:rPr>
      </w:pPr>
    </w:p>
    <w:p w:rsidR="00D6723F" w:rsidRPr="004C7EC8" w:rsidRDefault="00D6723F" w:rsidP="00D6723F">
      <w:pPr>
        <w:pStyle w:val="Zarkazkladnhotextu"/>
        <w:tabs>
          <w:tab w:val="decimal" w:pos="8222"/>
        </w:tabs>
        <w:spacing w:before="240" w:after="0"/>
        <w:ind w:left="0" w:firstLine="720"/>
        <w:rPr>
          <w:rFonts w:ascii="Times New Roman" w:hAnsi="Times New Roman"/>
        </w:rPr>
      </w:pPr>
      <w:r w:rsidRPr="004C7EC8">
        <w:rPr>
          <w:rFonts w:ascii="Times New Roman" w:hAnsi="Times New Roman"/>
        </w:rPr>
        <w:t xml:space="preserve">Vybraté príspevky na SDS sa v rokoch </w:t>
      </w:r>
      <w:r>
        <w:rPr>
          <w:rFonts w:ascii="Times New Roman" w:hAnsi="Times New Roman"/>
        </w:rPr>
        <w:t xml:space="preserve">2024 až 2026 </w:t>
      </w:r>
      <w:proofErr w:type="spellStart"/>
      <w:r w:rsidRPr="004C7EC8">
        <w:rPr>
          <w:rFonts w:ascii="Times New Roman" w:hAnsi="Times New Roman"/>
        </w:rPr>
        <w:t>predikujú</w:t>
      </w:r>
      <w:proofErr w:type="spellEnd"/>
      <w:r w:rsidRPr="004C7EC8">
        <w:rPr>
          <w:rFonts w:ascii="Times New Roman" w:hAnsi="Times New Roman"/>
        </w:rPr>
        <w:t>:</w:t>
      </w:r>
    </w:p>
    <w:tbl>
      <w:tblPr>
        <w:tblW w:w="94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1773"/>
        <w:gridCol w:w="1559"/>
        <w:gridCol w:w="1560"/>
      </w:tblGrid>
      <w:tr w:rsidR="00D6723F" w:rsidRPr="004C7EC8" w:rsidTr="00D6723F"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F" w:rsidRPr="004C7EC8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tis.</w:t>
            </w:r>
            <w:r>
              <w:rPr>
                <w:rFonts w:ascii="Times New Roman" w:hAnsi="Times New Roman"/>
                <w:sz w:val="22"/>
                <w:szCs w:val="22"/>
              </w:rPr>
              <w:t> eur</w:t>
            </w:r>
          </w:p>
        </w:tc>
      </w:tr>
      <w:tr w:rsidR="00D6723F" w:rsidRPr="004C7EC8" w:rsidTr="00D6723F"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F" w:rsidRPr="00005F2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>Vybraté príspevky na SDS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005F2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Návrh rozpočtu 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na </w:t>
            </w: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F" w:rsidRPr="00005F2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Rozpočtový výhľad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na</w:t>
            </w:r>
          </w:p>
        </w:tc>
      </w:tr>
      <w:tr w:rsidR="00D6723F" w:rsidRPr="004C7EC8" w:rsidTr="00D6723F"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005F2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005F2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005F2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005F2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5F2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</w:tr>
      <w:tr w:rsidR="00D6723F" w:rsidRPr="004C7EC8" w:rsidTr="00D6723F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BE5669" w:rsidRPr="005978A9" w:rsidTr="00D6723F"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9" w:rsidRPr="005978A9" w:rsidRDefault="00BE5669" w:rsidP="00BE56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978A9">
              <w:rPr>
                <w:rFonts w:ascii="Times New Roman" w:hAnsi="Times New Roman"/>
                <w:b/>
                <w:sz w:val="22"/>
                <w:szCs w:val="22"/>
              </w:rPr>
              <w:t>Vybraté príspevky na SDS celkom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E5669">
              <w:rPr>
                <w:rFonts w:ascii="Times New Roman" w:hAnsi="Times New Roman"/>
                <w:b/>
                <w:bCs/>
                <w:sz w:val="22"/>
                <w:szCs w:val="22"/>
              </w:rPr>
              <w:t>1 214 029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E5669">
              <w:rPr>
                <w:rFonts w:ascii="Times New Roman" w:hAnsi="Times New Roman"/>
                <w:b/>
                <w:bCs/>
                <w:sz w:val="22"/>
                <w:szCs w:val="22"/>
              </w:rPr>
              <w:t>1 296 078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E5669">
              <w:rPr>
                <w:rFonts w:ascii="Times New Roman" w:hAnsi="Times New Roman"/>
                <w:b/>
                <w:bCs/>
                <w:sz w:val="22"/>
                <w:szCs w:val="22"/>
              </w:rPr>
              <w:t>1 364 627</w:t>
            </w:r>
          </w:p>
        </w:tc>
      </w:tr>
      <w:tr w:rsidR="00BE5669" w:rsidRPr="004C7EC8" w:rsidTr="00D6723F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9" w:rsidRPr="004C7EC8" w:rsidRDefault="00BE5669" w:rsidP="00BE5669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BE5669" w:rsidRPr="004C7EC8" w:rsidTr="00D6723F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9" w:rsidRPr="004C7EC8" w:rsidRDefault="00BE5669" w:rsidP="00BE5669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1 150 527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1 220 888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1 286 904</w:t>
            </w:r>
          </w:p>
        </w:tc>
      </w:tr>
      <w:tr w:rsidR="00BE5669" w:rsidRPr="004C7EC8" w:rsidTr="00D6723F">
        <w:tc>
          <w:tcPr>
            <w:tcW w:w="4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9" w:rsidRPr="004C7EC8" w:rsidRDefault="00BE5669" w:rsidP="00BE5669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62 803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74 429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76 895</w:t>
            </w:r>
          </w:p>
        </w:tc>
      </w:tr>
      <w:tr w:rsidR="00BE5669" w:rsidRPr="004C7EC8" w:rsidTr="00D6723F"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669" w:rsidRPr="004C7EC8" w:rsidRDefault="00BE5669" w:rsidP="00BE5669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761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5669" w:rsidRPr="00BE5669" w:rsidRDefault="00BE5669" w:rsidP="00BE5669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E5669">
              <w:rPr>
                <w:rFonts w:ascii="Times New Roman" w:hAnsi="Times New Roman"/>
                <w:sz w:val="22"/>
                <w:szCs w:val="22"/>
              </w:rPr>
              <w:t>828</w:t>
            </w:r>
          </w:p>
        </w:tc>
      </w:tr>
    </w:tbl>
    <w:p w:rsidR="00D6723F" w:rsidRPr="004C7EC8" w:rsidRDefault="00D6723F" w:rsidP="00D6723F">
      <w:pPr>
        <w:pStyle w:val="Zarkazkladnhotextu"/>
        <w:tabs>
          <w:tab w:val="decimal" w:pos="8222"/>
        </w:tabs>
        <w:spacing w:before="120" w:after="0"/>
        <w:ind w:left="0"/>
        <w:rPr>
          <w:rFonts w:ascii="Times New Roman" w:hAnsi="Times New Roman"/>
        </w:rPr>
      </w:pPr>
    </w:p>
    <w:p w:rsidR="00D6723F" w:rsidRDefault="00D6723F" w:rsidP="00D6723F">
      <w:pPr>
        <w:spacing w:after="120"/>
        <w:ind w:firstLine="720"/>
        <w:jc w:val="both"/>
        <w:rPr>
          <w:rFonts w:ascii="Times New Roman" w:hAnsi="Times New Roman"/>
          <w:szCs w:val="24"/>
        </w:rPr>
      </w:pPr>
      <w:r w:rsidRPr="008701BE">
        <w:rPr>
          <w:rFonts w:ascii="Times New Roman" w:hAnsi="Times New Roman"/>
          <w:szCs w:val="24"/>
        </w:rPr>
        <w:t xml:space="preserve">Kvantifikácia príjmov Sociálnej poisťovne v roku </w:t>
      </w:r>
      <w:r>
        <w:rPr>
          <w:rFonts w:ascii="Times New Roman" w:hAnsi="Times New Roman"/>
          <w:szCs w:val="24"/>
        </w:rPr>
        <w:t>2024</w:t>
      </w:r>
      <w:r w:rsidRPr="008701BE">
        <w:rPr>
          <w:rFonts w:ascii="Times New Roman" w:hAnsi="Times New Roman"/>
          <w:szCs w:val="24"/>
        </w:rPr>
        <w:t xml:space="preserve"> rešpektuje tieto sadzby pre platby</w:t>
      </w:r>
      <w:r w:rsidRPr="001D375F">
        <w:rPr>
          <w:rFonts w:ascii="Times New Roman" w:hAnsi="Times New Roman"/>
          <w:szCs w:val="24"/>
        </w:rPr>
        <w:t xml:space="preserve"> poistného:</w:t>
      </w:r>
    </w:p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80"/>
      </w:tblGrid>
      <w:tr w:rsidR="00D6723F" w:rsidRPr="00A55CE4" w:rsidTr="00F624F3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3918DF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918DF">
              <w:rPr>
                <w:rFonts w:ascii="Times New Roman" w:hAnsi="Times New Roman"/>
                <w:b/>
                <w:sz w:val="22"/>
                <w:szCs w:val="22"/>
              </w:rPr>
              <w:t>Druh poistného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F" w:rsidRPr="003918DF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918DF">
              <w:rPr>
                <w:rFonts w:ascii="Times New Roman" w:hAnsi="Times New Roman"/>
                <w:b/>
                <w:sz w:val="22"/>
                <w:szCs w:val="22"/>
              </w:rPr>
              <w:t>Sadzba poistného v %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NP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2,8; resp. 4,4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SP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IP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ÚP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0,8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GP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55CE4">
              <w:rPr>
                <w:rFonts w:ascii="Times New Roman" w:hAnsi="Times New Roman"/>
                <w:sz w:val="22"/>
                <w:szCs w:val="22"/>
              </w:rPr>
              <w:t>PvN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 xml:space="preserve">2, </w:t>
            </w:r>
            <w:proofErr w:type="spellStart"/>
            <w:r w:rsidRPr="00A55CE4">
              <w:rPr>
                <w:rFonts w:ascii="Times New Roman" w:hAnsi="Times New Roman"/>
                <w:sz w:val="22"/>
                <w:szCs w:val="22"/>
              </w:rPr>
              <w:t>resp</w:t>
            </w:r>
            <w:proofErr w:type="spellEnd"/>
            <w:r w:rsidRPr="00A55CE4">
              <w:rPr>
                <w:rFonts w:ascii="Times New Roman" w:hAnsi="Times New Roman"/>
                <w:sz w:val="22"/>
                <w:szCs w:val="22"/>
              </w:rPr>
              <w:t xml:space="preserve"> 1,5 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RFS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4,75; resp. 2 (štát)</w:t>
            </w:r>
          </w:p>
        </w:tc>
      </w:tr>
      <w:tr w:rsidR="00D6723F" w:rsidRPr="00A55CE4" w:rsidTr="00F624F3"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723F" w:rsidRPr="00A55CE4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</w:t>
            </w:r>
            <w:r w:rsidRPr="00A55CE4">
              <w:rPr>
                <w:rFonts w:ascii="Times New Roman" w:hAnsi="Times New Roman"/>
                <w:sz w:val="22"/>
                <w:szCs w:val="22"/>
              </w:rPr>
              <w:t>sobitný fond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A55CE4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55CE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</w:tbl>
    <w:p w:rsidR="00D6723F" w:rsidRDefault="00D6723F" w:rsidP="00D6723F">
      <w:pPr>
        <w:spacing w:after="120"/>
        <w:jc w:val="both"/>
        <w:rPr>
          <w:rFonts w:ascii="Times New Roman" w:hAnsi="Times New Roman"/>
          <w:szCs w:val="24"/>
        </w:rPr>
      </w:pPr>
    </w:p>
    <w:p w:rsidR="003D2A67" w:rsidRDefault="003D2A67" w:rsidP="00D6723F">
      <w:pPr>
        <w:spacing w:before="240" w:after="120"/>
        <w:ind w:left="284" w:firstLine="720"/>
        <w:rPr>
          <w:rFonts w:ascii="Times New Roman" w:hAnsi="Times New Roman"/>
        </w:rPr>
      </w:pPr>
    </w:p>
    <w:p w:rsidR="00D6723F" w:rsidRPr="00D63673" w:rsidRDefault="00D6723F" w:rsidP="00D6723F">
      <w:pPr>
        <w:spacing w:before="240" w:after="120"/>
        <w:ind w:left="284" w:firstLine="720"/>
        <w:rPr>
          <w:rFonts w:ascii="Times New Roman" w:hAnsi="Times New Roman"/>
        </w:rPr>
      </w:pPr>
      <w:r w:rsidRPr="00C0076F">
        <w:rPr>
          <w:rFonts w:ascii="Times New Roman" w:hAnsi="Times New Roman"/>
        </w:rPr>
        <w:lastRenderedPageBreak/>
        <w:t>Ďalej sa pre rok 2024 vychádza z:</w:t>
      </w:r>
    </w:p>
    <w:p w:rsidR="00D6723F" w:rsidRPr="00D63673" w:rsidRDefault="00D6723F" w:rsidP="00D6723F">
      <w:pPr>
        <w:numPr>
          <w:ilvl w:val="0"/>
          <w:numId w:val="16"/>
        </w:numPr>
        <w:spacing w:after="120"/>
        <w:ind w:left="363" w:hanging="357"/>
        <w:jc w:val="both"/>
        <w:rPr>
          <w:rFonts w:ascii="Times New Roman" w:hAnsi="Times New Roman"/>
        </w:rPr>
      </w:pPr>
      <w:r w:rsidRPr="00D63673">
        <w:rPr>
          <w:rFonts w:ascii="Times New Roman" w:hAnsi="Times New Roman"/>
        </w:rPr>
        <w:t>priemernej miery evidovanej nezamestnanosti 6,</w:t>
      </w:r>
      <w:r w:rsidR="006D45D1">
        <w:rPr>
          <w:rFonts w:ascii="Times New Roman" w:hAnsi="Times New Roman"/>
        </w:rPr>
        <w:t>2</w:t>
      </w:r>
      <w:r w:rsidRPr="00D63673">
        <w:rPr>
          <w:rFonts w:ascii="Times New Roman" w:hAnsi="Times New Roman"/>
        </w:rPr>
        <w:t xml:space="preserve"> %,</w:t>
      </w:r>
    </w:p>
    <w:p w:rsidR="00D6723F" w:rsidRPr="00D63673" w:rsidRDefault="00D6723F" w:rsidP="00D6723F">
      <w:pPr>
        <w:numPr>
          <w:ilvl w:val="0"/>
          <w:numId w:val="16"/>
        </w:numPr>
        <w:spacing w:after="120"/>
        <w:ind w:left="363" w:hanging="357"/>
        <w:jc w:val="both"/>
        <w:rPr>
          <w:rFonts w:ascii="Times New Roman" w:hAnsi="Times New Roman"/>
        </w:rPr>
      </w:pPr>
      <w:r w:rsidRPr="00D63673">
        <w:rPr>
          <w:rFonts w:ascii="Times New Roman" w:hAnsi="Times New Roman"/>
        </w:rPr>
        <w:t>priemernej mzdy v  hospodárstve vo výške 1 </w:t>
      </w:r>
      <w:r w:rsidR="00C0076F">
        <w:rPr>
          <w:rFonts w:ascii="Times New Roman" w:hAnsi="Times New Roman"/>
        </w:rPr>
        <w:t>5</w:t>
      </w:r>
      <w:r w:rsidR="00BE5669">
        <w:rPr>
          <w:rFonts w:ascii="Times New Roman" w:hAnsi="Times New Roman"/>
        </w:rPr>
        <w:t>34</w:t>
      </w:r>
      <w:r w:rsidRPr="00D63673">
        <w:rPr>
          <w:rFonts w:ascii="Times New Roman" w:hAnsi="Times New Roman"/>
        </w:rPr>
        <w:t> eur,</w:t>
      </w:r>
    </w:p>
    <w:p w:rsidR="00D6723F" w:rsidRDefault="00D6723F" w:rsidP="00FC653F">
      <w:pPr>
        <w:numPr>
          <w:ilvl w:val="0"/>
          <w:numId w:val="16"/>
        </w:numPr>
        <w:spacing w:after="120"/>
        <w:ind w:left="363" w:hanging="357"/>
        <w:jc w:val="both"/>
        <w:rPr>
          <w:rFonts w:ascii="Times New Roman" w:hAnsi="Times New Roman"/>
        </w:rPr>
      </w:pPr>
      <w:r w:rsidRPr="00C0076F">
        <w:rPr>
          <w:rFonts w:ascii="Times New Roman" w:hAnsi="Times New Roman"/>
        </w:rPr>
        <w:t xml:space="preserve">predpokladaného priemerného počtu poistencov </w:t>
      </w:r>
      <w:r w:rsidR="00C0076F" w:rsidRPr="00C0076F">
        <w:rPr>
          <w:rFonts w:ascii="Times New Roman" w:hAnsi="Times New Roman"/>
        </w:rPr>
        <w:t xml:space="preserve">a vymeriavacieho základu, z ktorého sa platí poistné </w:t>
      </w:r>
      <w:r w:rsidRPr="00C0076F">
        <w:rPr>
          <w:rFonts w:ascii="Times New Roman" w:hAnsi="Times New Roman"/>
        </w:rPr>
        <w:t>z informačného systému jednotného výberu poistného Sociálnej poisťovne</w:t>
      </w:r>
      <w:r w:rsidR="00C0076F">
        <w:rPr>
          <w:rFonts w:ascii="Times New Roman" w:hAnsi="Times New Roman"/>
        </w:rPr>
        <w:t>.</w:t>
      </w:r>
    </w:p>
    <w:p w:rsidR="00D6723F" w:rsidRDefault="00D6723F" w:rsidP="00C0076F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8927DF">
        <w:rPr>
          <w:rFonts w:ascii="Times New Roman" w:hAnsi="Times New Roman"/>
          <w:szCs w:val="24"/>
        </w:rPr>
        <w:t xml:space="preserve">Príjmy z poistného od EAO </w:t>
      </w:r>
      <w:r w:rsidRPr="008927DF">
        <w:rPr>
          <w:rFonts w:ascii="Times New Roman" w:hAnsi="Times New Roman"/>
          <w:b/>
          <w:szCs w:val="24"/>
        </w:rPr>
        <w:t xml:space="preserve">v rokoch </w:t>
      </w:r>
      <w:r>
        <w:rPr>
          <w:rFonts w:ascii="Times New Roman" w:hAnsi="Times New Roman"/>
          <w:b/>
          <w:szCs w:val="24"/>
        </w:rPr>
        <w:t>2025</w:t>
      </w:r>
      <w:r w:rsidRPr="008927DF">
        <w:rPr>
          <w:rFonts w:ascii="Times New Roman" w:hAnsi="Times New Roman"/>
          <w:b/>
          <w:szCs w:val="24"/>
        </w:rPr>
        <w:t xml:space="preserve"> a </w:t>
      </w:r>
      <w:r>
        <w:rPr>
          <w:rFonts w:ascii="Times New Roman" w:hAnsi="Times New Roman"/>
          <w:b/>
          <w:szCs w:val="24"/>
        </w:rPr>
        <w:t>2026</w:t>
      </w:r>
      <w:r w:rsidRPr="008927DF">
        <w:rPr>
          <w:rFonts w:ascii="Times New Roman" w:hAnsi="Times New Roman"/>
          <w:szCs w:val="24"/>
        </w:rPr>
        <w:t xml:space="preserve"> sú stanovené indexom, ktorý sa odvíja najmä od medziročného rastu priemernej mzdy v hospodárstve SR </w:t>
      </w:r>
      <w:proofErr w:type="spellStart"/>
      <w:r w:rsidRPr="008927DF">
        <w:rPr>
          <w:rFonts w:ascii="Times New Roman" w:hAnsi="Times New Roman"/>
          <w:szCs w:val="24"/>
        </w:rPr>
        <w:t>predikovaného</w:t>
      </w:r>
      <w:proofErr w:type="spellEnd"/>
      <w:r w:rsidRPr="008927DF">
        <w:rPr>
          <w:rFonts w:ascii="Times New Roman" w:hAnsi="Times New Roman"/>
          <w:szCs w:val="24"/>
        </w:rPr>
        <w:t xml:space="preserve"> IFP MF SR.</w:t>
      </w:r>
      <w:r w:rsidRPr="00723DB2">
        <w:rPr>
          <w:rFonts w:ascii="Times New Roman" w:hAnsi="Times New Roman"/>
          <w:szCs w:val="24"/>
        </w:rPr>
        <w:t xml:space="preserve"> </w:t>
      </w:r>
    </w:p>
    <w:p w:rsidR="00D6723F" w:rsidRPr="00934EA4" w:rsidRDefault="00D6723F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b/>
          <w:szCs w:val="24"/>
        </w:rPr>
      </w:pPr>
      <w:r w:rsidRPr="00934EA4">
        <w:rPr>
          <w:rFonts w:ascii="Times New Roman" w:hAnsi="Times New Roman"/>
          <w:b/>
          <w:szCs w:val="24"/>
        </w:rPr>
        <w:t>Výdavky (náklady) Sociálnej poisťovne</w:t>
      </w:r>
    </w:p>
    <w:p w:rsidR="0089493E" w:rsidRDefault="00D6723F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AD3029">
        <w:rPr>
          <w:rFonts w:ascii="Times New Roman" w:hAnsi="Times New Roman"/>
          <w:b/>
          <w:szCs w:val="24"/>
        </w:rPr>
        <w:t>Celkové výdavky</w:t>
      </w:r>
      <w:r w:rsidRPr="00CA4B4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(náklady) Sociálnej poisťovne </w:t>
      </w:r>
      <w:r w:rsidRPr="00AD3029">
        <w:rPr>
          <w:rFonts w:ascii="Times New Roman" w:hAnsi="Times New Roman"/>
          <w:b/>
          <w:szCs w:val="24"/>
        </w:rPr>
        <w:t>na r</w:t>
      </w:r>
      <w:r w:rsidRPr="003918DF">
        <w:rPr>
          <w:rFonts w:ascii="Times New Roman" w:hAnsi="Times New Roman"/>
          <w:b/>
          <w:szCs w:val="24"/>
        </w:rPr>
        <w:t xml:space="preserve">ok </w:t>
      </w:r>
      <w:r>
        <w:rPr>
          <w:rFonts w:ascii="Times New Roman" w:hAnsi="Times New Roman"/>
          <w:b/>
          <w:szCs w:val="24"/>
        </w:rPr>
        <w:t>2024</w:t>
      </w:r>
      <w:r w:rsidRPr="00CA4B4A">
        <w:rPr>
          <w:rFonts w:ascii="Times New Roman" w:hAnsi="Times New Roman"/>
          <w:szCs w:val="24"/>
        </w:rPr>
        <w:t xml:space="preserve"> sa predpoklad</w:t>
      </w:r>
      <w:r>
        <w:rPr>
          <w:rFonts w:ascii="Times New Roman" w:hAnsi="Times New Roman"/>
          <w:szCs w:val="24"/>
        </w:rPr>
        <w:t>ajú</w:t>
      </w:r>
      <w:r w:rsidRPr="00CA4B4A">
        <w:rPr>
          <w:rFonts w:ascii="Times New Roman" w:hAnsi="Times New Roman"/>
          <w:szCs w:val="24"/>
        </w:rPr>
        <w:t xml:space="preserve"> v sume </w:t>
      </w:r>
      <w:r w:rsidR="004A4A8E">
        <w:rPr>
          <w:rFonts w:ascii="Times New Roman" w:hAnsi="Times New Roman"/>
          <w:b/>
          <w:szCs w:val="24"/>
        </w:rPr>
        <w:t>1</w:t>
      </w:r>
      <w:r w:rsidR="0089493E">
        <w:rPr>
          <w:rFonts w:ascii="Times New Roman" w:hAnsi="Times New Roman"/>
          <w:b/>
          <w:szCs w:val="24"/>
        </w:rPr>
        <w:t>3</w:t>
      </w:r>
      <w:r w:rsidRPr="00AD3029">
        <w:rPr>
          <w:rFonts w:ascii="Times New Roman" w:hAnsi="Times New Roman"/>
          <w:b/>
          <w:szCs w:val="24"/>
        </w:rPr>
        <w:t> </w:t>
      </w:r>
      <w:r w:rsidR="006D45D1">
        <w:rPr>
          <w:rFonts w:ascii="Times New Roman" w:hAnsi="Times New Roman"/>
          <w:b/>
          <w:szCs w:val="24"/>
        </w:rPr>
        <w:t>028</w:t>
      </w:r>
      <w:r w:rsidRPr="00AD3029">
        <w:rPr>
          <w:rFonts w:ascii="Times New Roman" w:hAnsi="Times New Roman"/>
          <w:b/>
          <w:szCs w:val="24"/>
        </w:rPr>
        <w:t> </w:t>
      </w:r>
      <w:r w:rsidR="006D45D1">
        <w:rPr>
          <w:rFonts w:ascii="Times New Roman" w:hAnsi="Times New Roman"/>
          <w:b/>
          <w:szCs w:val="24"/>
        </w:rPr>
        <w:t>741</w:t>
      </w:r>
      <w:r w:rsidRPr="00AD3029">
        <w:rPr>
          <w:rFonts w:ascii="Times New Roman" w:hAnsi="Times New Roman"/>
          <w:b/>
          <w:szCs w:val="24"/>
        </w:rPr>
        <w:t> tis. eur</w:t>
      </w:r>
      <w:r>
        <w:rPr>
          <w:rFonts w:ascii="Times New Roman" w:hAnsi="Times New Roman"/>
          <w:szCs w:val="24"/>
        </w:rPr>
        <w:t xml:space="preserve">. </w:t>
      </w:r>
    </w:p>
    <w:p w:rsidR="00D6723F" w:rsidRDefault="00D6723F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b/>
          <w:szCs w:val="24"/>
        </w:rPr>
        <w:t>Výdavky (náklady) Sociálnej poisťovne na</w:t>
      </w:r>
      <w:r>
        <w:rPr>
          <w:rFonts w:ascii="Times New Roman" w:hAnsi="Times New Roman"/>
          <w:b/>
          <w:szCs w:val="24"/>
        </w:rPr>
        <w:t xml:space="preserve"> roky</w:t>
      </w:r>
      <w:r w:rsidRPr="004C7EC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2024 až 2026</w:t>
      </w:r>
      <w:r w:rsidRPr="004C7EC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podľa fondov </w:t>
      </w:r>
      <w:r w:rsidRPr="004C7EC8">
        <w:rPr>
          <w:rFonts w:ascii="Times New Roman" w:hAnsi="Times New Roman"/>
          <w:szCs w:val="24"/>
        </w:rPr>
        <w:t>sa rozpočtujú:</w:t>
      </w:r>
    </w:p>
    <w:tbl>
      <w:tblPr>
        <w:tblW w:w="98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60"/>
        <w:gridCol w:w="1960"/>
        <w:gridCol w:w="1656"/>
      </w:tblGrid>
      <w:tr w:rsidR="008B42D6" w:rsidRPr="008B42D6" w:rsidTr="008B42D6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v tis. eur</w:t>
            </w:r>
          </w:p>
        </w:tc>
      </w:tr>
      <w:tr w:rsidR="008B42D6" w:rsidRPr="008B42D6" w:rsidTr="008B42D6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Ukazovateľ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Návrh rozpočtu na rok 2024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8B42D6" w:rsidRPr="008B42D6" w:rsidTr="008B42D6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rok 2025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rok 2026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Použitie prostriedkov celkom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13 028 741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13 866 745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B42D6">
              <w:rPr>
                <w:rFonts w:ascii="Times New Roman" w:hAnsi="Times New Roman"/>
                <w:b/>
                <w:bCs/>
                <w:sz w:val="22"/>
                <w:szCs w:val="22"/>
              </w:rPr>
              <w:t>14 141 069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základný fond nemocenského poistenia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1 100 022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1 107 242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1 144 751</w:t>
            </w:r>
          </w:p>
        </w:tc>
      </w:tr>
      <w:tr w:rsidR="008B42D6" w:rsidRPr="008B42D6" w:rsidTr="008B42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základný fond starobného poistenia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9 989 557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10 711 723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10 932 954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základný fond invalidného poistenia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1 272 151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1 343 183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1 315 879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dôchodkové poistenie spolu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11 261 708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12 054 906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12 248 833</w:t>
            </w:r>
          </w:p>
        </w:tc>
      </w:tr>
      <w:tr w:rsidR="008B42D6" w:rsidRPr="008B42D6" w:rsidTr="008B42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základný fond úrazového poistenia , v tom: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63 603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67 523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68 684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 - výdavky na úrazové dávky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57 884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61 299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61 912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 - úhrada poistného na starobné poistenie a príspevkov na SDS za poberateľov úrazovej renty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5 719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6 224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6 772</w:t>
            </w:r>
          </w:p>
        </w:tc>
      </w:tr>
      <w:tr w:rsidR="008B42D6" w:rsidRPr="008B42D6" w:rsidTr="008B42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základný fond garančného poistenia , v tom: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32 934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33 570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34 826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 - výdavky na dávku garančného poistenia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2 132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2 213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2 337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 - úhrada príspevkov na SDS nezaplatených zamestnávateľom do základného fondu príspevkov na SDS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30 802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31 357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32 489</w:t>
            </w:r>
          </w:p>
        </w:tc>
      </w:tr>
      <w:tr w:rsidR="008B42D6" w:rsidRPr="008B42D6" w:rsidTr="008B42D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základný fond poistenia v nezamestnanosti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453 613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520 748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544 850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 - výdavky na dávku v nezamestnanosti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444 894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511 178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535 087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 xml:space="preserve"> - postúpenie fin. prostriedkov, ktoré žiada príslušný orgán na výplatu podpory v čase skrátenej práce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8 719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9 570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9 763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správny fond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115 759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81 600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97 969</w:t>
            </w:r>
          </w:p>
        </w:tc>
      </w:tr>
      <w:tr w:rsidR="008B42D6" w:rsidRPr="008B42D6" w:rsidTr="008B42D6"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osobitný fond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1 102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1 156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2D6" w:rsidRPr="008B42D6" w:rsidRDefault="008B42D6" w:rsidP="008B42D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8B42D6">
              <w:rPr>
                <w:rFonts w:ascii="Times New Roman" w:hAnsi="Times New Roman"/>
                <w:sz w:val="22"/>
                <w:szCs w:val="22"/>
              </w:rPr>
              <w:t>1 156</w:t>
            </w:r>
          </w:p>
        </w:tc>
      </w:tr>
    </w:tbl>
    <w:p w:rsidR="008B42D6" w:rsidRDefault="008B42D6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D07C0F" w:rsidRDefault="00D07C0F" w:rsidP="00D07C0F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</w:t>
      </w:r>
      <w:r w:rsidRPr="000A1E40">
        <w:rPr>
          <w:rFonts w:ascii="Times New Roman" w:hAnsi="Times New Roman"/>
          <w:szCs w:val="24"/>
        </w:rPr>
        <w:t xml:space="preserve">ávrh rozpočtu </w:t>
      </w:r>
      <w:r w:rsidRPr="00D07C0F">
        <w:rPr>
          <w:rFonts w:ascii="Times New Roman" w:hAnsi="Times New Roman"/>
          <w:b/>
          <w:szCs w:val="24"/>
        </w:rPr>
        <w:t>správneho fondu</w:t>
      </w:r>
      <w:r w:rsidRPr="000A1E4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Sociálnej poisťovne je zostavený z úpravy v </w:t>
      </w:r>
      <w:r w:rsidRPr="000413F1">
        <w:rPr>
          <w:rFonts w:ascii="Times New Roman" w:hAnsi="Times New Roman"/>
          <w:szCs w:val="24"/>
        </w:rPr>
        <w:t>informačnom systéme Štátnej pokladnice RIS</w:t>
      </w:r>
      <w:r>
        <w:rPr>
          <w:rFonts w:ascii="Times New Roman" w:hAnsi="Times New Roman"/>
          <w:szCs w:val="24"/>
        </w:rPr>
        <w:t>,</w:t>
      </w:r>
      <w:r w:rsidRPr="000413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ktorú</w:t>
      </w:r>
      <w:r w:rsidRPr="000413F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realizovalo </w:t>
      </w:r>
      <w:r w:rsidRPr="000413F1">
        <w:rPr>
          <w:rFonts w:ascii="Times New Roman" w:hAnsi="Times New Roman"/>
          <w:szCs w:val="24"/>
        </w:rPr>
        <w:t>ministerstv</w:t>
      </w:r>
      <w:r>
        <w:rPr>
          <w:rFonts w:ascii="Times New Roman" w:hAnsi="Times New Roman"/>
          <w:szCs w:val="24"/>
        </w:rPr>
        <w:t>o</w:t>
      </w:r>
      <w:r w:rsidRPr="000413F1">
        <w:rPr>
          <w:rFonts w:ascii="Times New Roman" w:hAnsi="Times New Roman"/>
          <w:szCs w:val="24"/>
        </w:rPr>
        <w:t xml:space="preserve"> financií </w:t>
      </w:r>
      <w:r>
        <w:rPr>
          <w:rFonts w:ascii="Times New Roman" w:hAnsi="Times New Roman"/>
          <w:szCs w:val="24"/>
        </w:rPr>
        <w:t>v </w:t>
      </w:r>
      <w:r w:rsidRPr="000413F1">
        <w:rPr>
          <w:rFonts w:ascii="Times New Roman" w:hAnsi="Times New Roman"/>
          <w:szCs w:val="24"/>
        </w:rPr>
        <w:t>alternatíve „Vyrovnaný rozpočet“ s abstrahovaním zmien v Sociálnej poisťovni mimo správneho fondu, ktorý bol ponížený vo výdavkovej časti správneho fondu v rok</w:t>
      </w:r>
      <w:r>
        <w:rPr>
          <w:rFonts w:ascii="Times New Roman" w:hAnsi="Times New Roman"/>
          <w:szCs w:val="24"/>
        </w:rPr>
        <w:t>och</w:t>
      </w:r>
      <w:r w:rsidRPr="000413F1">
        <w:rPr>
          <w:rFonts w:ascii="Times New Roman" w:hAnsi="Times New Roman"/>
          <w:szCs w:val="24"/>
        </w:rPr>
        <w:t xml:space="preserve"> 2024</w:t>
      </w:r>
      <w:r>
        <w:rPr>
          <w:rFonts w:ascii="Times New Roman" w:hAnsi="Times New Roman"/>
          <w:szCs w:val="24"/>
        </w:rPr>
        <w:t xml:space="preserve"> až 2026</w:t>
      </w:r>
      <w:r w:rsidRPr="000413F1">
        <w:rPr>
          <w:rFonts w:ascii="Times New Roman" w:hAnsi="Times New Roman"/>
          <w:szCs w:val="24"/>
        </w:rPr>
        <w:t xml:space="preserve"> s odvolaním sa na ústavný zákon č. 493/2011 Z. z. o rozpočtovej zodpovednosti</w:t>
      </w:r>
      <w:r>
        <w:rPr>
          <w:rFonts w:ascii="Times New Roman" w:hAnsi="Times New Roman"/>
          <w:szCs w:val="24"/>
        </w:rPr>
        <w:t xml:space="preserve"> a aktualizácie makroekonomickej a daňovej prognózy</w:t>
      </w:r>
      <w:r w:rsidRPr="000413F1">
        <w:rPr>
          <w:rFonts w:ascii="Times New Roman" w:hAnsi="Times New Roman"/>
          <w:szCs w:val="24"/>
        </w:rPr>
        <w:t>.</w:t>
      </w:r>
    </w:p>
    <w:p w:rsidR="00D07C0F" w:rsidRDefault="00D07C0F" w:rsidP="00D07C0F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</w:p>
    <w:p w:rsidR="00D07C0F" w:rsidRDefault="00D07C0F" w:rsidP="00D07C0F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5F0ECC">
        <w:rPr>
          <w:rFonts w:ascii="Times New Roman" w:hAnsi="Times New Roman"/>
          <w:szCs w:val="24"/>
        </w:rPr>
        <w:lastRenderedPageBreak/>
        <w:t>Návrh rozpočtu v základnej štruktúre je spracovaný v nasledujúcej tabuľke:</w:t>
      </w:r>
      <w:r>
        <w:rPr>
          <w:rFonts w:ascii="Times New Roman" w:hAnsi="Times New Roman"/>
          <w:szCs w:val="24"/>
        </w:rPr>
        <w:t xml:space="preserve"> </w:t>
      </w:r>
    </w:p>
    <w:p w:rsidR="00D07C0F" w:rsidRPr="00685EA7" w:rsidRDefault="00D07C0F" w:rsidP="00D07C0F">
      <w:pPr>
        <w:spacing w:before="120"/>
        <w:ind w:firstLine="720"/>
        <w:jc w:val="right"/>
        <w:rPr>
          <w:rFonts w:ascii="Times New Roman" w:hAnsi="Times New Roman"/>
          <w:sz w:val="22"/>
          <w:szCs w:val="22"/>
        </w:rPr>
      </w:pP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16"/>
          <w:szCs w:val="16"/>
        </w:rPr>
        <w:tab/>
      </w:r>
      <w:r w:rsidRPr="00685EA7">
        <w:rPr>
          <w:rFonts w:ascii="Times New Roman" w:hAnsi="Times New Roman"/>
          <w:sz w:val="22"/>
          <w:szCs w:val="22"/>
        </w:rPr>
        <w:t xml:space="preserve">v tis. </w:t>
      </w:r>
      <w:r>
        <w:rPr>
          <w:rFonts w:ascii="Times New Roman" w:hAnsi="Times New Roman"/>
          <w:sz w:val="22"/>
          <w:szCs w:val="22"/>
        </w:rPr>
        <w:t>e</w:t>
      </w:r>
      <w:r w:rsidRPr="00685EA7">
        <w:rPr>
          <w:rFonts w:ascii="Times New Roman" w:hAnsi="Times New Roman"/>
          <w:sz w:val="22"/>
          <w:szCs w:val="22"/>
        </w:rPr>
        <w:t>ur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418"/>
        <w:gridCol w:w="1417"/>
      </w:tblGrid>
      <w:tr w:rsidR="00D07C0F" w:rsidRPr="00685EA7" w:rsidTr="00F17358">
        <w:trPr>
          <w:trHeight w:val="255"/>
        </w:trPr>
        <w:tc>
          <w:tcPr>
            <w:tcW w:w="4678" w:type="dxa"/>
            <w:noWrap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559" w:type="dxa"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Rok 2024</w:t>
            </w:r>
          </w:p>
        </w:tc>
        <w:tc>
          <w:tcPr>
            <w:tcW w:w="1418" w:type="dxa"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  <w:tc>
          <w:tcPr>
            <w:tcW w:w="1417" w:type="dxa"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tcBorders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Bežné výdavky (náklady) 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115 734</w:t>
            </w:r>
          </w:p>
        </w:tc>
        <w:tc>
          <w:tcPr>
            <w:tcW w:w="1418" w:type="dxa"/>
            <w:tcBorders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81 575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97 944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mzdy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60 523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51 227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52 840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poistné a príspevok do poisťovní.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23 302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19 723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20 343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tovary a služby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26 135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4 465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451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tcBorders>
              <w:top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- bežné transfery </w:t>
            </w:r>
          </w:p>
        </w:tc>
        <w:tc>
          <w:tcPr>
            <w:tcW w:w="1559" w:type="dxa"/>
            <w:tcBorders>
              <w:top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5 774</w:t>
            </w:r>
          </w:p>
        </w:tc>
        <w:tc>
          <w:tcPr>
            <w:tcW w:w="1418" w:type="dxa"/>
            <w:tcBorders>
              <w:top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6 160</w:t>
            </w:r>
          </w:p>
        </w:tc>
        <w:tc>
          <w:tcPr>
            <w:tcW w:w="1417" w:type="dxa"/>
            <w:tcBorders>
              <w:top w:val="nil"/>
            </w:tcBorders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6 310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Kapitálové výdavky </w:t>
            </w:r>
          </w:p>
        </w:tc>
        <w:tc>
          <w:tcPr>
            <w:tcW w:w="1559" w:type="dxa"/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D07C0F" w:rsidRPr="00685EA7" w:rsidTr="00F17358">
        <w:trPr>
          <w:trHeight w:val="255"/>
        </w:trPr>
        <w:tc>
          <w:tcPr>
            <w:tcW w:w="4678" w:type="dxa"/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Výdavky z transakcií s finančnými aktívami a finančnými pasívami</w:t>
            </w:r>
          </w:p>
        </w:tc>
        <w:tc>
          <w:tcPr>
            <w:tcW w:w="1559" w:type="dxa"/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685EA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25</w:t>
            </w:r>
          </w:p>
        </w:tc>
      </w:tr>
      <w:tr w:rsidR="00D07C0F" w:rsidRPr="00F17358" w:rsidTr="00F17358">
        <w:trPr>
          <w:trHeight w:val="267"/>
        </w:trPr>
        <w:tc>
          <w:tcPr>
            <w:tcW w:w="4678" w:type="dxa"/>
            <w:vAlign w:val="bottom"/>
          </w:tcPr>
          <w:p w:rsidR="00D07C0F" w:rsidRPr="00F17358" w:rsidRDefault="00D07C0F" w:rsidP="00D07C0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7358">
              <w:rPr>
                <w:rFonts w:ascii="Times New Roman" w:hAnsi="Times New Roman"/>
                <w:b/>
                <w:bCs/>
                <w:sz w:val="22"/>
                <w:szCs w:val="22"/>
              </w:rPr>
              <w:t>Spolu výdavky (náklady) správneho fondu</w:t>
            </w:r>
          </w:p>
        </w:tc>
        <w:tc>
          <w:tcPr>
            <w:tcW w:w="1559" w:type="dxa"/>
            <w:vAlign w:val="bottom"/>
          </w:tcPr>
          <w:p w:rsidR="00D07C0F" w:rsidRPr="00F17358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7358">
              <w:rPr>
                <w:rFonts w:ascii="Times New Roman" w:hAnsi="Times New Roman"/>
                <w:b/>
                <w:bCs/>
                <w:sz w:val="22"/>
                <w:szCs w:val="22"/>
              </w:rPr>
              <w:t>115 759</w:t>
            </w:r>
          </w:p>
        </w:tc>
        <w:tc>
          <w:tcPr>
            <w:tcW w:w="1418" w:type="dxa"/>
            <w:vAlign w:val="bottom"/>
          </w:tcPr>
          <w:p w:rsidR="00D07C0F" w:rsidRPr="00F17358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7358">
              <w:rPr>
                <w:rFonts w:ascii="Times New Roman" w:hAnsi="Times New Roman"/>
                <w:b/>
                <w:bCs/>
                <w:sz w:val="22"/>
                <w:szCs w:val="22"/>
              </w:rPr>
              <w:t>81 600</w:t>
            </w:r>
          </w:p>
        </w:tc>
        <w:tc>
          <w:tcPr>
            <w:tcW w:w="1417" w:type="dxa"/>
            <w:vAlign w:val="bottom"/>
          </w:tcPr>
          <w:p w:rsidR="00D07C0F" w:rsidRPr="00F17358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17358">
              <w:rPr>
                <w:rFonts w:ascii="Times New Roman" w:hAnsi="Times New Roman"/>
                <w:b/>
                <w:bCs/>
                <w:sz w:val="22"/>
                <w:szCs w:val="22"/>
              </w:rPr>
              <w:t>97 969</w:t>
            </w:r>
          </w:p>
        </w:tc>
      </w:tr>
    </w:tbl>
    <w:p w:rsidR="00D07C0F" w:rsidRDefault="00D07C0F" w:rsidP="00D07C0F">
      <w:pPr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5F0ECC">
        <w:rPr>
          <w:rFonts w:ascii="Times New Roman" w:hAnsi="Times New Roman"/>
          <w:szCs w:val="24"/>
        </w:rPr>
        <w:t>Výška výdavkov na úrovni 1</w:t>
      </w:r>
      <w:r>
        <w:rPr>
          <w:rFonts w:ascii="Times New Roman" w:hAnsi="Times New Roman"/>
          <w:szCs w:val="24"/>
        </w:rPr>
        <w:t>15</w:t>
      </w:r>
      <w:r w:rsidRPr="005F0ECC">
        <w:rPr>
          <w:rFonts w:ascii="Times New Roman" w:hAnsi="Times New Roman"/>
          <w:szCs w:val="24"/>
        </w:rPr>
        <w:t xml:space="preserve"> 7</w:t>
      </w:r>
      <w:r>
        <w:rPr>
          <w:rFonts w:ascii="Times New Roman" w:hAnsi="Times New Roman"/>
          <w:szCs w:val="24"/>
        </w:rPr>
        <w:t>59</w:t>
      </w:r>
      <w:r w:rsidRPr="005F0ECC">
        <w:rPr>
          <w:rFonts w:ascii="Times New Roman" w:hAnsi="Times New Roman"/>
          <w:szCs w:val="24"/>
        </w:rPr>
        <w:t xml:space="preserve"> tis. eur, aj v prípade prijatia maximálnych racionalizačných opatrení zo strany Sociálnej poisťovne absolútne  nezohľadňuje jej potreby  nevyhnutné na zabezpečenie finančného krytia výdavkov súvisiacich s vykonávaním  sociálneho poistenia, starobného dôchodkového sporenia, výdavkov súvisiacich s plnením funkcie prístupového bodu  a ďalších nákladov súvisiacich s predmetom činnosti Sociálnej poisťovne a jej  základnou prevádzkou   a je spôsobilá ohroziť samotné fungovanie  Sociálnej poisťovne.</w:t>
      </w:r>
    </w:p>
    <w:p w:rsidR="00D07C0F" w:rsidRPr="00685EA7" w:rsidRDefault="00D07C0F" w:rsidP="00D07C0F">
      <w:pPr>
        <w:tabs>
          <w:tab w:val="right" w:pos="8931"/>
        </w:tabs>
        <w:spacing w:before="240" w:after="120"/>
        <w:ind w:firstLine="709"/>
        <w:jc w:val="both"/>
        <w:rPr>
          <w:rFonts w:ascii="Times New Roman" w:hAnsi="Times New Roman"/>
          <w:szCs w:val="24"/>
        </w:rPr>
      </w:pPr>
      <w:r w:rsidRPr="00685EA7">
        <w:rPr>
          <w:rFonts w:ascii="Times New Roman" w:hAnsi="Times New Roman"/>
          <w:szCs w:val="24"/>
        </w:rPr>
        <w:t>V oblasti ľudských zdrojov rozpočtované finančné prostriedky určujú nasledujúci vývoj: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134"/>
        <w:gridCol w:w="1418"/>
        <w:gridCol w:w="1181"/>
        <w:gridCol w:w="1181"/>
        <w:gridCol w:w="1181"/>
      </w:tblGrid>
      <w:tr w:rsidR="00D07C0F" w:rsidRPr="00685EA7" w:rsidTr="00F17358">
        <w:trPr>
          <w:trHeight w:val="520"/>
        </w:trPr>
        <w:tc>
          <w:tcPr>
            <w:tcW w:w="2977" w:type="dxa"/>
            <w:vAlign w:val="center"/>
          </w:tcPr>
          <w:p w:rsidR="00D07C0F" w:rsidRPr="00D07C0F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Ukazovateľ</w:t>
            </w:r>
          </w:p>
        </w:tc>
        <w:tc>
          <w:tcPr>
            <w:tcW w:w="1134" w:type="dxa"/>
            <w:vAlign w:val="center"/>
          </w:tcPr>
          <w:p w:rsidR="00D07C0F" w:rsidRPr="00D07C0F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Merná jednotka</w:t>
            </w:r>
          </w:p>
        </w:tc>
        <w:tc>
          <w:tcPr>
            <w:tcW w:w="1418" w:type="dxa"/>
            <w:vAlign w:val="center"/>
          </w:tcPr>
          <w:p w:rsidR="00D07C0F" w:rsidRPr="00D07C0F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Očakávaná skutočnosť k 31.12 2023</w:t>
            </w:r>
          </w:p>
        </w:tc>
        <w:tc>
          <w:tcPr>
            <w:tcW w:w="1181" w:type="dxa"/>
            <w:vAlign w:val="center"/>
          </w:tcPr>
          <w:p w:rsidR="00D07C0F" w:rsidRPr="00D07C0F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Rok 2024</w:t>
            </w:r>
          </w:p>
        </w:tc>
        <w:tc>
          <w:tcPr>
            <w:tcW w:w="1181" w:type="dxa"/>
            <w:vAlign w:val="center"/>
          </w:tcPr>
          <w:p w:rsidR="00D07C0F" w:rsidRPr="00D07C0F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Rok 2025</w:t>
            </w:r>
          </w:p>
        </w:tc>
        <w:tc>
          <w:tcPr>
            <w:tcW w:w="1181" w:type="dxa"/>
            <w:vAlign w:val="center"/>
          </w:tcPr>
          <w:p w:rsidR="00D07C0F" w:rsidRPr="00D07C0F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Rok 2026</w:t>
            </w:r>
          </w:p>
        </w:tc>
      </w:tr>
      <w:tr w:rsidR="00D07C0F" w:rsidRPr="00685EA7" w:rsidTr="00F17358">
        <w:tc>
          <w:tcPr>
            <w:tcW w:w="4111" w:type="dxa"/>
            <w:gridSpan w:val="2"/>
          </w:tcPr>
          <w:p w:rsidR="00D07C0F" w:rsidRPr="00685EA7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418" w:type="dxa"/>
          </w:tcPr>
          <w:p w:rsidR="00D07C0F" w:rsidRPr="00685EA7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81" w:type="dxa"/>
          </w:tcPr>
          <w:p w:rsidR="00D07C0F" w:rsidRPr="00685EA7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81" w:type="dxa"/>
          </w:tcPr>
          <w:p w:rsidR="00D07C0F" w:rsidRPr="00685EA7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81" w:type="dxa"/>
          </w:tcPr>
          <w:p w:rsidR="00D07C0F" w:rsidRPr="00685EA7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D07C0F" w:rsidRPr="00685EA7" w:rsidTr="00F17358">
        <w:tc>
          <w:tcPr>
            <w:tcW w:w="2977" w:type="dxa"/>
          </w:tcPr>
          <w:p w:rsidR="00D07C0F" w:rsidRPr="00685EA7" w:rsidRDefault="00D07C0F" w:rsidP="00D07C0F">
            <w:pPr>
              <w:tabs>
                <w:tab w:val="right" w:pos="8931"/>
              </w:tabs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Priemerný evidenčný počet zamestnancov</w:t>
            </w:r>
          </w:p>
        </w:tc>
        <w:tc>
          <w:tcPr>
            <w:tcW w:w="1134" w:type="dxa"/>
            <w:vAlign w:val="bottom"/>
          </w:tcPr>
          <w:p w:rsidR="00D07C0F" w:rsidRPr="00685EA7" w:rsidRDefault="00D07C0F" w:rsidP="00D07C0F">
            <w:pPr>
              <w:tabs>
                <w:tab w:val="right" w:pos="8931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osoby</w:t>
            </w:r>
          </w:p>
        </w:tc>
        <w:tc>
          <w:tcPr>
            <w:tcW w:w="1418" w:type="dxa"/>
            <w:vAlign w:val="bottom"/>
          </w:tcPr>
          <w:p w:rsidR="00D07C0F" w:rsidRPr="00685EA7" w:rsidRDefault="00D07C0F" w:rsidP="00D07C0F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497</w:t>
            </w:r>
          </w:p>
        </w:tc>
        <w:tc>
          <w:tcPr>
            <w:tcW w:w="1181" w:type="dxa"/>
            <w:vAlign w:val="bottom"/>
          </w:tcPr>
          <w:p w:rsidR="00D07C0F" w:rsidRPr="00685EA7" w:rsidRDefault="00D07C0F" w:rsidP="00D07C0F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458</w:t>
            </w:r>
          </w:p>
        </w:tc>
        <w:tc>
          <w:tcPr>
            <w:tcW w:w="1181" w:type="dxa"/>
            <w:vAlign w:val="bottom"/>
          </w:tcPr>
          <w:p w:rsidR="00D07C0F" w:rsidRPr="00685EA7" w:rsidRDefault="00D07C0F" w:rsidP="00D07C0F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458</w:t>
            </w:r>
          </w:p>
        </w:tc>
        <w:tc>
          <w:tcPr>
            <w:tcW w:w="1181" w:type="dxa"/>
            <w:vAlign w:val="bottom"/>
          </w:tcPr>
          <w:p w:rsidR="00D07C0F" w:rsidRPr="00685EA7" w:rsidRDefault="00D07C0F" w:rsidP="00D07C0F">
            <w:pPr>
              <w:tabs>
                <w:tab w:val="right" w:pos="8931"/>
              </w:tabs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5 </w:t>
            </w:r>
            <w:r>
              <w:rPr>
                <w:rFonts w:ascii="Times New Roman" w:hAnsi="Times New Roman"/>
                <w:sz w:val="22"/>
                <w:szCs w:val="22"/>
              </w:rPr>
              <w:t>458</w:t>
            </w:r>
          </w:p>
        </w:tc>
      </w:tr>
    </w:tbl>
    <w:p w:rsidR="00D07C0F" w:rsidRDefault="00D07C0F" w:rsidP="00D07C0F">
      <w:pPr>
        <w:spacing w:before="24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BB3043">
        <w:rPr>
          <w:rFonts w:ascii="Times New Roman" w:hAnsi="Times New Roman"/>
        </w:rPr>
        <w:t xml:space="preserve">výšenie počtu  zamestnancov </w:t>
      </w:r>
      <w:r>
        <w:rPr>
          <w:rFonts w:ascii="Times New Roman" w:hAnsi="Times New Roman"/>
        </w:rPr>
        <w:t xml:space="preserve">v roku 2023 </w:t>
      </w:r>
      <w:r w:rsidRPr="00D70780">
        <w:rPr>
          <w:rFonts w:ascii="Times New Roman" w:hAnsi="Times New Roman"/>
        </w:rPr>
        <w:t xml:space="preserve">z 5 458 postupne na 5 497 do konca roka 2023 (zvýšenie o 39 zamestnancov), v roku 2024 </w:t>
      </w:r>
      <w:r>
        <w:rPr>
          <w:rFonts w:ascii="Times New Roman" w:hAnsi="Times New Roman"/>
        </w:rPr>
        <w:t xml:space="preserve">až </w:t>
      </w:r>
      <w:r w:rsidRPr="00D7078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D707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bez navýšenia počtu zamestnancov</w:t>
      </w:r>
      <w:r w:rsidRPr="00D70780">
        <w:rPr>
          <w:rFonts w:ascii="Times New Roman" w:hAnsi="Times New Roman"/>
        </w:rPr>
        <w:t>.</w:t>
      </w:r>
    </w:p>
    <w:p w:rsidR="00D07C0F" w:rsidRDefault="00D07C0F" w:rsidP="00D07C0F">
      <w:pPr>
        <w:spacing w:before="240" w:after="120"/>
        <w:ind w:firstLine="709"/>
        <w:jc w:val="both"/>
        <w:rPr>
          <w:rFonts w:ascii="Times New Roman" w:hAnsi="Times New Roman"/>
        </w:rPr>
      </w:pPr>
      <w:r w:rsidRPr="00321D1E">
        <w:t xml:space="preserve"> </w:t>
      </w:r>
      <w:r w:rsidRPr="00A257DF">
        <w:rPr>
          <w:rFonts w:ascii="Times New Roman" w:hAnsi="Times New Roman"/>
        </w:rPr>
        <w:t>V prípade potreby výraznejšej úspory finančných prostriedkov správneho fondu, by sa muselo pristúpiť k radikálnemu zníženiu zamestnancov, čo by malo vplyv jednak na zníženie variabilných  a časť fixných nákladov (nájomné – zníženie kapacity prenajatých priestorov a z toho vyplývajúce platby za služby – spotreba energie a iných neskladovateľných dodávok, náklady na školenie a pod.).</w:t>
      </w:r>
    </w:p>
    <w:p w:rsidR="00D07C0F" w:rsidRPr="00A257DF" w:rsidRDefault="00D07C0F" w:rsidP="00D07C0F">
      <w:pPr>
        <w:spacing w:before="240" w:after="120"/>
        <w:ind w:firstLine="709"/>
        <w:jc w:val="both"/>
        <w:rPr>
          <w:rFonts w:ascii="Times New Roman" w:hAnsi="Times New Roman"/>
        </w:rPr>
      </w:pPr>
      <w:r w:rsidRPr="00A257DF">
        <w:rPr>
          <w:rFonts w:ascii="Times New Roman" w:hAnsi="Times New Roman"/>
        </w:rPr>
        <w:t xml:space="preserve">V dôsledku uvoľňovania počtu zamestnancov, na úsporu finančných prostriedkov správneho fondu vplývajú len </w:t>
      </w:r>
      <w:r w:rsidRPr="00A257DF">
        <w:rPr>
          <w:rFonts w:ascii="Times New Roman" w:hAnsi="Times New Roman"/>
          <w:b/>
        </w:rPr>
        <w:t>variabilné náklady</w:t>
      </w:r>
      <w:r w:rsidRPr="00A257DF">
        <w:rPr>
          <w:rFonts w:ascii="Times New Roman" w:hAnsi="Times New Roman"/>
        </w:rPr>
        <w:t xml:space="preserve"> (tzn. osobné náklady, časť režijných nákladov, kancelársky materiál, obstarávanie DHM, DHIM, ochranné pracovné prostriedky, príspevky na závodné stravovanie a pod.)</w:t>
      </w:r>
    </w:p>
    <w:p w:rsidR="00D07C0F" w:rsidRDefault="00D07C0F" w:rsidP="00D07C0F">
      <w:pPr>
        <w:spacing w:before="240" w:after="120"/>
        <w:ind w:firstLine="709"/>
        <w:jc w:val="both"/>
        <w:rPr>
          <w:rFonts w:ascii="Times New Roman" w:hAnsi="Times New Roman"/>
        </w:rPr>
      </w:pPr>
      <w:r w:rsidRPr="00A257DF">
        <w:rPr>
          <w:rFonts w:ascii="Times New Roman" w:hAnsi="Times New Roman"/>
        </w:rPr>
        <w:t xml:space="preserve">Tzv. </w:t>
      </w:r>
      <w:r w:rsidRPr="00A257DF">
        <w:rPr>
          <w:rFonts w:ascii="Times New Roman" w:hAnsi="Times New Roman"/>
          <w:b/>
        </w:rPr>
        <w:t>fixné náklady</w:t>
      </w:r>
      <w:r w:rsidRPr="00A257DF">
        <w:rPr>
          <w:rFonts w:ascii="Times New Roman" w:hAnsi="Times New Roman"/>
        </w:rPr>
        <w:t xml:space="preserve"> (nájomné, spotreba energií, platby za výkony pôšt a telekomunikácií, poistenie majetku Sociálnej poisťovne, </w:t>
      </w:r>
      <w:proofErr w:type="spellStart"/>
      <w:r w:rsidRPr="00A257DF">
        <w:rPr>
          <w:rFonts w:ascii="Times New Roman" w:hAnsi="Times New Roman"/>
        </w:rPr>
        <w:t>poukazočné</w:t>
      </w:r>
      <w:proofErr w:type="spellEnd"/>
      <w:r w:rsidRPr="00A257DF">
        <w:rPr>
          <w:rFonts w:ascii="Times New Roman" w:hAnsi="Times New Roman"/>
        </w:rPr>
        <w:t>, dane a poplatky, služby zabezpečované dodávateľským spôsobom a pod.) zostávajú prakticky nemenné a vyvíjajú sa podľa vývoja cien, rozsahu vykonávanej spoločensky významnej administratívnej agendy v rámci klientely Sociálnej poisťovne a pod.</w:t>
      </w:r>
    </w:p>
    <w:p w:rsidR="00D07C0F" w:rsidRPr="00BB3043" w:rsidRDefault="00D07C0F" w:rsidP="00D07C0F">
      <w:pPr>
        <w:pStyle w:val="Odsekzoznamu"/>
        <w:ind w:left="-142" w:firstLine="850"/>
        <w:jc w:val="both"/>
        <w:rPr>
          <w:rFonts w:ascii="Times New Roman" w:hAnsi="Times New Roman"/>
        </w:rPr>
      </w:pPr>
      <w:r w:rsidRPr="005F0ECC">
        <w:rPr>
          <w:rFonts w:ascii="Times New Roman" w:hAnsi="Times New Roman"/>
        </w:rPr>
        <w:t>Takéto nekompromisné zníženie počtu zamestnancov v priebehu jedného kalendárneho roka, by spôsobilo spomalenie až ohrozenie prevádzkyschopnosti Sociálnej poisťovne, ktorá má v oblasti výkonu sociálneho zabezpečenia v Slovenskej republike,  majoritné postavenie.</w:t>
      </w:r>
    </w:p>
    <w:p w:rsidR="00D07C0F" w:rsidRPr="00685EA7" w:rsidRDefault="00D07C0F" w:rsidP="00D07C0F">
      <w:pPr>
        <w:tabs>
          <w:tab w:val="right" w:pos="8931"/>
        </w:tabs>
        <w:spacing w:before="240" w:after="120"/>
        <w:ind w:firstLine="720"/>
        <w:jc w:val="both"/>
        <w:rPr>
          <w:rFonts w:ascii="Times New Roman" w:hAnsi="Times New Roman"/>
        </w:rPr>
      </w:pPr>
      <w:r w:rsidRPr="00685EA7">
        <w:rPr>
          <w:rFonts w:ascii="Times New Roman" w:hAnsi="Times New Roman"/>
        </w:rPr>
        <w:lastRenderedPageBreak/>
        <w:t>Kvantifikácia návrhu rozpočtu kategórie tovarov a služieb na jednotlivé roky podľa rozpočtových položiek je uvedená v nasledujúcej tabuľke:</w:t>
      </w:r>
    </w:p>
    <w:p w:rsidR="00D07C0F" w:rsidRPr="00685EA7" w:rsidRDefault="00D07C0F" w:rsidP="00D07C0F">
      <w:pPr>
        <w:tabs>
          <w:tab w:val="right" w:pos="8931"/>
        </w:tabs>
        <w:spacing w:before="120" w:after="120"/>
        <w:ind w:firstLine="720"/>
        <w:jc w:val="right"/>
        <w:rPr>
          <w:rFonts w:ascii="Times New Roman" w:hAnsi="Times New Roman"/>
          <w:sz w:val="22"/>
          <w:szCs w:val="22"/>
        </w:rPr>
      </w:pPr>
      <w:r w:rsidRPr="00685EA7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 w:rsidRPr="00685EA7">
        <w:rPr>
          <w:rFonts w:ascii="Times New Roman" w:hAnsi="Times New Roman"/>
          <w:sz w:val="22"/>
          <w:szCs w:val="22"/>
        </w:rPr>
        <w:t xml:space="preserve">v tis. </w:t>
      </w:r>
      <w:r>
        <w:rPr>
          <w:rFonts w:ascii="Times New Roman" w:hAnsi="Times New Roman"/>
          <w:sz w:val="22"/>
          <w:szCs w:val="22"/>
        </w:rPr>
        <w:t>e</w:t>
      </w:r>
      <w:r w:rsidRPr="00685EA7">
        <w:rPr>
          <w:rFonts w:ascii="Times New Roman" w:hAnsi="Times New Roman"/>
          <w:sz w:val="22"/>
          <w:szCs w:val="22"/>
        </w:rPr>
        <w:t>ur</w:t>
      </w:r>
    </w:p>
    <w:tbl>
      <w:tblPr>
        <w:tblW w:w="8863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  <w:gridCol w:w="1559"/>
        <w:gridCol w:w="1702"/>
        <w:gridCol w:w="1844"/>
      </w:tblGrid>
      <w:tr w:rsidR="00D07C0F" w:rsidRPr="00685EA7" w:rsidTr="00E87D5F">
        <w:trPr>
          <w:trHeight w:val="271"/>
        </w:trPr>
        <w:tc>
          <w:tcPr>
            <w:tcW w:w="3758" w:type="dxa"/>
            <w:vMerge w:val="restart"/>
            <w:noWrap/>
            <w:vAlign w:val="center"/>
          </w:tcPr>
          <w:p w:rsidR="00D07C0F" w:rsidRPr="00D07C0F" w:rsidRDefault="00D07C0F" w:rsidP="00D07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ab/>
              <w:t>Ukazovateľ</w:t>
            </w:r>
          </w:p>
        </w:tc>
        <w:tc>
          <w:tcPr>
            <w:tcW w:w="1559" w:type="dxa"/>
            <w:vMerge w:val="restart"/>
            <w:vAlign w:val="center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Rok 2024</w:t>
            </w:r>
          </w:p>
        </w:tc>
        <w:tc>
          <w:tcPr>
            <w:tcW w:w="1702" w:type="dxa"/>
          </w:tcPr>
          <w:p w:rsidR="00D07C0F" w:rsidRPr="00D07C0F" w:rsidRDefault="00D07C0F" w:rsidP="00D07C0F">
            <w:pPr>
              <w:jc w:val="right"/>
              <w:rPr>
                <w:rFonts w:ascii="Times New Roman" w:hAnsi="Times New Roman"/>
                <w:b/>
              </w:rPr>
            </w:pPr>
            <w:r w:rsidRPr="00D07C0F">
              <w:rPr>
                <w:rFonts w:ascii="Times New Roman" w:hAnsi="Times New Roman"/>
                <w:b/>
              </w:rPr>
              <w:t xml:space="preserve">Rozpočtový </w:t>
            </w:r>
          </w:p>
        </w:tc>
        <w:tc>
          <w:tcPr>
            <w:tcW w:w="1844" w:type="dxa"/>
          </w:tcPr>
          <w:p w:rsidR="00D07C0F" w:rsidRPr="00D07C0F" w:rsidRDefault="00D07C0F" w:rsidP="00D07C0F">
            <w:pPr>
              <w:rPr>
                <w:rFonts w:ascii="Times New Roman" w:hAnsi="Times New Roman"/>
                <w:b/>
              </w:rPr>
            </w:pPr>
            <w:r w:rsidRPr="00D07C0F">
              <w:rPr>
                <w:rFonts w:ascii="Times New Roman" w:hAnsi="Times New Roman"/>
                <w:b/>
              </w:rPr>
              <w:t xml:space="preserve">výhľad na 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vMerge/>
            <w:noWrap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noWrap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2" w:type="dxa"/>
            <w:noWrap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844" w:type="dxa"/>
            <w:noWrap/>
            <w:vAlign w:val="bottom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 w:rsidRPr="00D07C0F"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bottom w:val="single" w:sz="4" w:space="0" w:color="auto"/>
            </w:tcBorders>
            <w:noWrap/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noWrap/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noWrap/>
            <w:vAlign w:val="bottom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07C0F" w:rsidRPr="00685EA7" w:rsidTr="00E87D5F">
        <w:trPr>
          <w:trHeight w:val="355"/>
        </w:trPr>
        <w:tc>
          <w:tcPr>
            <w:tcW w:w="3758" w:type="dxa"/>
            <w:tcBorders>
              <w:bottom w:val="nil"/>
            </w:tcBorders>
            <w:noWrap/>
            <w:vAlign w:val="bottom"/>
          </w:tcPr>
          <w:p w:rsidR="00D07C0F" w:rsidRPr="00FA2C7E" w:rsidRDefault="00D07C0F" w:rsidP="00D07C0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A2C7E">
              <w:rPr>
                <w:rFonts w:ascii="Times New Roman" w:hAnsi="Times New Roman"/>
                <w:b/>
                <w:bCs/>
                <w:sz w:val="22"/>
                <w:szCs w:val="22"/>
              </w:rPr>
              <w:t>Tovary a služby v tom :</w:t>
            </w:r>
          </w:p>
        </w:tc>
        <w:tc>
          <w:tcPr>
            <w:tcW w:w="1559" w:type="dxa"/>
            <w:tcBorders>
              <w:bottom w:val="nil"/>
            </w:tcBorders>
            <w:noWrap/>
            <w:vAlign w:val="bottom"/>
          </w:tcPr>
          <w:p w:rsidR="00D07C0F" w:rsidRPr="00FA2C7E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26</w:t>
            </w:r>
            <w:r w:rsidRPr="00FA2C7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135</w:t>
            </w:r>
          </w:p>
        </w:tc>
        <w:tc>
          <w:tcPr>
            <w:tcW w:w="1702" w:type="dxa"/>
            <w:tcBorders>
              <w:bottom w:val="nil"/>
            </w:tcBorders>
            <w:noWrap/>
            <w:vAlign w:val="bottom"/>
          </w:tcPr>
          <w:p w:rsidR="00D07C0F" w:rsidRPr="00FA2C7E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Pr="00FA2C7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465</w:t>
            </w:r>
          </w:p>
        </w:tc>
        <w:tc>
          <w:tcPr>
            <w:tcW w:w="1844" w:type="dxa"/>
            <w:tcBorders>
              <w:bottom w:val="nil"/>
            </w:tcBorders>
            <w:noWrap/>
            <w:vAlign w:val="bottom"/>
          </w:tcPr>
          <w:p w:rsidR="00D07C0F" w:rsidRPr="00FA2C7E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18</w:t>
            </w:r>
            <w:r w:rsidRPr="00FA2C7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451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Cestovné náhrady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702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844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Energia, voda a komunikácie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9 571</w:t>
            </w:r>
          </w:p>
        </w:tc>
        <w:tc>
          <w:tcPr>
            <w:tcW w:w="1702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1 731</w:t>
            </w:r>
          </w:p>
        </w:tc>
        <w:tc>
          <w:tcPr>
            <w:tcW w:w="1844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7 286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Materiál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897</w:t>
            </w:r>
          </w:p>
        </w:tc>
        <w:tc>
          <w:tcPr>
            <w:tcW w:w="1702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169</w:t>
            </w:r>
          </w:p>
        </w:tc>
        <w:tc>
          <w:tcPr>
            <w:tcW w:w="1844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682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Dopravné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123</w:t>
            </w:r>
          </w:p>
        </w:tc>
        <w:tc>
          <w:tcPr>
            <w:tcW w:w="1702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844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96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Rutinná a štandardná údržba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701</w:t>
            </w:r>
          </w:p>
        </w:tc>
        <w:tc>
          <w:tcPr>
            <w:tcW w:w="1702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112</w:t>
            </w:r>
          </w:p>
        </w:tc>
        <w:tc>
          <w:tcPr>
            <w:tcW w:w="1844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358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top w:val="nil"/>
              <w:bottom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Nájomné</w:t>
            </w:r>
          </w:p>
        </w:tc>
        <w:tc>
          <w:tcPr>
            <w:tcW w:w="1559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945</w:t>
            </w:r>
          </w:p>
        </w:tc>
        <w:tc>
          <w:tcPr>
            <w:tcW w:w="1702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164</w:t>
            </w:r>
          </w:p>
        </w:tc>
        <w:tc>
          <w:tcPr>
            <w:tcW w:w="1844" w:type="dxa"/>
            <w:tcBorders>
              <w:top w:val="nil"/>
              <w:bottom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688</w:t>
            </w:r>
          </w:p>
        </w:tc>
      </w:tr>
      <w:tr w:rsidR="00D07C0F" w:rsidRPr="00685EA7" w:rsidTr="00E87D5F">
        <w:trPr>
          <w:trHeight w:val="255"/>
        </w:trPr>
        <w:tc>
          <w:tcPr>
            <w:tcW w:w="3758" w:type="dxa"/>
            <w:tcBorders>
              <w:top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Služby</w:t>
            </w:r>
          </w:p>
        </w:tc>
        <w:tc>
          <w:tcPr>
            <w:tcW w:w="1559" w:type="dxa"/>
            <w:tcBorders>
              <w:top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13 858</w:t>
            </w:r>
          </w:p>
        </w:tc>
        <w:tc>
          <w:tcPr>
            <w:tcW w:w="1702" w:type="dxa"/>
            <w:tcBorders>
              <w:top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2 256</w:t>
            </w:r>
          </w:p>
        </w:tc>
        <w:tc>
          <w:tcPr>
            <w:tcW w:w="1844" w:type="dxa"/>
            <w:tcBorders>
              <w:top w:val="nil"/>
            </w:tcBorders>
            <w:noWrap/>
            <w:vAlign w:val="bottom"/>
          </w:tcPr>
          <w:p w:rsidR="00D07C0F" w:rsidRPr="00A9108E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A9108E">
              <w:rPr>
                <w:rFonts w:ascii="Times New Roman" w:hAnsi="Times New Roman"/>
                <w:sz w:val="22"/>
                <w:szCs w:val="22"/>
              </w:rPr>
              <w:t>9 310</w:t>
            </w:r>
          </w:p>
        </w:tc>
      </w:tr>
    </w:tbl>
    <w:p w:rsidR="00D07C0F" w:rsidRDefault="00D07C0F" w:rsidP="00D07C0F">
      <w:pPr>
        <w:pStyle w:val="Odsekzoznamu"/>
        <w:tabs>
          <w:tab w:val="left" w:pos="709"/>
          <w:tab w:val="left" w:pos="9356"/>
        </w:tabs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07C0F" w:rsidRPr="00685EA7" w:rsidRDefault="00D07C0F" w:rsidP="00D07C0F">
      <w:pPr>
        <w:tabs>
          <w:tab w:val="right" w:pos="8931"/>
        </w:tabs>
        <w:spacing w:before="24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dôvodu dosiahnutia vyrovnaného rozpočtu </w:t>
      </w:r>
      <w:r w:rsidRPr="00685EA7">
        <w:rPr>
          <w:rFonts w:ascii="Times New Roman" w:hAnsi="Times New Roman"/>
        </w:rPr>
        <w:t>na roky 20</w:t>
      </w:r>
      <w:r>
        <w:rPr>
          <w:rFonts w:ascii="Times New Roman" w:hAnsi="Times New Roman"/>
        </w:rPr>
        <w:t>24</w:t>
      </w:r>
      <w:r w:rsidRPr="00685EA7">
        <w:rPr>
          <w:rFonts w:ascii="Times New Roman" w:hAnsi="Times New Roman"/>
        </w:rPr>
        <w:t xml:space="preserve"> až 20</w:t>
      </w:r>
      <w:r>
        <w:rPr>
          <w:rFonts w:ascii="Times New Roman" w:hAnsi="Times New Roman"/>
        </w:rPr>
        <w:t>26 je úplná eliminácia kapitálových výdavkov.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7"/>
        <w:gridCol w:w="1275"/>
        <w:gridCol w:w="1248"/>
        <w:gridCol w:w="170"/>
        <w:gridCol w:w="1417"/>
      </w:tblGrid>
      <w:tr w:rsidR="00D07C0F" w:rsidRPr="00685EA7" w:rsidTr="00E87D5F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v tis.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</w:t>
            </w: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ur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Rok 2024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Rozpočtový výhľad na 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F" w:rsidRPr="00D07C0F" w:rsidRDefault="00D07C0F" w:rsidP="00D07C0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C0F" w:rsidRPr="00D07C0F" w:rsidRDefault="00D07C0F" w:rsidP="00D07C0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07C0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rok 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D07C0F" w:rsidRDefault="00D07C0F" w:rsidP="00D07C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rok </w:t>
            </w:r>
            <w:r w:rsidRPr="00D07C0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2026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Kapitálové výdavky v tom 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B95E34" w:rsidRDefault="00D07C0F" w:rsidP="00D07C0F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Nákup pozemkov a nehmotných aktív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Pozemkov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- 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- 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 -    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Softvéru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B95E34" w:rsidRDefault="00D07C0F" w:rsidP="00D07C0F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Nákup strojov, prístrojov, zariadení, techniky a náradia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Interiérového vybavenia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Výpočtovej techniky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Telekomunikačnej techniky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>Prevádzkových strojov, prístrojov, zariadení, techniky a náradia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7C0F" w:rsidRPr="00685EA7" w:rsidRDefault="00D07C0F" w:rsidP="00D07C0F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85EA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Špeciálnych strojov, prístrojov, zariadení, techniky, náradia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685EA7" w:rsidRDefault="00D07C0F" w:rsidP="00D07C0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685EA7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Nákup dopravných prostriedkov všetkých druhov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Prípravná a projektová dokumentácia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-</w:t>
            </w:r>
          </w:p>
        </w:tc>
      </w:tr>
      <w:tr w:rsidR="00D07C0F" w:rsidRPr="00685EA7" w:rsidTr="00E87D5F">
        <w:trPr>
          <w:trHeight w:val="2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</w:rPr>
              <w:t>Realizácia stavieb a ich technické zhodnotenie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-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-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7C0F" w:rsidRPr="00B95E34" w:rsidRDefault="00D07C0F" w:rsidP="00D07C0F">
            <w:pPr>
              <w:jc w:val="right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 w:rsidRPr="00B95E34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 xml:space="preserve"> -</w:t>
            </w:r>
          </w:p>
        </w:tc>
      </w:tr>
    </w:tbl>
    <w:p w:rsidR="00D07C0F" w:rsidRDefault="00D07C0F" w:rsidP="00D07C0F">
      <w:pPr>
        <w:pStyle w:val="Odsekzoznamu"/>
        <w:tabs>
          <w:tab w:val="left" w:pos="709"/>
          <w:tab w:val="left" w:pos="9356"/>
        </w:tabs>
        <w:ind w:left="0"/>
        <w:jc w:val="both"/>
        <w:rPr>
          <w:rFonts w:ascii="Times New Roman" w:hAnsi="Times New Roman"/>
        </w:rPr>
      </w:pPr>
    </w:p>
    <w:p w:rsidR="00D07C0F" w:rsidRPr="00BB3043" w:rsidRDefault="00D07C0F" w:rsidP="00F17358">
      <w:pPr>
        <w:pStyle w:val="Odsekzoznamu"/>
        <w:tabs>
          <w:tab w:val="left" w:pos="9356"/>
        </w:tabs>
        <w:spacing w:before="240" w:after="120"/>
        <w:ind w:left="0" w:firstLine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Výdavky správneho fondu navrhované vo vyrovnanom rozpočte na roky 2024 až 2026 </w:t>
      </w:r>
      <w:r w:rsidRPr="00BD1B70">
        <w:rPr>
          <w:rFonts w:ascii="Times New Roman" w:hAnsi="Times New Roman"/>
        </w:rPr>
        <w:t xml:space="preserve"> nezodpovedá vývoju tvorby správneho fondu a predloženie takéhoto návrhu rozpočtu  Sociálnej poisťovne by znamenalo porušenie § 122 ods. 4 písm. a) a ods. 7 zákona č. 461/2003 Z. z. vo väzbe na porušenie povinností podľa zákona č. 357/2015 Z. z. o finančnej kontrole a audite a o zmene a doplnení niektorých zákonov v znení neskorších predpisov tým, že predložený návrh rozpočtu nezohľadnil vývoj reálnej výšky potreby a zdrojov. </w:t>
      </w:r>
    </w:p>
    <w:p w:rsidR="00D07C0F" w:rsidRDefault="00D07C0F" w:rsidP="00D07C0F">
      <w:pPr>
        <w:pStyle w:val="Odsekzoznamu"/>
        <w:ind w:left="-142" w:firstLine="850"/>
        <w:jc w:val="both"/>
        <w:rPr>
          <w:rFonts w:ascii="Times New Roman" w:hAnsi="Times New Roman"/>
        </w:rPr>
      </w:pPr>
    </w:p>
    <w:p w:rsidR="008B42D6" w:rsidRDefault="008B42D6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8B42D6" w:rsidRDefault="008B42D6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8B42D6" w:rsidRDefault="008B42D6" w:rsidP="00C0076F">
      <w:pPr>
        <w:pStyle w:val="Zarkazkladnhotextu2"/>
        <w:spacing w:before="240" w:line="240" w:lineRule="auto"/>
        <w:ind w:left="0" w:firstLine="709"/>
        <w:jc w:val="both"/>
        <w:rPr>
          <w:rFonts w:ascii="Times New Roman" w:hAnsi="Times New Roman"/>
          <w:szCs w:val="24"/>
        </w:rPr>
      </w:pPr>
    </w:p>
    <w:p w:rsidR="008B42D6" w:rsidRDefault="008B42D6" w:rsidP="00F17358">
      <w:pPr>
        <w:pStyle w:val="Zarkazkladnhotextu2"/>
        <w:spacing w:before="240" w:line="240" w:lineRule="auto"/>
        <w:jc w:val="both"/>
        <w:rPr>
          <w:rFonts w:ascii="Times New Roman" w:hAnsi="Times New Roman"/>
          <w:szCs w:val="24"/>
        </w:rPr>
      </w:pPr>
    </w:p>
    <w:p w:rsidR="00D6723F" w:rsidRPr="004C7EC8" w:rsidRDefault="00D6723F" w:rsidP="00593964">
      <w:pPr>
        <w:pStyle w:val="Zarkazkladnhotextu2"/>
        <w:tabs>
          <w:tab w:val="left" w:pos="709"/>
        </w:tabs>
        <w:spacing w:before="24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4C7EC8">
        <w:rPr>
          <w:rFonts w:ascii="Times New Roman" w:hAnsi="Times New Roman"/>
          <w:b/>
          <w:szCs w:val="24"/>
        </w:rPr>
        <w:t xml:space="preserve">III. </w:t>
      </w:r>
      <w:r w:rsidRPr="004C7EC8">
        <w:rPr>
          <w:rFonts w:ascii="Times New Roman" w:hAnsi="Times New Roman"/>
          <w:b/>
          <w:szCs w:val="24"/>
        </w:rPr>
        <w:tab/>
        <w:t>Záver</w:t>
      </w:r>
    </w:p>
    <w:p w:rsidR="00D6723F" w:rsidRDefault="00D6723F" w:rsidP="00593964">
      <w:pPr>
        <w:spacing w:before="240" w:after="120"/>
        <w:ind w:firstLine="720"/>
        <w:jc w:val="both"/>
        <w:rPr>
          <w:rFonts w:ascii="Times New Roman" w:hAnsi="Times New Roman"/>
          <w:szCs w:val="24"/>
        </w:rPr>
      </w:pPr>
      <w:r w:rsidRPr="00D467C0">
        <w:rPr>
          <w:rFonts w:ascii="Times New Roman" w:hAnsi="Times New Roman"/>
          <w:szCs w:val="24"/>
        </w:rPr>
        <w:t xml:space="preserve">Z hľadiska </w:t>
      </w:r>
      <w:r w:rsidRPr="00D467C0">
        <w:rPr>
          <w:rFonts w:ascii="Times New Roman" w:hAnsi="Times New Roman"/>
          <w:b/>
          <w:szCs w:val="24"/>
        </w:rPr>
        <w:t>celkového hospodárenia Sociálnej poisťovne</w:t>
      </w:r>
      <w:r w:rsidRPr="00D467C0">
        <w:rPr>
          <w:rFonts w:ascii="Times New Roman" w:hAnsi="Times New Roman"/>
          <w:szCs w:val="24"/>
        </w:rPr>
        <w:t xml:space="preserve"> je možné očakávať v rokoch </w:t>
      </w:r>
      <w:r>
        <w:rPr>
          <w:rFonts w:ascii="Times New Roman" w:hAnsi="Times New Roman"/>
          <w:szCs w:val="24"/>
        </w:rPr>
        <w:t>202</w:t>
      </w:r>
      <w:r w:rsidR="00791510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až 2026</w:t>
      </w:r>
      <w:r w:rsidRPr="00D467C0">
        <w:rPr>
          <w:rFonts w:ascii="Times New Roman" w:hAnsi="Times New Roman"/>
          <w:szCs w:val="24"/>
        </w:rPr>
        <w:t xml:space="preserve"> výsledky:</w:t>
      </w:r>
    </w:p>
    <w:tbl>
      <w:tblPr>
        <w:tblW w:w="91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477"/>
        <w:gridCol w:w="1556"/>
        <w:gridCol w:w="1302"/>
        <w:gridCol w:w="1303"/>
      </w:tblGrid>
      <w:tr w:rsidR="00D6723F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 tis. eur</w:t>
            </w:r>
          </w:p>
        </w:tc>
      </w:tr>
      <w:tr w:rsidR="00D6723F" w:rsidRPr="00232A0A" w:rsidTr="00D6723F">
        <w:trPr>
          <w:trHeight w:val="402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Ukazovateľ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59396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Očakávaná skutočnosť v roku 202</w:t>
            </w:r>
            <w:r w:rsidR="00593964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593964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Návrh rozpočtu  na rok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</w:t>
            </w:r>
            <w:r w:rsidR="00593964"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Rozpočtový výhľad na</w:t>
            </w:r>
          </w:p>
        </w:tc>
      </w:tr>
      <w:tr w:rsidR="00D6723F" w:rsidRPr="00232A0A" w:rsidTr="00D6723F">
        <w:trPr>
          <w:trHeight w:val="402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232A0A" w:rsidRDefault="00D6723F" w:rsidP="00D6723F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2026</w:t>
            </w:r>
          </w:p>
        </w:tc>
      </w:tr>
      <w:tr w:rsidR="00D6723F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232A0A" w:rsidRDefault="00D6723F" w:rsidP="00D6723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Zdroje celkom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12 757 927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13 919 423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14 785 359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15 107 532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Príjmy v bežnom roku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11 706 975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13 022 507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13 894 677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14 188 918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z toho transfer zo ŠR SR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i/>
                <w:iCs/>
                <w:sz w:val="22"/>
                <w:szCs w:val="22"/>
              </w:rPr>
              <w:t>1 060 000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i/>
                <w:iCs/>
                <w:sz w:val="22"/>
                <w:szCs w:val="22"/>
              </w:rPr>
              <w:t>2 800 000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i/>
                <w:iCs/>
                <w:sz w:val="22"/>
                <w:szCs w:val="22"/>
              </w:rPr>
              <w:t>3 600 000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i/>
                <w:iCs/>
                <w:sz w:val="22"/>
                <w:szCs w:val="22"/>
              </w:rPr>
              <w:t>3 500 000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Výdavky celkom, v tom: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11 861 011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13 028 741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13 866 745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14 141 069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výdavky poistenia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11 585 444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12 880 048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13 751 575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14 008 274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správny fond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242 789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115 759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81 600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color w:val="000000"/>
                <w:sz w:val="22"/>
                <w:szCs w:val="22"/>
              </w:rPr>
              <w:t>97 969</w:t>
            </w:r>
          </w:p>
        </w:tc>
      </w:tr>
      <w:tr w:rsidR="00F668D7" w:rsidRPr="00232A0A" w:rsidTr="00D6723F">
        <w:trPr>
          <w:trHeight w:val="2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32A0A">
              <w:rPr>
                <w:rFonts w:ascii="Times New Roman" w:hAnsi="Times New Roman"/>
                <w:color w:val="000000"/>
                <w:sz w:val="22"/>
                <w:szCs w:val="22"/>
              </w:rPr>
              <w:t>výdavky z transakcií (úver poskytnutý z garančného fondu)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32 778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32 934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33 570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34 826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Bilančný rozdiel v bežnom roku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-154 036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-6 234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27 932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47 849</w:t>
            </w:r>
          </w:p>
        </w:tc>
      </w:tr>
      <w:tr w:rsidR="00F668D7" w:rsidRPr="00232A0A" w:rsidTr="00D6723F">
        <w:trPr>
          <w:trHeight w:val="3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232A0A" w:rsidRDefault="00F668D7" w:rsidP="00F668D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32A0A">
              <w:rPr>
                <w:rFonts w:ascii="Times New Roman" w:hAnsi="Times New Roman"/>
                <w:b/>
                <w:bCs/>
                <w:sz w:val="22"/>
                <w:szCs w:val="22"/>
              </w:rPr>
              <w:t>Bilančný rozdiel celkom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896 916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890 682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918 614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966 463</w:t>
            </w:r>
          </w:p>
        </w:tc>
      </w:tr>
    </w:tbl>
    <w:p w:rsidR="00D6723F" w:rsidRDefault="00D6723F" w:rsidP="00D6723F">
      <w:pPr>
        <w:spacing w:before="240" w:after="120"/>
        <w:jc w:val="both"/>
        <w:rPr>
          <w:rFonts w:ascii="Times New Roman" w:hAnsi="Times New Roman"/>
          <w:szCs w:val="24"/>
        </w:rPr>
      </w:pPr>
    </w:p>
    <w:p w:rsidR="00D6723F" w:rsidRPr="00BA63ED" w:rsidRDefault="00D6723F" w:rsidP="00D6723F">
      <w:pPr>
        <w:ind w:firstLine="720"/>
        <w:jc w:val="both"/>
        <w:rPr>
          <w:rFonts w:ascii="Times New Roman" w:hAnsi="Times New Roman"/>
          <w:szCs w:val="24"/>
        </w:rPr>
      </w:pPr>
      <w:r w:rsidRPr="00BA63ED">
        <w:rPr>
          <w:rFonts w:ascii="Times New Roman" w:hAnsi="Times New Roman"/>
          <w:szCs w:val="24"/>
        </w:rPr>
        <w:t xml:space="preserve">Hospodárenie Sociálnej poisťovne bude v rokoch </w:t>
      </w:r>
      <w:r>
        <w:rPr>
          <w:rFonts w:ascii="Times New Roman" w:hAnsi="Times New Roman"/>
          <w:szCs w:val="24"/>
        </w:rPr>
        <w:t>202</w:t>
      </w:r>
      <w:r w:rsidR="00593964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 xml:space="preserve"> až 2026</w:t>
      </w:r>
      <w:r w:rsidRPr="00BA63ED">
        <w:rPr>
          <w:rFonts w:ascii="Times New Roman" w:hAnsi="Times New Roman"/>
          <w:szCs w:val="24"/>
        </w:rPr>
        <w:t xml:space="preserve"> ovplyvňovať deficitné hospodárenie</w:t>
      </w:r>
      <w:r>
        <w:rPr>
          <w:rFonts w:ascii="Times New Roman" w:hAnsi="Times New Roman"/>
          <w:szCs w:val="24"/>
        </w:rPr>
        <w:t xml:space="preserve"> v základnom fonde nemocenského poistenia a</w:t>
      </w:r>
      <w:r w:rsidRPr="00BA63ED">
        <w:rPr>
          <w:rFonts w:ascii="Times New Roman" w:hAnsi="Times New Roman"/>
          <w:szCs w:val="24"/>
        </w:rPr>
        <w:t xml:space="preserve"> v</w:t>
      </w:r>
      <w:r>
        <w:rPr>
          <w:rFonts w:ascii="Times New Roman" w:hAnsi="Times New Roman"/>
          <w:szCs w:val="24"/>
        </w:rPr>
        <w:t> základnom fonde starobného poistenia</w:t>
      </w:r>
      <w:r w:rsidRPr="00BA63ED">
        <w:rPr>
          <w:rFonts w:ascii="Times New Roman" w:hAnsi="Times New Roman"/>
          <w:szCs w:val="24"/>
        </w:rPr>
        <w:t xml:space="preserve">. Deficit bude Sociálna poisťovňa </w:t>
      </w:r>
      <w:r>
        <w:rPr>
          <w:rFonts w:ascii="Times New Roman" w:hAnsi="Times New Roman"/>
          <w:szCs w:val="24"/>
        </w:rPr>
        <w:t>riešiť</w:t>
      </w:r>
      <w:r w:rsidRPr="00BA63ED">
        <w:rPr>
          <w:rFonts w:ascii="Times New Roman" w:hAnsi="Times New Roman"/>
          <w:szCs w:val="24"/>
        </w:rPr>
        <w:t xml:space="preserve"> v zmysle § 167 ods. 1 zákona o sociálnom poistení </w:t>
      </w:r>
      <w:r>
        <w:rPr>
          <w:rFonts w:ascii="Times New Roman" w:hAnsi="Times New Roman"/>
          <w:szCs w:val="24"/>
        </w:rPr>
        <w:t>z rezervného fondu solidarity a </w:t>
      </w:r>
      <w:r w:rsidRPr="00BA63ED">
        <w:rPr>
          <w:rFonts w:ascii="Times New Roman" w:hAnsi="Times New Roman"/>
          <w:szCs w:val="24"/>
        </w:rPr>
        <w:t xml:space="preserve">aj z vnútorných zdrojov </w:t>
      </w:r>
      <w:r>
        <w:rPr>
          <w:rFonts w:ascii="Times New Roman" w:hAnsi="Times New Roman"/>
          <w:szCs w:val="24"/>
        </w:rPr>
        <w:t xml:space="preserve">v zmysle </w:t>
      </w:r>
      <w:r w:rsidRPr="00FE16D4">
        <w:rPr>
          <w:rFonts w:ascii="Times New Roman" w:hAnsi="Times New Roman"/>
          <w:szCs w:val="24"/>
        </w:rPr>
        <w:t xml:space="preserve">§ 122 ods. </w:t>
      </w:r>
      <w:r>
        <w:rPr>
          <w:rFonts w:ascii="Times New Roman" w:hAnsi="Times New Roman"/>
          <w:szCs w:val="24"/>
        </w:rPr>
        <w:t>4 písm. g) a § 123 ods. 2 písm. </w:t>
      </w:r>
      <w:r w:rsidRPr="00FE16D4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 xml:space="preserve"> bod 6</w:t>
      </w:r>
      <w:r>
        <w:rPr>
          <w:rFonts w:ascii="Trebuchet MS" w:hAnsi="Trebuchet MS"/>
          <w:color w:val="000000"/>
          <w:sz w:val="20"/>
        </w:rPr>
        <w:t>.</w:t>
      </w:r>
    </w:p>
    <w:p w:rsidR="00D6723F" w:rsidRPr="004C7EC8" w:rsidRDefault="00D6723F" w:rsidP="00D6723F">
      <w:pPr>
        <w:spacing w:before="120" w:after="120"/>
        <w:jc w:val="center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x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  <w:r w:rsidRPr="004C7EC8">
        <w:rPr>
          <w:rFonts w:ascii="Times New Roman" w:hAnsi="Times New Roman"/>
          <w:szCs w:val="24"/>
        </w:rPr>
        <w:t xml:space="preserve">  </w:t>
      </w:r>
      <w:proofErr w:type="spellStart"/>
      <w:r w:rsidRPr="004C7EC8">
        <w:rPr>
          <w:rFonts w:ascii="Times New Roman" w:hAnsi="Times New Roman"/>
          <w:szCs w:val="24"/>
        </w:rPr>
        <w:t>x</w:t>
      </w:r>
      <w:proofErr w:type="spellEnd"/>
    </w:p>
    <w:p w:rsidR="00D6723F" w:rsidRPr="004C7EC8" w:rsidRDefault="00D6723F" w:rsidP="00D6723F">
      <w:pPr>
        <w:spacing w:before="240" w:after="240"/>
        <w:ind w:firstLine="720"/>
        <w:jc w:val="both"/>
        <w:rPr>
          <w:rFonts w:ascii="Times New Roman" w:hAnsi="Times New Roman"/>
          <w:szCs w:val="24"/>
        </w:rPr>
      </w:pPr>
      <w:r w:rsidRPr="004C7EC8">
        <w:rPr>
          <w:rFonts w:ascii="Times New Roman" w:hAnsi="Times New Roman"/>
          <w:szCs w:val="24"/>
        </w:rPr>
        <w:t xml:space="preserve">Predpokladá sa, že </w:t>
      </w:r>
      <w:r w:rsidRPr="00AE263F">
        <w:rPr>
          <w:rFonts w:ascii="Times New Roman" w:hAnsi="Times New Roman"/>
          <w:b/>
          <w:szCs w:val="24"/>
        </w:rPr>
        <w:t>Sociálna poisťovňa postúpi príspevky na SDS</w:t>
      </w:r>
      <w:r w:rsidRPr="004C7EC8">
        <w:rPr>
          <w:rFonts w:ascii="Times New Roman" w:hAnsi="Times New Roman"/>
          <w:szCs w:val="24"/>
        </w:rPr>
        <w:t xml:space="preserve"> v rokoch </w:t>
      </w:r>
      <w:r>
        <w:rPr>
          <w:rFonts w:ascii="Times New Roman" w:hAnsi="Times New Roman"/>
          <w:szCs w:val="24"/>
        </w:rPr>
        <w:t>2024 až 2026</w:t>
      </w:r>
      <w:r w:rsidRPr="004C7EC8">
        <w:rPr>
          <w:rFonts w:ascii="Times New Roman" w:hAnsi="Times New Roman"/>
          <w:szCs w:val="24"/>
        </w:rPr>
        <w:t xml:space="preserve">: </w:t>
      </w:r>
    </w:p>
    <w:tbl>
      <w:tblPr>
        <w:tblW w:w="9159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7"/>
        <w:gridCol w:w="1559"/>
        <w:gridCol w:w="1014"/>
        <w:gridCol w:w="403"/>
        <w:gridCol w:w="1276"/>
      </w:tblGrid>
      <w:tr w:rsidR="00D6723F" w:rsidRPr="00DD48E0" w:rsidTr="00D6723F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723F" w:rsidRPr="004C7EC8" w:rsidRDefault="00D6723F" w:rsidP="00D672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F" w:rsidRPr="004C7EC8" w:rsidRDefault="00D6723F" w:rsidP="00D672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723F" w:rsidRPr="00DD48E0" w:rsidRDefault="00D6723F" w:rsidP="00D6723F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DD48E0">
              <w:rPr>
                <w:rFonts w:ascii="Times New Roman" w:hAnsi="Times New Roman"/>
                <w:sz w:val="22"/>
                <w:szCs w:val="22"/>
              </w:rPr>
              <w:t>v tis. eur</w:t>
            </w:r>
          </w:p>
        </w:tc>
      </w:tr>
      <w:tr w:rsidR="00D6723F" w:rsidRPr="004C7EC8" w:rsidTr="00D6723F">
        <w:trPr>
          <w:trHeight w:val="393"/>
        </w:trPr>
        <w:tc>
          <w:tcPr>
            <w:tcW w:w="4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Príspevky na SDS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Návrh rozpočtu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</w:t>
            </w: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  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2024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Rozpočtový výhľad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na</w:t>
            </w:r>
          </w:p>
        </w:tc>
      </w:tr>
      <w:tr w:rsidR="00D6723F" w:rsidRPr="004C7EC8" w:rsidTr="00D6723F">
        <w:tc>
          <w:tcPr>
            <w:tcW w:w="4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15437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723F" w:rsidRPr="0015437A" w:rsidRDefault="00D6723F" w:rsidP="00D672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 xml:space="preserve">rok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2026</w:t>
            </w:r>
          </w:p>
        </w:tc>
      </w:tr>
      <w:tr w:rsidR="00D6723F" w:rsidRPr="004C7EC8" w:rsidTr="00D6723F"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723F" w:rsidRPr="0015437A" w:rsidRDefault="00D6723F" w:rsidP="00D672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</w:tr>
      <w:tr w:rsidR="00F668D7" w:rsidRPr="004C7EC8" w:rsidTr="00D6723F">
        <w:trPr>
          <w:trHeight w:val="383"/>
        </w:trPr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15437A" w:rsidRDefault="00F668D7" w:rsidP="00F668D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5437A">
              <w:rPr>
                <w:rFonts w:ascii="Times New Roman" w:hAnsi="Times New Roman"/>
                <w:b/>
                <w:sz w:val="22"/>
                <w:szCs w:val="22"/>
              </w:rPr>
              <w:t>Postúpené príspevky na SDS celkom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1 241 798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1 324 196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668D7">
              <w:rPr>
                <w:rFonts w:ascii="Times New Roman" w:hAnsi="Times New Roman"/>
                <w:b/>
                <w:bCs/>
                <w:sz w:val="22"/>
                <w:szCs w:val="22"/>
              </w:rPr>
              <w:t>1 393 706</w:t>
            </w:r>
          </w:p>
        </w:tc>
      </w:tr>
      <w:tr w:rsidR="00F668D7" w:rsidRPr="004C7EC8" w:rsidTr="00D6723F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4C7EC8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v tom: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F668D7" w:rsidRPr="004C7EC8" w:rsidTr="00D6723F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4C7EC8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 xml:space="preserve">EAO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1 147 651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1 217 835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1 283 687</w:t>
            </w:r>
          </w:p>
        </w:tc>
      </w:tr>
      <w:tr w:rsidR="00F668D7" w:rsidRPr="004C7EC8" w:rsidTr="00D6723F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4C7EC8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štát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62 646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74 243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76 702</w:t>
            </w:r>
          </w:p>
        </w:tc>
      </w:tr>
      <w:tr w:rsidR="00F668D7" w:rsidRPr="004C7EC8" w:rsidTr="00D6723F">
        <w:tc>
          <w:tcPr>
            <w:tcW w:w="4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4C7EC8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Sociálna poisťovňa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699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828</w:t>
            </w:r>
          </w:p>
        </w:tc>
      </w:tr>
      <w:tr w:rsidR="00F668D7" w:rsidRPr="00BA63ED" w:rsidTr="00D6723F">
        <w:tc>
          <w:tcPr>
            <w:tcW w:w="4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8D7" w:rsidRPr="004C7EC8" w:rsidRDefault="00F668D7" w:rsidP="00F668D7">
            <w:pPr>
              <w:rPr>
                <w:rFonts w:ascii="Times New Roman" w:hAnsi="Times New Roman"/>
                <w:sz w:val="22"/>
                <w:szCs w:val="22"/>
              </w:rPr>
            </w:pPr>
            <w:r w:rsidRPr="004C7EC8">
              <w:rPr>
                <w:rFonts w:ascii="Times New Roman" w:hAnsi="Times New Roman"/>
                <w:sz w:val="22"/>
                <w:szCs w:val="22"/>
              </w:rPr>
              <w:t>uhradené príspevky zo základného fondu garančného poistenia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30 802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31 357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68D7" w:rsidRPr="00F668D7" w:rsidRDefault="00F668D7" w:rsidP="00F668D7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F668D7">
              <w:rPr>
                <w:rFonts w:ascii="Times New Roman" w:hAnsi="Times New Roman"/>
                <w:sz w:val="22"/>
                <w:szCs w:val="22"/>
              </w:rPr>
              <w:t>32 489</w:t>
            </w:r>
          </w:p>
        </w:tc>
      </w:tr>
    </w:tbl>
    <w:p w:rsidR="00D6723F" w:rsidRPr="00BA63ED" w:rsidRDefault="00D6723F" w:rsidP="00D6723F">
      <w:pPr>
        <w:jc w:val="both"/>
        <w:rPr>
          <w:rFonts w:ascii="Times New Roman" w:hAnsi="Times New Roman"/>
        </w:rPr>
      </w:pPr>
    </w:p>
    <w:sectPr w:rsidR="00D6723F" w:rsidRPr="00BA63ED" w:rsidSect="005A75A6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276" w:right="1134" w:bottom="851" w:left="1418" w:header="703" w:footer="4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0F" w:rsidRDefault="00D07C0F">
      <w:r>
        <w:separator/>
      </w:r>
    </w:p>
  </w:endnote>
  <w:endnote w:type="continuationSeparator" w:id="0">
    <w:p w:rsidR="00D07C0F" w:rsidRDefault="00D0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0F" w:rsidRDefault="00D07C0F" w:rsidP="009329C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07C0F" w:rsidRDefault="00D07C0F" w:rsidP="00E12DD7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28750001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rFonts w:ascii="Times New Roman" w:hAnsi="Times New Roman"/>
          </w:rPr>
          <w:id w:val="352395227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="00D07C0F" w:rsidRPr="00C320A4" w:rsidRDefault="00D07C0F" w:rsidP="00915D43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56ED7">
              <w:rPr>
                <w:rFonts w:ascii="Times New Roman" w:hAnsi="Times New Roman"/>
                <w:bCs/>
                <w:noProof/>
                <w:sz w:val="22"/>
                <w:szCs w:val="22"/>
              </w:rPr>
              <w:t>8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C320A4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56ED7">
              <w:rPr>
                <w:rFonts w:ascii="Times New Roman" w:hAnsi="Times New Roman"/>
                <w:bCs/>
                <w:noProof/>
                <w:sz w:val="22"/>
                <w:szCs w:val="22"/>
              </w:rPr>
              <w:t>8</w:t>
            </w:r>
            <w:r w:rsidRPr="00C320A4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9437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2"/>
            <w:szCs w:val="22"/>
          </w:rPr>
        </w:sdtEndPr>
        <w:sdtContent>
          <w:p w:rsidR="00D07C0F" w:rsidRPr="001C1AD2" w:rsidRDefault="00D07C0F" w:rsidP="003F4466">
            <w:pPr>
              <w:pStyle w:val="Pt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instrText>PAGE</w:instrTex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56ED7">
              <w:rPr>
                <w:rFonts w:ascii="Times New Roman" w:hAnsi="Times New Roman"/>
                <w:bCs/>
                <w:noProof/>
                <w:sz w:val="22"/>
                <w:szCs w:val="22"/>
              </w:rPr>
              <w:t>1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  <w:r w:rsidRPr="003F4466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begin"/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instrText>NUMPAGES</w:instrTex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separate"/>
            </w:r>
            <w:r w:rsidR="00F56ED7">
              <w:rPr>
                <w:rFonts w:ascii="Times New Roman" w:hAnsi="Times New Roman"/>
                <w:bCs/>
                <w:noProof/>
                <w:sz w:val="22"/>
                <w:szCs w:val="22"/>
              </w:rPr>
              <w:t>8</w:t>
            </w:r>
            <w:r w:rsidRPr="003F4466">
              <w:rPr>
                <w:rFonts w:ascii="Times New Roman" w:hAnsi="Times New Roman"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0F" w:rsidRDefault="00D07C0F">
      <w:r>
        <w:separator/>
      </w:r>
    </w:p>
  </w:footnote>
  <w:footnote w:type="continuationSeparator" w:id="0">
    <w:p w:rsidR="00D07C0F" w:rsidRDefault="00D0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0F" w:rsidRPr="001C1AD2" w:rsidRDefault="00D07C0F" w:rsidP="00430A51">
    <w:pPr>
      <w:pStyle w:val="Hlavika"/>
      <w:jc w:val="center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Návrh rozpočtu Sociálnej poisťovne na rok 2024 a rozpočtový výhľad na roky 2025 a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2048"/>
    <w:multiLevelType w:val="singleLevel"/>
    <w:tmpl w:val="A88A26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</w:abstractNum>
  <w:abstractNum w:abstractNumId="1" w15:restartNumberingAfterBreak="0">
    <w:nsid w:val="03266FA7"/>
    <w:multiLevelType w:val="hybridMultilevel"/>
    <w:tmpl w:val="7834DDAE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7383F"/>
    <w:multiLevelType w:val="hybridMultilevel"/>
    <w:tmpl w:val="DE96DB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D4BEF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A24239"/>
    <w:multiLevelType w:val="hybridMultilevel"/>
    <w:tmpl w:val="94C01306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A6FD5"/>
    <w:multiLevelType w:val="hybridMultilevel"/>
    <w:tmpl w:val="1334FC04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F732C2"/>
    <w:multiLevelType w:val="hybridMultilevel"/>
    <w:tmpl w:val="89061C6E"/>
    <w:lvl w:ilvl="0" w:tplc="275AF9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4239F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9648D3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49549C3"/>
    <w:multiLevelType w:val="hybridMultilevel"/>
    <w:tmpl w:val="EB549BF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72D"/>
    <w:multiLevelType w:val="singleLevel"/>
    <w:tmpl w:val="041B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647533E"/>
    <w:multiLevelType w:val="hybridMultilevel"/>
    <w:tmpl w:val="8DCAF820"/>
    <w:lvl w:ilvl="0" w:tplc="0284CF70">
      <w:start w:val="1"/>
      <w:numFmt w:val="bullet"/>
      <w:lvlText w:val="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F4ACD"/>
    <w:multiLevelType w:val="hybridMultilevel"/>
    <w:tmpl w:val="C01EBA6A"/>
    <w:lvl w:ilvl="0" w:tplc="041B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D48779B"/>
    <w:multiLevelType w:val="hybridMultilevel"/>
    <w:tmpl w:val="89F88EB6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FE95767"/>
    <w:multiLevelType w:val="hybridMultilevel"/>
    <w:tmpl w:val="CA3E55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90A27"/>
    <w:multiLevelType w:val="hybridMultilevel"/>
    <w:tmpl w:val="366C1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D3C9D"/>
    <w:multiLevelType w:val="hybridMultilevel"/>
    <w:tmpl w:val="1B1AFE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B4E1C"/>
    <w:multiLevelType w:val="hybridMultilevel"/>
    <w:tmpl w:val="9AF4221A"/>
    <w:lvl w:ilvl="0" w:tplc="C4407CDE">
      <w:numFmt w:val="bullet"/>
      <w:lvlText w:val="-"/>
      <w:lvlJc w:val="left"/>
      <w:pPr>
        <w:ind w:left="14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00D0F6E"/>
    <w:multiLevelType w:val="hybridMultilevel"/>
    <w:tmpl w:val="205A6CA0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9" w15:restartNumberingAfterBreak="0">
    <w:nsid w:val="337B2110"/>
    <w:multiLevelType w:val="hybridMultilevel"/>
    <w:tmpl w:val="248EB1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5640469"/>
    <w:multiLevelType w:val="hybridMultilevel"/>
    <w:tmpl w:val="9E989D8C"/>
    <w:lvl w:ilvl="0" w:tplc="9E163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F0224"/>
    <w:multiLevelType w:val="hybridMultilevel"/>
    <w:tmpl w:val="806044A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389A2CC6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3E086EC6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EB73096"/>
    <w:multiLevelType w:val="hybridMultilevel"/>
    <w:tmpl w:val="4C92D456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D6019"/>
    <w:multiLevelType w:val="hybridMultilevel"/>
    <w:tmpl w:val="CB1C7D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2157FF"/>
    <w:multiLevelType w:val="hybridMultilevel"/>
    <w:tmpl w:val="B81694EE"/>
    <w:lvl w:ilvl="0" w:tplc="C4407C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1E5F"/>
    <w:multiLevelType w:val="hybridMultilevel"/>
    <w:tmpl w:val="C92C1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D040A"/>
    <w:multiLevelType w:val="hybridMultilevel"/>
    <w:tmpl w:val="3F282DA4"/>
    <w:lvl w:ilvl="0" w:tplc="C4407CDE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4A38119B"/>
    <w:multiLevelType w:val="hybridMultilevel"/>
    <w:tmpl w:val="7DB641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F4438"/>
    <w:multiLevelType w:val="hybridMultilevel"/>
    <w:tmpl w:val="A84CF6E6"/>
    <w:lvl w:ilvl="0" w:tplc="3F7839E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7338C"/>
    <w:multiLevelType w:val="hybridMultilevel"/>
    <w:tmpl w:val="91EA5B4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44C92"/>
    <w:multiLevelType w:val="hybridMultilevel"/>
    <w:tmpl w:val="89B44AD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537D2E4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F8182C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84C3597"/>
    <w:multiLevelType w:val="hybridMultilevel"/>
    <w:tmpl w:val="46688EAC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21D3C"/>
    <w:multiLevelType w:val="multilevel"/>
    <w:tmpl w:val="041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0074AA7"/>
    <w:multiLevelType w:val="hybridMultilevel"/>
    <w:tmpl w:val="607CEA48"/>
    <w:lvl w:ilvl="0" w:tplc="C4407CDE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32A0D57"/>
    <w:multiLevelType w:val="hybridMultilevel"/>
    <w:tmpl w:val="D0A266B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F27B6F"/>
    <w:multiLevelType w:val="hybridMultilevel"/>
    <w:tmpl w:val="603A22B4"/>
    <w:lvl w:ilvl="0" w:tplc="0284CF70">
      <w:start w:val="1"/>
      <w:numFmt w:val="bullet"/>
      <w:lvlText w:val=""/>
      <w:lvlJc w:val="left"/>
      <w:pPr>
        <w:tabs>
          <w:tab w:val="num" w:pos="537"/>
        </w:tabs>
        <w:ind w:left="180" w:firstLine="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0" w15:restartNumberingAfterBreak="0">
    <w:nsid w:val="6879333B"/>
    <w:multiLevelType w:val="hybridMultilevel"/>
    <w:tmpl w:val="5DC6089C"/>
    <w:lvl w:ilvl="0" w:tplc="C25005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82168"/>
    <w:multiLevelType w:val="hybridMultilevel"/>
    <w:tmpl w:val="D6448940"/>
    <w:lvl w:ilvl="0" w:tplc="B17209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500D94"/>
    <w:multiLevelType w:val="hybridMultilevel"/>
    <w:tmpl w:val="0400D2C0"/>
    <w:lvl w:ilvl="0" w:tplc="32FEB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AA7928"/>
    <w:multiLevelType w:val="hybridMultilevel"/>
    <w:tmpl w:val="AB06A38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BF4DF6"/>
    <w:multiLevelType w:val="singleLevel"/>
    <w:tmpl w:val="041B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FA1CAA"/>
    <w:multiLevelType w:val="multilevel"/>
    <w:tmpl w:val="DF241B4C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 w15:restartNumberingAfterBreak="0">
    <w:nsid w:val="7F9C4651"/>
    <w:multiLevelType w:val="singleLevel"/>
    <w:tmpl w:val="EF006DE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5"/>
  </w:num>
  <w:num w:numId="2">
    <w:abstractNumId w:val="24"/>
  </w:num>
  <w:num w:numId="3">
    <w:abstractNumId w:val="39"/>
  </w:num>
  <w:num w:numId="4">
    <w:abstractNumId w:val="11"/>
  </w:num>
  <w:num w:numId="5">
    <w:abstractNumId w:val="36"/>
  </w:num>
  <w:num w:numId="6">
    <w:abstractNumId w:val="10"/>
  </w:num>
  <w:num w:numId="7">
    <w:abstractNumId w:val="22"/>
  </w:num>
  <w:num w:numId="8">
    <w:abstractNumId w:val="33"/>
  </w:num>
  <w:num w:numId="9">
    <w:abstractNumId w:val="23"/>
  </w:num>
  <w:num w:numId="10">
    <w:abstractNumId w:val="46"/>
  </w:num>
  <w:num w:numId="11">
    <w:abstractNumId w:val="34"/>
  </w:num>
  <w:num w:numId="12">
    <w:abstractNumId w:val="9"/>
  </w:num>
  <w:num w:numId="13">
    <w:abstractNumId w:val="45"/>
  </w:num>
  <w:num w:numId="14">
    <w:abstractNumId w:val="8"/>
  </w:num>
  <w:num w:numId="15">
    <w:abstractNumId w:val="44"/>
  </w:num>
  <w:num w:numId="16">
    <w:abstractNumId w:val="7"/>
  </w:num>
  <w:num w:numId="17">
    <w:abstractNumId w:val="3"/>
  </w:num>
  <w:num w:numId="18">
    <w:abstractNumId w:val="26"/>
  </w:num>
  <w:num w:numId="19">
    <w:abstractNumId w:val="6"/>
  </w:num>
  <w:num w:numId="20">
    <w:abstractNumId w:val="0"/>
  </w:num>
  <w:num w:numId="21">
    <w:abstractNumId w:val="20"/>
  </w:num>
  <w:num w:numId="22">
    <w:abstractNumId w:val="4"/>
  </w:num>
  <w:num w:numId="23">
    <w:abstractNumId w:val="30"/>
  </w:num>
  <w:num w:numId="24">
    <w:abstractNumId w:val="18"/>
  </w:num>
  <w:num w:numId="25">
    <w:abstractNumId w:val="31"/>
  </w:num>
  <w:num w:numId="26">
    <w:abstractNumId w:val="21"/>
  </w:num>
  <w:num w:numId="27">
    <w:abstractNumId w:val="40"/>
  </w:num>
  <w:num w:numId="28">
    <w:abstractNumId w:val="41"/>
  </w:num>
  <w:num w:numId="29">
    <w:abstractNumId w:val="38"/>
  </w:num>
  <w:num w:numId="30">
    <w:abstractNumId w:val="32"/>
  </w:num>
  <w:num w:numId="31">
    <w:abstractNumId w:val="1"/>
  </w:num>
  <w:num w:numId="32">
    <w:abstractNumId w:val="13"/>
  </w:num>
  <w:num w:numId="33">
    <w:abstractNumId w:val="12"/>
  </w:num>
  <w:num w:numId="34">
    <w:abstractNumId w:val="27"/>
  </w:num>
  <w:num w:numId="35">
    <w:abstractNumId w:val="14"/>
  </w:num>
  <w:num w:numId="36">
    <w:abstractNumId w:val="15"/>
  </w:num>
  <w:num w:numId="37">
    <w:abstractNumId w:val="42"/>
  </w:num>
  <w:num w:numId="38">
    <w:abstractNumId w:val="37"/>
  </w:num>
  <w:num w:numId="39">
    <w:abstractNumId w:val="25"/>
  </w:num>
  <w:num w:numId="40">
    <w:abstractNumId w:val="5"/>
  </w:num>
  <w:num w:numId="41">
    <w:abstractNumId w:val="28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43"/>
  </w:num>
  <w:num w:numId="45">
    <w:abstractNumId w:val="17"/>
  </w:num>
  <w:num w:numId="46">
    <w:abstractNumId w:val="16"/>
  </w:num>
  <w:num w:numId="47">
    <w:abstractNumId w:val="2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E4"/>
    <w:rsid w:val="00002E6B"/>
    <w:rsid w:val="000054DA"/>
    <w:rsid w:val="00005AA4"/>
    <w:rsid w:val="00005F2A"/>
    <w:rsid w:val="00006687"/>
    <w:rsid w:val="00006EB6"/>
    <w:rsid w:val="00006F32"/>
    <w:rsid w:val="00011314"/>
    <w:rsid w:val="000132D0"/>
    <w:rsid w:val="0001484E"/>
    <w:rsid w:val="000178EC"/>
    <w:rsid w:val="00020C41"/>
    <w:rsid w:val="00022346"/>
    <w:rsid w:val="0002248D"/>
    <w:rsid w:val="00025CC0"/>
    <w:rsid w:val="00026E0E"/>
    <w:rsid w:val="000360DC"/>
    <w:rsid w:val="00036F71"/>
    <w:rsid w:val="0004013A"/>
    <w:rsid w:val="000405E4"/>
    <w:rsid w:val="000407A6"/>
    <w:rsid w:val="00043044"/>
    <w:rsid w:val="00043BA4"/>
    <w:rsid w:val="00045FF4"/>
    <w:rsid w:val="0004624C"/>
    <w:rsid w:val="00051644"/>
    <w:rsid w:val="000528EC"/>
    <w:rsid w:val="000536AA"/>
    <w:rsid w:val="000544CE"/>
    <w:rsid w:val="00056EF2"/>
    <w:rsid w:val="000570F4"/>
    <w:rsid w:val="00060340"/>
    <w:rsid w:val="00060D15"/>
    <w:rsid w:val="00061FDB"/>
    <w:rsid w:val="0006494C"/>
    <w:rsid w:val="00065B9D"/>
    <w:rsid w:val="00071EC4"/>
    <w:rsid w:val="00074BDC"/>
    <w:rsid w:val="000761A1"/>
    <w:rsid w:val="00077801"/>
    <w:rsid w:val="00081044"/>
    <w:rsid w:val="000850E0"/>
    <w:rsid w:val="00086008"/>
    <w:rsid w:val="00090610"/>
    <w:rsid w:val="00091DE3"/>
    <w:rsid w:val="000921C4"/>
    <w:rsid w:val="00095E26"/>
    <w:rsid w:val="000A08E2"/>
    <w:rsid w:val="000A0BD0"/>
    <w:rsid w:val="000A2E9F"/>
    <w:rsid w:val="000A30D2"/>
    <w:rsid w:val="000A4CE1"/>
    <w:rsid w:val="000A5525"/>
    <w:rsid w:val="000A5701"/>
    <w:rsid w:val="000A590B"/>
    <w:rsid w:val="000A67B0"/>
    <w:rsid w:val="000A69B3"/>
    <w:rsid w:val="000A73EB"/>
    <w:rsid w:val="000B095D"/>
    <w:rsid w:val="000B0DD8"/>
    <w:rsid w:val="000B0E29"/>
    <w:rsid w:val="000B0E2E"/>
    <w:rsid w:val="000B1E08"/>
    <w:rsid w:val="000B53FF"/>
    <w:rsid w:val="000B5E3E"/>
    <w:rsid w:val="000B6477"/>
    <w:rsid w:val="000B6795"/>
    <w:rsid w:val="000B7BC3"/>
    <w:rsid w:val="000C16AA"/>
    <w:rsid w:val="000C246C"/>
    <w:rsid w:val="000C4A87"/>
    <w:rsid w:val="000C690A"/>
    <w:rsid w:val="000C7765"/>
    <w:rsid w:val="000D04E8"/>
    <w:rsid w:val="000D134A"/>
    <w:rsid w:val="000D2352"/>
    <w:rsid w:val="000D5B26"/>
    <w:rsid w:val="000E01D4"/>
    <w:rsid w:val="000E041F"/>
    <w:rsid w:val="000E1DA3"/>
    <w:rsid w:val="000E22BB"/>
    <w:rsid w:val="000E3CD8"/>
    <w:rsid w:val="000E628B"/>
    <w:rsid w:val="000E6706"/>
    <w:rsid w:val="000F1FFD"/>
    <w:rsid w:val="000F3168"/>
    <w:rsid w:val="000F3851"/>
    <w:rsid w:val="000F3AC5"/>
    <w:rsid w:val="000F4A30"/>
    <w:rsid w:val="000F4D89"/>
    <w:rsid w:val="000F7344"/>
    <w:rsid w:val="0010254C"/>
    <w:rsid w:val="0010360E"/>
    <w:rsid w:val="00107CE0"/>
    <w:rsid w:val="001109FA"/>
    <w:rsid w:val="00112CC7"/>
    <w:rsid w:val="00115946"/>
    <w:rsid w:val="001160C6"/>
    <w:rsid w:val="00117B42"/>
    <w:rsid w:val="001210AE"/>
    <w:rsid w:val="0012236A"/>
    <w:rsid w:val="0012285E"/>
    <w:rsid w:val="00123329"/>
    <w:rsid w:val="00123FBF"/>
    <w:rsid w:val="00126429"/>
    <w:rsid w:val="001264D2"/>
    <w:rsid w:val="00127635"/>
    <w:rsid w:val="00127D86"/>
    <w:rsid w:val="00131C9C"/>
    <w:rsid w:val="001327F4"/>
    <w:rsid w:val="00132B0B"/>
    <w:rsid w:val="00137AF6"/>
    <w:rsid w:val="00144161"/>
    <w:rsid w:val="001457C7"/>
    <w:rsid w:val="001508A6"/>
    <w:rsid w:val="00151F21"/>
    <w:rsid w:val="00152AC8"/>
    <w:rsid w:val="0015437A"/>
    <w:rsid w:val="00154504"/>
    <w:rsid w:val="00154B62"/>
    <w:rsid w:val="00156632"/>
    <w:rsid w:val="001567DE"/>
    <w:rsid w:val="00161729"/>
    <w:rsid w:val="00161C01"/>
    <w:rsid w:val="00162E21"/>
    <w:rsid w:val="001643F5"/>
    <w:rsid w:val="00167051"/>
    <w:rsid w:val="00167E50"/>
    <w:rsid w:val="0017177F"/>
    <w:rsid w:val="001733D5"/>
    <w:rsid w:val="001741E0"/>
    <w:rsid w:val="00174594"/>
    <w:rsid w:val="001747F5"/>
    <w:rsid w:val="001752A9"/>
    <w:rsid w:val="001767C5"/>
    <w:rsid w:val="001775CA"/>
    <w:rsid w:val="00177A3F"/>
    <w:rsid w:val="00180883"/>
    <w:rsid w:val="00181377"/>
    <w:rsid w:val="00182058"/>
    <w:rsid w:val="0018221E"/>
    <w:rsid w:val="001830E1"/>
    <w:rsid w:val="001859E2"/>
    <w:rsid w:val="001874F9"/>
    <w:rsid w:val="00191B82"/>
    <w:rsid w:val="00192C03"/>
    <w:rsid w:val="0019475C"/>
    <w:rsid w:val="00197823"/>
    <w:rsid w:val="00197B18"/>
    <w:rsid w:val="001A12B0"/>
    <w:rsid w:val="001A12D8"/>
    <w:rsid w:val="001A1B53"/>
    <w:rsid w:val="001A27A4"/>
    <w:rsid w:val="001A374E"/>
    <w:rsid w:val="001A4046"/>
    <w:rsid w:val="001A79D5"/>
    <w:rsid w:val="001A7DCB"/>
    <w:rsid w:val="001B042E"/>
    <w:rsid w:val="001B04DB"/>
    <w:rsid w:val="001B0A10"/>
    <w:rsid w:val="001B3690"/>
    <w:rsid w:val="001B50DF"/>
    <w:rsid w:val="001C0721"/>
    <w:rsid w:val="001C133C"/>
    <w:rsid w:val="001C1AD2"/>
    <w:rsid w:val="001C30EA"/>
    <w:rsid w:val="001C3C3A"/>
    <w:rsid w:val="001C53A6"/>
    <w:rsid w:val="001C6947"/>
    <w:rsid w:val="001C7081"/>
    <w:rsid w:val="001D116E"/>
    <w:rsid w:val="001D1C97"/>
    <w:rsid w:val="001D3D02"/>
    <w:rsid w:val="001D46D6"/>
    <w:rsid w:val="001D537D"/>
    <w:rsid w:val="001E0A87"/>
    <w:rsid w:val="001E3593"/>
    <w:rsid w:val="001E38B1"/>
    <w:rsid w:val="001E5216"/>
    <w:rsid w:val="001E72BA"/>
    <w:rsid w:val="001E7BFC"/>
    <w:rsid w:val="001F060F"/>
    <w:rsid w:val="001F092D"/>
    <w:rsid w:val="001F2EEA"/>
    <w:rsid w:val="001F7F63"/>
    <w:rsid w:val="00200536"/>
    <w:rsid w:val="00202A41"/>
    <w:rsid w:val="002060AB"/>
    <w:rsid w:val="0021336C"/>
    <w:rsid w:val="0021365F"/>
    <w:rsid w:val="0021738E"/>
    <w:rsid w:val="002176F7"/>
    <w:rsid w:val="00221268"/>
    <w:rsid w:val="00221659"/>
    <w:rsid w:val="00221963"/>
    <w:rsid w:val="0022386F"/>
    <w:rsid w:val="00225041"/>
    <w:rsid w:val="00226E1F"/>
    <w:rsid w:val="00231303"/>
    <w:rsid w:val="00233120"/>
    <w:rsid w:val="002358D7"/>
    <w:rsid w:val="00236616"/>
    <w:rsid w:val="002373A6"/>
    <w:rsid w:val="00240632"/>
    <w:rsid w:val="002411F7"/>
    <w:rsid w:val="00244DAE"/>
    <w:rsid w:val="00244FCA"/>
    <w:rsid w:val="002452E9"/>
    <w:rsid w:val="00247FC5"/>
    <w:rsid w:val="00251817"/>
    <w:rsid w:val="00253D31"/>
    <w:rsid w:val="00257A7D"/>
    <w:rsid w:val="00261244"/>
    <w:rsid w:val="00270573"/>
    <w:rsid w:val="002709EF"/>
    <w:rsid w:val="00272C1E"/>
    <w:rsid w:val="00276381"/>
    <w:rsid w:val="00276A39"/>
    <w:rsid w:val="002776BB"/>
    <w:rsid w:val="00280DAC"/>
    <w:rsid w:val="00283CAC"/>
    <w:rsid w:val="0029033B"/>
    <w:rsid w:val="00290591"/>
    <w:rsid w:val="002907C3"/>
    <w:rsid w:val="002930D2"/>
    <w:rsid w:val="0029349B"/>
    <w:rsid w:val="002943DC"/>
    <w:rsid w:val="00295377"/>
    <w:rsid w:val="002A1BB3"/>
    <w:rsid w:val="002A2EB4"/>
    <w:rsid w:val="002A3AEF"/>
    <w:rsid w:val="002A4176"/>
    <w:rsid w:val="002A5C96"/>
    <w:rsid w:val="002A5DF0"/>
    <w:rsid w:val="002A636F"/>
    <w:rsid w:val="002A6F06"/>
    <w:rsid w:val="002A7133"/>
    <w:rsid w:val="002A7282"/>
    <w:rsid w:val="002B470E"/>
    <w:rsid w:val="002B4EF2"/>
    <w:rsid w:val="002B5F68"/>
    <w:rsid w:val="002B6E88"/>
    <w:rsid w:val="002B7C90"/>
    <w:rsid w:val="002C06DE"/>
    <w:rsid w:val="002C0A28"/>
    <w:rsid w:val="002C1BCD"/>
    <w:rsid w:val="002C2078"/>
    <w:rsid w:val="002C209F"/>
    <w:rsid w:val="002D0023"/>
    <w:rsid w:val="002D571A"/>
    <w:rsid w:val="002E1F43"/>
    <w:rsid w:val="002E3AEA"/>
    <w:rsid w:val="002E6AD5"/>
    <w:rsid w:val="002E7816"/>
    <w:rsid w:val="002F5706"/>
    <w:rsid w:val="002F78ED"/>
    <w:rsid w:val="002F7D48"/>
    <w:rsid w:val="003003DC"/>
    <w:rsid w:val="0030616E"/>
    <w:rsid w:val="00313E6B"/>
    <w:rsid w:val="00313F47"/>
    <w:rsid w:val="00315703"/>
    <w:rsid w:val="00316D70"/>
    <w:rsid w:val="00320BB2"/>
    <w:rsid w:val="00322096"/>
    <w:rsid w:val="003223FE"/>
    <w:rsid w:val="00322E35"/>
    <w:rsid w:val="0032617C"/>
    <w:rsid w:val="00326A7D"/>
    <w:rsid w:val="00327FD1"/>
    <w:rsid w:val="0033036C"/>
    <w:rsid w:val="0033598C"/>
    <w:rsid w:val="00342431"/>
    <w:rsid w:val="00342844"/>
    <w:rsid w:val="00343A6C"/>
    <w:rsid w:val="00344BB9"/>
    <w:rsid w:val="003451F6"/>
    <w:rsid w:val="0035356D"/>
    <w:rsid w:val="00353651"/>
    <w:rsid w:val="0035795C"/>
    <w:rsid w:val="00360FB5"/>
    <w:rsid w:val="00361CB9"/>
    <w:rsid w:val="00363C70"/>
    <w:rsid w:val="003644C2"/>
    <w:rsid w:val="003671B5"/>
    <w:rsid w:val="00367D5F"/>
    <w:rsid w:val="003748CE"/>
    <w:rsid w:val="00376625"/>
    <w:rsid w:val="003771E4"/>
    <w:rsid w:val="00382801"/>
    <w:rsid w:val="003857F2"/>
    <w:rsid w:val="00386838"/>
    <w:rsid w:val="00387013"/>
    <w:rsid w:val="003A3A30"/>
    <w:rsid w:val="003A64A2"/>
    <w:rsid w:val="003A7716"/>
    <w:rsid w:val="003B049C"/>
    <w:rsid w:val="003B229F"/>
    <w:rsid w:val="003B236B"/>
    <w:rsid w:val="003B47D7"/>
    <w:rsid w:val="003B529E"/>
    <w:rsid w:val="003B64F8"/>
    <w:rsid w:val="003B724C"/>
    <w:rsid w:val="003C2585"/>
    <w:rsid w:val="003C2F37"/>
    <w:rsid w:val="003C6CFA"/>
    <w:rsid w:val="003D2A67"/>
    <w:rsid w:val="003D4FD5"/>
    <w:rsid w:val="003D6E6F"/>
    <w:rsid w:val="003D7191"/>
    <w:rsid w:val="003E0193"/>
    <w:rsid w:val="003E760B"/>
    <w:rsid w:val="003E7B08"/>
    <w:rsid w:val="003E7B5A"/>
    <w:rsid w:val="003F40C6"/>
    <w:rsid w:val="003F41CC"/>
    <w:rsid w:val="003F4466"/>
    <w:rsid w:val="003F7490"/>
    <w:rsid w:val="003F79B7"/>
    <w:rsid w:val="00400886"/>
    <w:rsid w:val="0040181D"/>
    <w:rsid w:val="00401DBE"/>
    <w:rsid w:val="004033A3"/>
    <w:rsid w:val="004077B3"/>
    <w:rsid w:val="00410089"/>
    <w:rsid w:val="004170D2"/>
    <w:rsid w:val="00424068"/>
    <w:rsid w:val="0042583A"/>
    <w:rsid w:val="00426361"/>
    <w:rsid w:val="0042681D"/>
    <w:rsid w:val="00426F83"/>
    <w:rsid w:val="00427B6B"/>
    <w:rsid w:val="004302AD"/>
    <w:rsid w:val="00430A51"/>
    <w:rsid w:val="00437D9F"/>
    <w:rsid w:val="00437ED8"/>
    <w:rsid w:val="0044214E"/>
    <w:rsid w:val="00442BB7"/>
    <w:rsid w:val="004430C5"/>
    <w:rsid w:val="00444879"/>
    <w:rsid w:val="004526DF"/>
    <w:rsid w:val="00455981"/>
    <w:rsid w:val="00455B1A"/>
    <w:rsid w:val="0046040C"/>
    <w:rsid w:val="00461962"/>
    <w:rsid w:val="00461E0B"/>
    <w:rsid w:val="0046477B"/>
    <w:rsid w:val="00464E1D"/>
    <w:rsid w:val="00465E01"/>
    <w:rsid w:val="0047221C"/>
    <w:rsid w:val="00473C5E"/>
    <w:rsid w:val="00474213"/>
    <w:rsid w:val="00476218"/>
    <w:rsid w:val="004770AC"/>
    <w:rsid w:val="00481695"/>
    <w:rsid w:val="0048254C"/>
    <w:rsid w:val="00482780"/>
    <w:rsid w:val="0048516F"/>
    <w:rsid w:val="00486FDA"/>
    <w:rsid w:val="004949C1"/>
    <w:rsid w:val="0049644C"/>
    <w:rsid w:val="00496E8E"/>
    <w:rsid w:val="004A0214"/>
    <w:rsid w:val="004A0BC0"/>
    <w:rsid w:val="004A2C2A"/>
    <w:rsid w:val="004A4A8E"/>
    <w:rsid w:val="004A5B6C"/>
    <w:rsid w:val="004A6549"/>
    <w:rsid w:val="004B1350"/>
    <w:rsid w:val="004B2189"/>
    <w:rsid w:val="004C1A31"/>
    <w:rsid w:val="004C29BD"/>
    <w:rsid w:val="004C446E"/>
    <w:rsid w:val="004C61AE"/>
    <w:rsid w:val="004C7EC8"/>
    <w:rsid w:val="004D06B4"/>
    <w:rsid w:val="004D55CE"/>
    <w:rsid w:val="004E0DE6"/>
    <w:rsid w:val="004E5053"/>
    <w:rsid w:val="004E5332"/>
    <w:rsid w:val="004E6656"/>
    <w:rsid w:val="004E66CD"/>
    <w:rsid w:val="004F4844"/>
    <w:rsid w:val="004F5630"/>
    <w:rsid w:val="004F640A"/>
    <w:rsid w:val="004F674E"/>
    <w:rsid w:val="004F6E62"/>
    <w:rsid w:val="004F726A"/>
    <w:rsid w:val="004F77E0"/>
    <w:rsid w:val="0050080B"/>
    <w:rsid w:val="00501AAB"/>
    <w:rsid w:val="00501F16"/>
    <w:rsid w:val="005025E6"/>
    <w:rsid w:val="00505B00"/>
    <w:rsid w:val="005065B6"/>
    <w:rsid w:val="00506A3E"/>
    <w:rsid w:val="005070BA"/>
    <w:rsid w:val="005078EB"/>
    <w:rsid w:val="00507B2C"/>
    <w:rsid w:val="00510152"/>
    <w:rsid w:val="0051691F"/>
    <w:rsid w:val="00517233"/>
    <w:rsid w:val="00517328"/>
    <w:rsid w:val="0052206B"/>
    <w:rsid w:val="00522A8F"/>
    <w:rsid w:val="00523407"/>
    <w:rsid w:val="005275FB"/>
    <w:rsid w:val="00531393"/>
    <w:rsid w:val="005331C6"/>
    <w:rsid w:val="005337FA"/>
    <w:rsid w:val="00534837"/>
    <w:rsid w:val="005355B8"/>
    <w:rsid w:val="0054137B"/>
    <w:rsid w:val="00543FAF"/>
    <w:rsid w:val="00547911"/>
    <w:rsid w:val="00551A62"/>
    <w:rsid w:val="005552E7"/>
    <w:rsid w:val="0056239A"/>
    <w:rsid w:val="00564893"/>
    <w:rsid w:val="00570510"/>
    <w:rsid w:val="00570B42"/>
    <w:rsid w:val="0057240B"/>
    <w:rsid w:val="00572462"/>
    <w:rsid w:val="005724D9"/>
    <w:rsid w:val="00574744"/>
    <w:rsid w:val="005769EF"/>
    <w:rsid w:val="00580CED"/>
    <w:rsid w:val="00580E57"/>
    <w:rsid w:val="005818EC"/>
    <w:rsid w:val="0059041F"/>
    <w:rsid w:val="0059069C"/>
    <w:rsid w:val="005907CB"/>
    <w:rsid w:val="0059197E"/>
    <w:rsid w:val="00593964"/>
    <w:rsid w:val="00593DD9"/>
    <w:rsid w:val="005978A9"/>
    <w:rsid w:val="005A3062"/>
    <w:rsid w:val="005A3215"/>
    <w:rsid w:val="005A75A6"/>
    <w:rsid w:val="005B1F27"/>
    <w:rsid w:val="005B32A7"/>
    <w:rsid w:val="005B347F"/>
    <w:rsid w:val="005B3DE7"/>
    <w:rsid w:val="005B4279"/>
    <w:rsid w:val="005B6555"/>
    <w:rsid w:val="005B75AA"/>
    <w:rsid w:val="005B78D9"/>
    <w:rsid w:val="005C0C9F"/>
    <w:rsid w:val="005C4CE5"/>
    <w:rsid w:val="005C5205"/>
    <w:rsid w:val="005C6730"/>
    <w:rsid w:val="005C684B"/>
    <w:rsid w:val="005C7952"/>
    <w:rsid w:val="005D1444"/>
    <w:rsid w:val="005D17E0"/>
    <w:rsid w:val="005E14C2"/>
    <w:rsid w:val="005E2CC0"/>
    <w:rsid w:val="005E579B"/>
    <w:rsid w:val="005E5E4E"/>
    <w:rsid w:val="005E76EF"/>
    <w:rsid w:val="005E7D18"/>
    <w:rsid w:val="005F07A1"/>
    <w:rsid w:val="005F4755"/>
    <w:rsid w:val="006005CB"/>
    <w:rsid w:val="00604913"/>
    <w:rsid w:val="00605CF4"/>
    <w:rsid w:val="00617DE0"/>
    <w:rsid w:val="00621BCA"/>
    <w:rsid w:val="00626B55"/>
    <w:rsid w:val="0062775A"/>
    <w:rsid w:val="00630C55"/>
    <w:rsid w:val="00631361"/>
    <w:rsid w:val="006344BD"/>
    <w:rsid w:val="00635B82"/>
    <w:rsid w:val="00636379"/>
    <w:rsid w:val="0064126B"/>
    <w:rsid w:val="00643611"/>
    <w:rsid w:val="006439F4"/>
    <w:rsid w:val="0065014C"/>
    <w:rsid w:val="00650CD6"/>
    <w:rsid w:val="006514D4"/>
    <w:rsid w:val="00653BD0"/>
    <w:rsid w:val="00653E83"/>
    <w:rsid w:val="00663DCC"/>
    <w:rsid w:val="006642FB"/>
    <w:rsid w:val="0066461B"/>
    <w:rsid w:val="00664A3B"/>
    <w:rsid w:val="00665B79"/>
    <w:rsid w:val="00666925"/>
    <w:rsid w:val="00671D98"/>
    <w:rsid w:val="00675333"/>
    <w:rsid w:val="00675566"/>
    <w:rsid w:val="00682EEF"/>
    <w:rsid w:val="00685AD0"/>
    <w:rsid w:val="00691F60"/>
    <w:rsid w:val="00692345"/>
    <w:rsid w:val="006938BB"/>
    <w:rsid w:val="006960C3"/>
    <w:rsid w:val="00696B4A"/>
    <w:rsid w:val="006A03F2"/>
    <w:rsid w:val="006A4C7C"/>
    <w:rsid w:val="006B00B4"/>
    <w:rsid w:val="006B03DE"/>
    <w:rsid w:val="006B0F55"/>
    <w:rsid w:val="006B153B"/>
    <w:rsid w:val="006B2677"/>
    <w:rsid w:val="006B26AF"/>
    <w:rsid w:val="006B43DE"/>
    <w:rsid w:val="006B58D7"/>
    <w:rsid w:val="006B6794"/>
    <w:rsid w:val="006B6C45"/>
    <w:rsid w:val="006B7CEC"/>
    <w:rsid w:val="006B7F65"/>
    <w:rsid w:val="006C0477"/>
    <w:rsid w:val="006C0690"/>
    <w:rsid w:val="006C0F88"/>
    <w:rsid w:val="006C543F"/>
    <w:rsid w:val="006C60A6"/>
    <w:rsid w:val="006C6AE6"/>
    <w:rsid w:val="006C6BC2"/>
    <w:rsid w:val="006C77B0"/>
    <w:rsid w:val="006D06A6"/>
    <w:rsid w:val="006D1DA4"/>
    <w:rsid w:val="006D45D1"/>
    <w:rsid w:val="006D573C"/>
    <w:rsid w:val="006D74C6"/>
    <w:rsid w:val="006D7644"/>
    <w:rsid w:val="006E0E5E"/>
    <w:rsid w:val="006E2ABA"/>
    <w:rsid w:val="006E4725"/>
    <w:rsid w:val="006E545D"/>
    <w:rsid w:val="006E6C59"/>
    <w:rsid w:val="006F1F34"/>
    <w:rsid w:val="006F5E43"/>
    <w:rsid w:val="006F5F88"/>
    <w:rsid w:val="006F660E"/>
    <w:rsid w:val="007011F6"/>
    <w:rsid w:val="00706840"/>
    <w:rsid w:val="00706844"/>
    <w:rsid w:val="00710839"/>
    <w:rsid w:val="007136DF"/>
    <w:rsid w:val="00713E3D"/>
    <w:rsid w:val="007144F8"/>
    <w:rsid w:val="007146C2"/>
    <w:rsid w:val="00714985"/>
    <w:rsid w:val="00716880"/>
    <w:rsid w:val="00717A2D"/>
    <w:rsid w:val="00723DB2"/>
    <w:rsid w:val="007245CC"/>
    <w:rsid w:val="0072465C"/>
    <w:rsid w:val="00727FE8"/>
    <w:rsid w:val="00730DC0"/>
    <w:rsid w:val="0073177A"/>
    <w:rsid w:val="007319C3"/>
    <w:rsid w:val="007327D6"/>
    <w:rsid w:val="00734164"/>
    <w:rsid w:val="0073582B"/>
    <w:rsid w:val="00735C03"/>
    <w:rsid w:val="00736E36"/>
    <w:rsid w:val="007377F6"/>
    <w:rsid w:val="007378B0"/>
    <w:rsid w:val="00740B5F"/>
    <w:rsid w:val="00741B87"/>
    <w:rsid w:val="0074695C"/>
    <w:rsid w:val="00751AA6"/>
    <w:rsid w:val="0075445C"/>
    <w:rsid w:val="00754D6F"/>
    <w:rsid w:val="00756859"/>
    <w:rsid w:val="0075773E"/>
    <w:rsid w:val="0076138F"/>
    <w:rsid w:val="00766501"/>
    <w:rsid w:val="00770BA0"/>
    <w:rsid w:val="00770F20"/>
    <w:rsid w:val="007735D0"/>
    <w:rsid w:val="00777A08"/>
    <w:rsid w:val="007846A8"/>
    <w:rsid w:val="00786542"/>
    <w:rsid w:val="00787E25"/>
    <w:rsid w:val="00790DFE"/>
    <w:rsid w:val="00791458"/>
    <w:rsid w:val="00791510"/>
    <w:rsid w:val="007947D5"/>
    <w:rsid w:val="00796FA9"/>
    <w:rsid w:val="00797D74"/>
    <w:rsid w:val="007A1075"/>
    <w:rsid w:val="007A5E54"/>
    <w:rsid w:val="007A62B0"/>
    <w:rsid w:val="007A6665"/>
    <w:rsid w:val="007A72E3"/>
    <w:rsid w:val="007B320F"/>
    <w:rsid w:val="007C091D"/>
    <w:rsid w:val="007C409E"/>
    <w:rsid w:val="007C43CB"/>
    <w:rsid w:val="007C4A8C"/>
    <w:rsid w:val="007C68BC"/>
    <w:rsid w:val="007D1401"/>
    <w:rsid w:val="007D1452"/>
    <w:rsid w:val="007D146A"/>
    <w:rsid w:val="007D3BD2"/>
    <w:rsid w:val="007D4383"/>
    <w:rsid w:val="007D533C"/>
    <w:rsid w:val="007D6608"/>
    <w:rsid w:val="007E0862"/>
    <w:rsid w:val="007E2445"/>
    <w:rsid w:val="007E35DB"/>
    <w:rsid w:val="007E38AB"/>
    <w:rsid w:val="007E4660"/>
    <w:rsid w:val="007E5352"/>
    <w:rsid w:val="007F2DF3"/>
    <w:rsid w:val="007F4B9F"/>
    <w:rsid w:val="007F7B26"/>
    <w:rsid w:val="008010D8"/>
    <w:rsid w:val="00801F0E"/>
    <w:rsid w:val="00802377"/>
    <w:rsid w:val="008027E9"/>
    <w:rsid w:val="00802998"/>
    <w:rsid w:val="00803AB6"/>
    <w:rsid w:val="00803EA4"/>
    <w:rsid w:val="00804C12"/>
    <w:rsid w:val="00807D53"/>
    <w:rsid w:val="008115A9"/>
    <w:rsid w:val="008118AF"/>
    <w:rsid w:val="0081216E"/>
    <w:rsid w:val="0081576D"/>
    <w:rsid w:val="00822609"/>
    <w:rsid w:val="008231B9"/>
    <w:rsid w:val="008234AD"/>
    <w:rsid w:val="00823A40"/>
    <w:rsid w:val="0082411B"/>
    <w:rsid w:val="00825463"/>
    <w:rsid w:val="00825CCA"/>
    <w:rsid w:val="00827E0B"/>
    <w:rsid w:val="008309DA"/>
    <w:rsid w:val="0083138A"/>
    <w:rsid w:val="0083261A"/>
    <w:rsid w:val="008346CF"/>
    <w:rsid w:val="00836F8D"/>
    <w:rsid w:val="00837676"/>
    <w:rsid w:val="00840786"/>
    <w:rsid w:val="00843324"/>
    <w:rsid w:val="00844EFE"/>
    <w:rsid w:val="008463FE"/>
    <w:rsid w:val="00850F37"/>
    <w:rsid w:val="00856DC0"/>
    <w:rsid w:val="008570E5"/>
    <w:rsid w:val="0085720E"/>
    <w:rsid w:val="00863366"/>
    <w:rsid w:val="00863741"/>
    <w:rsid w:val="00864AF4"/>
    <w:rsid w:val="008676DD"/>
    <w:rsid w:val="00867F00"/>
    <w:rsid w:val="008701EE"/>
    <w:rsid w:val="00870C0D"/>
    <w:rsid w:val="00871792"/>
    <w:rsid w:val="00874771"/>
    <w:rsid w:val="00881951"/>
    <w:rsid w:val="00885DF5"/>
    <w:rsid w:val="00887DFF"/>
    <w:rsid w:val="0089117F"/>
    <w:rsid w:val="008924D8"/>
    <w:rsid w:val="008927DF"/>
    <w:rsid w:val="00893E2C"/>
    <w:rsid w:val="0089493E"/>
    <w:rsid w:val="00894BAA"/>
    <w:rsid w:val="00897909"/>
    <w:rsid w:val="008A0716"/>
    <w:rsid w:val="008A0DC2"/>
    <w:rsid w:val="008A2496"/>
    <w:rsid w:val="008A438B"/>
    <w:rsid w:val="008A5626"/>
    <w:rsid w:val="008B2CF7"/>
    <w:rsid w:val="008B42D6"/>
    <w:rsid w:val="008B5DE4"/>
    <w:rsid w:val="008B62BF"/>
    <w:rsid w:val="008B64C9"/>
    <w:rsid w:val="008B66DC"/>
    <w:rsid w:val="008B6BB8"/>
    <w:rsid w:val="008B71A6"/>
    <w:rsid w:val="008B7BB2"/>
    <w:rsid w:val="008C033B"/>
    <w:rsid w:val="008C2367"/>
    <w:rsid w:val="008C3D84"/>
    <w:rsid w:val="008C4C24"/>
    <w:rsid w:val="008C746B"/>
    <w:rsid w:val="008C7495"/>
    <w:rsid w:val="008D05A8"/>
    <w:rsid w:val="008D0CBB"/>
    <w:rsid w:val="008D0DC3"/>
    <w:rsid w:val="008D14AE"/>
    <w:rsid w:val="008D2A7F"/>
    <w:rsid w:val="008D3023"/>
    <w:rsid w:val="008D3AA4"/>
    <w:rsid w:val="008D4FB5"/>
    <w:rsid w:val="008D62FF"/>
    <w:rsid w:val="008E0651"/>
    <w:rsid w:val="008E103C"/>
    <w:rsid w:val="008E2262"/>
    <w:rsid w:val="008E51C5"/>
    <w:rsid w:val="008E63B3"/>
    <w:rsid w:val="008E6856"/>
    <w:rsid w:val="008F13F0"/>
    <w:rsid w:val="008F30E0"/>
    <w:rsid w:val="008F3F0D"/>
    <w:rsid w:val="008F4618"/>
    <w:rsid w:val="008F5931"/>
    <w:rsid w:val="008F7DF2"/>
    <w:rsid w:val="00903879"/>
    <w:rsid w:val="0090404B"/>
    <w:rsid w:val="00907330"/>
    <w:rsid w:val="00910595"/>
    <w:rsid w:val="00910857"/>
    <w:rsid w:val="00912146"/>
    <w:rsid w:val="00912576"/>
    <w:rsid w:val="009136D8"/>
    <w:rsid w:val="009158A0"/>
    <w:rsid w:val="00915D43"/>
    <w:rsid w:val="00916057"/>
    <w:rsid w:val="009164F0"/>
    <w:rsid w:val="00916750"/>
    <w:rsid w:val="009173B3"/>
    <w:rsid w:val="00917893"/>
    <w:rsid w:val="00921FB2"/>
    <w:rsid w:val="00924966"/>
    <w:rsid w:val="009329C8"/>
    <w:rsid w:val="00932A15"/>
    <w:rsid w:val="009337AC"/>
    <w:rsid w:val="00933D54"/>
    <w:rsid w:val="00933E90"/>
    <w:rsid w:val="00934BBD"/>
    <w:rsid w:val="00935DDB"/>
    <w:rsid w:val="0093697D"/>
    <w:rsid w:val="00940519"/>
    <w:rsid w:val="00947765"/>
    <w:rsid w:val="00947ABA"/>
    <w:rsid w:val="009506E5"/>
    <w:rsid w:val="00951872"/>
    <w:rsid w:val="0095211C"/>
    <w:rsid w:val="009522CC"/>
    <w:rsid w:val="00954C5B"/>
    <w:rsid w:val="00957AE9"/>
    <w:rsid w:val="00960AF2"/>
    <w:rsid w:val="00961CB0"/>
    <w:rsid w:val="009632AD"/>
    <w:rsid w:val="00963C20"/>
    <w:rsid w:val="00963F4C"/>
    <w:rsid w:val="009649BE"/>
    <w:rsid w:val="00964BA4"/>
    <w:rsid w:val="00966E91"/>
    <w:rsid w:val="00967196"/>
    <w:rsid w:val="00970B41"/>
    <w:rsid w:val="00973F50"/>
    <w:rsid w:val="00976563"/>
    <w:rsid w:val="00976875"/>
    <w:rsid w:val="00990B34"/>
    <w:rsid w:val="009912F9"/>
    <w:rsid w:val="0099579B"/>
    <w:rsid w:val="00996B4D"/>
    <w:rsid w:val="009A0DDD"/>
    <w:rsid w:val="009A1521"/>
    <w:rsid w:val="009A3BDF"/>
    <w:rsid w:val="009A65EE"/>
    <w:rsid w:val="009A6894"/>
    <w:rsid w:val="009B2179"/>
    <w:rsid w:val="009B3153"/>
    <w:rsid w:val="009B6251"/>
    <w:rsid w:val="009B67AD"/>
    <w:rsid w:val="009B7850"/>
    <w:rsid w:val="009D0291"/>
    <w:rsid w:val="009D1103"/>
    <w:rsid w:val="009E009D"/>
    <w:rsid w:val="009E1B44"/>
    <w:rsid w:val="009E1F79"/>
    <w:rsid w:val="009E20DF"/>
    <w:rsid w:val="009E23DD"/>
    <w:rsid w:val="009E2698"/>
    <w:rsid w:val="009E3571"/>
    <w:rsid w:val="009E3853"/>
    <w:rsid w:val="009E3AC5"/>
    <w:rsid w:val="009E4985"/>
    <w:rsid w:val="009E5704"/>
    <w:rsid w:val="009E6844"/>
    <w:rsid w:val="009E6FD9"/>
    <w:rsid w:val="009F25F4"/>
    <w:rsid w:val="009F2AF5"/>
    <w:rsid w:val="009F4206"/>
    <w:rsid w:val="009F6033"/>
    <w:rsid w:val="009F74B2"/>
    <w:rsid w:val="00A03B35"/>
    <w:rsid w:val="00A06D59"/>
    <w:rsid w:val="00A0737D"/>
    <w:rsid w:val="00A07C86"/>
    <w:rsid w:val="00A100DC"/>
    <w:rsid w:val="00A11918"/>
    <w:rsid w:val="00A125AB"/>
    <w:rsid w:val="00A125B5"/>
    <w:rsid w:val="00A136E7"/>
    <w:rsid w:val="00A136F7"/>
    <w:rsid w:val="00A23E63"/>
    <w:rsid w:val="00A25595"/>
    <w:rsid w:val="00A269FE"/>
    <w:rsid w:val="00A278B0"/>
    <w:rsid w:val="00A301E4"/>
    <w:rsid w:val="00A31281"/>
    <w:rsid w:val="00A315C4"/>
    <w:rsid w:val="00A31DE6"/>
    <w:rsid w:val="00A32742"/>
    <w:rsid w:val="00A33AB9"/>
    <w:rsid w:val="00A34D2D"/>
    <w:rsid w:val="00A34EA3"/>
    <w:rsid w:val="00A37112"/>
    <w:rsid w:val="00A4074A"/>
    <w:rsid w:val="00A419B0"/>
    <w:rsid w:val="00A42181"/>
    <w:rsid w:val="00A43BE3"/>
    <w:rsid w:val="00A43F89"/>
    <w:rsid w:val="00A45C5E"/>
    <w:rsid w:val="00A52B9A"/>
    <w:rsid w:val="00A53F77"/>
    <w:rsid w:val="00A543C7"/>
    <w:rsid w:val="00A544E2"/>
    <w:rsid w:val="00A573BC"/>
    <w:rsid w:val="00A62CD5"/>
    <w:rsid w:val="00A650FC"/>
    <w:rsid w:val="00A66536"/>
    <w:rsid w:val="00A66769"/>
    <w:rsid w:val="00A70231"/>
    <w:rsid w:val="00A7105F"/>
    <w:rsid w:val="00A760C2"/>
    <w:rsid w:val="00A77333"/>
    <w:rsid w:val="00A7785E"/>
    <w:rsid w:val="00A77964"/>
    <w:rsid w:val="00A779EF"/>
    <w:rsid w:val="00A81FAD"/>
    <w:rsid w:val="00A923C9"/>
    <w:rsid w:val="00A92E6D"/>
    <w:rsid w:val="00A937B8"/>
    <w:rsid w:val="00A93D79"/>
    <w:rsid w:val="00A94A58"/>
    <w:rsid w:val="00A95ABF"/>
    <w:rsid w:val="00A9691F"/>
    <w:rsid w:val="00A96B17"/>
    <w:rsid w:val="00AA46A4"/>
    <w:rsid w:val="00AA7C47"/>
    <w:rsid w:val="00AB06DC"/>
    <w:rsid w:val="00AB08FF"/>
    <w:rsid w:val="00AB11E6"/>
    <w:rsid w:val="00AB2072"/>
    <w:rsid w:val="00AB4E9C"/>
    <w:rsid w:val="00AB5107"/>
    <w:rsid w:val="00AC18B8"/>
    <w:rsid w:val="00AC2FAD"/>
    <w:rsid w:val="00AC636C"/>
    <w:rsid w:val="00AC772A"/>
    <w:rsid w:val="00AC7FA0"/>
    <w:rsid w:val="00AD1249"/>
    <w:rsid w:val="00AD3D4B"/>
    <w:rsid w:val="00AD5A89"/>
    <w:rsid w:val="00AD732A"/>
    <w:rsid w:val="00AE06D2"/>
    <w:rsid w:val="00AE41D2"/>
    <w:rsid w:val="00AE7794"/>
    <w:rsid w:val="00AF0BEC"/>
    <w:rsid w:val="00AF197F"/>
    <w:rsid w:val="00AF4CC1"/>
    <w:rsid w:val="00B00300"/>
    <w:rsid w:val="00B004FD"/>
    <w:rsid w:val="00B00702"/>
    <w:rsid w:val="00B02982"/>
    <w:rsid w:val="00B04B29"/>
    <w:rsid w:val="00B05468"/>
    <w:rsid w:val="00B07E2B"/>
    <w:rsid w:val="00B16302"/>
    <w:rsid w:val="00B17437"/>
    <w:rsid w:val="00B20C55"/>
    <w:rsid w:val="00B2327E"/>
    <w:rsid w:val="00B25352"/>
    <w:rsid w:val="00B35F49"/>
    <w:rsid w:val="00B36EBC"/>
    <w:rsid w:val="00B37062"/>
    <w:rsid w:val="00B403BD"/>
    <w:rsid w:val="00B40CE4"/>
    <w:rsid w:val="00B4173C"/>
    <w:rsid w:val="00B417AE"/>
    <w:rsid w:val="00B41D51"/>
    <w:rsid w:val="00B442C2"/>
    <w:rsid w:val="00B454C8"/>
    <w:rsid w:val="00B47898"/>
    <w:rsid w:val="00B50FEF"/>
    <w:rsid w:val="00B52D0B"/>
    <w:rsid w:val="00B52FCE"/>
    <w:rsid w:val="00B535AF"/>
    <w:rsid w:val="00B55153"/>
    <w:rsid w:val="00B55579"/>
    <w:rsid w:val="00B60574"/>
    <w:rsid w:val="00B606AE"/>
    <w:rsid w:val="00B6196E"/>
    <w:rsid w:val="00B6350E"/>
    <w:rsid w:val="00B65D2C"/>
    <w:rsid w:val="00B71F97"/>
    <w:rsid w:val="00B72A01"/>
    <w:rsid w:val="00B75DE3"/>
    <w:rsid w:val="00B76892"/>
    <w:rsid w:val="00B76986"/>
    <w:rsid w:val="00B80C92"/>
    <w:rsid w:val="00B81DD9"/>
    <w:rsid w:val="00B8293D"/>
    <w:rsid w:val="00B83709"/>
    <w:rsid w:val="00B917EB"/>
    <w:rsid w:val="00B9218C"/>
    <w:rsid w:val="00B92318"/>
    <w:rsid w:val="00B95CA0"/>
    <w:rsid w:val="00B96343"/>
    <w:rsid w:val="00B97811"/>
    <w:rsid w:val="00BA0F71"/>
    <w:rsid w:val="00BA1438"/>
    <w:rsid w:val="00BA16C0"/>
    <w:rsid w:val="00BA340B"/>
    <w:rsid w:val="00BA63ED"/>
    <w:rsid w:val="00BA7013"/>
    <w:rsid w:val="00BA76A8"/>
    <w:rsid w:val="00BB0D2C"/>
    <w:rsid w:val="00BB261B"/>
    <w:rsid w:val="00BB28B2"/>
    <w:rsid w:val="00BB4179"/>
    <w:rsid w:val="00BB41C7"/>
    <w:rsid w:val="00BB456F"/>
    <w:rsid w:val="00BB5065"/>
    <w:rsid w:val="00BB6597"/>
    <w:rsid w:val="00BB67E4"/>
    <w:rsid w:val="00BB74BB"/>
    <w:rsid w:val="00BB7BC6"/>
    <w:rsid w:val="00BC36AB"/>
    <w:rsid w:val="00BC396C"/>
    <w:rsid w:val="00BC3ED4"/>
    <w:rsid w:val="00BC698E"/>
    <w:rsid w:val="00BD3228"/>
    <w:rsid w:val="00BD79AC"/>
    <w:rsid w:val="00BE11B5"/>
    <w:rsid w:val="00BE4342"/>
    <w:rsid w:val="00BE5669"/>
    <w:rsid w:val="00BE614D"/>
    <w:rsid w:val="00BF2557"/>
    <w:rsid w:val="00BF43E9"/>
    <w:rsid w:val="00BF46EA"/>
    <w:rsid w:val="00BF5E51"/>
    <w:rsid w:val="00BF7028"/>
    <w:rsid w:val="00C0076F"/>
    <w:rsid w:val="00C01AAD"/>
    <w:rsid w:val="00C02E88"/>
    <w:rsid w:val="00C03A57"/>
    <w:rsid w:val="00C0701E"/>
    <w:rsid w:val="00C11847"/>
    <w:rsid w:val="00C129CF"/>
    <w:rsid w:val="00C136DC"/>
    <w:rsid w:val="00C14D8B"/>
    <w:rsid w:val="00C20FA7"/>
    <w:rsid w:val="00C23A31"/>
    <w:rsid w:val="00C27BF4"/>
    <w:rsid w:val="00C313F9"/>
    <w:rsid w:val="00C320A4"/>
    <w:rsid w:val="00C3309C"/>
    <w:rsid w:val="00C363F9"/>
    <w:rsid w:val="00C367E6"/>
    <w:rsid w:val="00C36B79"/>
    <w:rsid w:val="00C378E0"/>
    <w:rsid w:val="00C430F9"/>
    <w:rsid w:val="00C44436"/>
    <w:rsid w:val="00C45AA4"/>
    <w:rsid w:val="00C46C76"/>
    <w:rsid w:val="00C5066E"/>
    <w:rsid w:val="00C51DEB"/>
    <w:rsid w:val="00C529D3"/>
    <w:rsid w:val="00C54A68"/>
    <w:rsid w:val="00C57431"/>
    <w:rsid w:val="00C6120C"/>
    <w:rsid w:val="00C62877"/>
    <w:rsid w:val="00C64620"/>
    <w:rsid w:val="00C660BB"/>
    <w:rsid w:val="00C66EEB"/>
    <w:rsid w:val="00C72182"/>
    <w:rsid w:val="00C749C1"/>
    <w:rsid w:val="00C74E1D"/>
    <w:rsid w:val="00C8039B"/>
    <w:rsid w:val="00C8273C"/>
    <w:rsid w:val="00C8361D"/>
    <w:rsid w:val="00C8406B"/>
    <w:rsid w:val="00C84D21"/>
    <w:rsid w:val="00C853AF"/>
    <w:rsid w:val="00C866E5"/>
    <w:rsid w:val="00C86C64"/>
    <w:rsid w:val="00C9034C"/>
    <w:rsid w:val="00C9230C"/>
    <w:rsid w:val="00C93BD3"/>
    <w:rsid w:val="00C973D9"/>
    <w:rsid w:val="00CA0EAF"/>
    <w:rsid w:val="00CA1D97"/>
    <w:rsid w:val="00CB105E"/>
    <w:rsid w:val="00CB2756"/>
    <w:rsid w:val="00CB3C3F"/>
    <w:rsid w:val="00CB6112"/>
    <w:rsid w:val="00CC2DA0"/>
    <w:rsid w:val="00CC30B5"/>
    <w:rsid w:val="00CC5259"/>
    <w:rsid w:val="00CC56D7"/>
    <w:rsid w:val="00CC6EDE"/>
    <w:rsid w:val="00CD30F4"/>
    <w:rsid w:val="00CD47A5"/>
    <w:rsid w:val="00CE0D2E"/>
    <w:rsid w:val="00CE2ABA"/>
    <w:rsid w:val="00CE350E"/>
    <w:rsid w:val="00CE4883"/>
    <w:rsid w:val="00CE617B"/>
    <w:rsid w:val="00CF2281"/>
    <w:rsid w:val="00CF2774"/>
    <w:rsid w:val="00CF2FE0"/>
    <w:rsid w:val="00CF7664"/>
    <w:rsid w:val="00D019B2"/>
    <w:rsid w:val="00D01E9E"/>
    <w:rsid w:val="00D02B5E"/>
    <w:rsid w:val="00D0466A"/>
    <w:rsid w:val="00D048BB"/>
    <w:rsid w:val="00D057B3"/>
    <w:rsid w:val="00D07422"/>
    <w:rsid w:val="00D0747E"/>
    <w:rsid w:val="00D07744"/>
    <w:rsid w:val="00D07C0F"/>
    <w:rsid w:val="00D135DE"/>
    <w:rsid w:val="00D14B66"/>
    <w:rsid w:val="00D222AC"/>
    <w:rsid w:val="00D24FB4"/>
    <w:rsid w:val="00D27D0B"/>
    <w:rsid w:val="00D339DE"/>
    <w:rsid w:val="00D352A5"/>
    <w:rsid w:val="00D35371"/>
    <w:rsid w:val="00D36DEB"/>
    <w:rsid w:val="00D441AB"/>
    <w:rsid w:val="00D453B4"/>
    <w:rsid w:val="00D45F19"/>
    <w:rsid w:val="00D46AEB"/>
    <w:rsid w:val="00D4778B"/>
    <w:rsid w:val="00D57026"/>
    <w:rsid w:val="00D5729C"/>
    <w:rsid w:val="00D60621"/>
    <w:rsid w:val="00D61B11"/>
    <w:rsid w:val="00D62946"/>
    <w:rsid w:val="00D64680"/>
    <w:rsid w:val="00D6723F"/>
    <w:rsid w:val="00D6763D"/>
    <w:rsid w:val="00D6786F"/>
    <w:rsid w:val="00D67CBF"/>
    <w:rsid w:val="00D715C7"/>
    <w:rsid w:val="00D72537"/>
    <w:rsid w:val="00D735C4"/>
    <w:rsid w:val="00D77E97"/>
    <w:rsid w:val="00D80C67"/>
    <w:rsid w:val="00D84C1C"/>
    <w:rsid w:val="00D90F89"/>
    <w:rsid w:val="00D91544"/>
    <w:rsid w:val="00D92BF1"/>
    <w:rsid w:val="00D968BC"/>
    <w:rsid w:val="00D96EE4"/>
    <w:rsid w:val="00DA176F"/>
    <w:rsid w:val="00DA177C"/>
    <w:rsid w:val="00DA3A85"/>
    <w:rsid w:val="00DA4476"/>
    <w:rsid w:val="00DB33B0"/>
    <w:rsid w:val="00DC0A70"/>
    <w:rsid w:val="00DC13E7"/>
    <w:rsid w:val="00DC2A94"/>
    <w:rsid w:val="00DC44A5"/>
    <w:rsid w:val="00DC57DB"/>
    <w:rsid w:val="00DC5932"/>
    <w:rsid w:val="00DC7A2E"/>
    <w:rsid w:val="00DD06B6"/>
    <w:rsid w:val="00DD0A9A"/>
    <w:rsid w:val="00DD3CA0"/>
    <w:rsid w:val="00DD3F06"/>
    <w:rsid w:val="00DD48E0"/>
    <w:rsid w:val="00DD5B0E"/>
    <w:rsid w:val="00DE07A8"/>
    <w:rsid w:val="00DE314E"/>
    <w:rsid w:val="00DF1B00"/>
    <w:rsid w:val="00DF5A2A"/>
    <w:rsid w:val="00DF6538"/>
    <w:rsid w:val="00DF6F48"/>
    <w:rsid w:val="00DF74D7"/>
    <w:rsid w:val="00E03860"/>
    <w:rsid w:val="00E0416C"/>
    <w:rsid w:val="00E04243"/>
    <w:rsid w:val="00E06C29"/>
    <w:rsid w:val="00E10ABF"/>
    <w:rsid w:val="00E113DB"/>
    <w:rsid w:val="00E12A9A"/>
    <w:rsid w:val="00E12DD7"/>
    <w:rsid w:val="00E169B1"/>
    <w:rsid w:val="00E16A52"/>
    <w:rsid w:val="00E17853"/>
    <w:rsid w:val="00E17A3F"/>
    <w:rsid w:val="00E17B63"/>
    <w:rsid w:val="00E20144"/>
    <w:rsid w:val="00E20467"/>
    <w:rsid w:val="00E20A7E"/>
    <w:rsid w:val="00E22D08"/>
    <w:rsid w:val="00E23128"/>
    <w:rsid w:val="00E2564B"/>
    <w:rsid w:val="00E323FD"/>
    <w:rsid w:val="00E35DDB"/>
    <w:rsid w:val="00E365F9"/>
    <w:rsid w:val="00E4004A"/>
    <w:rsid w:val="00E41C57"/>
    <w:rsid w:val="00E43668"/>
    <w:rsid w:val="00E44A1B"/>
    <w:rsid w:val="00E457D1"/>
    <w:rsid w:val="00E458AD"/>
    <w:rsid w:val="00E45BFB"/>
    <w:rsid w:val="00E46259"/>
    <w:rsid w:val="00E472FD"/>
    <w:rsid w:val="00E50CA7"/>
    <w:rsid w:val="00E5119A"/>
    <w:rsid w:val="00E51C25"/>
    <w:rsid w:val="00E51D8D"/>
    <w:rsid w:val="00E53709"/>
    <w:rsid w:val="00E5382D"/>
    <w:rsid w:val="00E53881"/>
    <w:rsid w:val="00E563FE"/>
    <w:rsid w:val="00E57147"/>
    <w:rsid w:val="00E625F9"/>
    <w:rsid w:val="00E647C3"/>
    <w:rsid w:val="00E6554B"/>
    <w:rsid w:val="00E65D97"/>
    <w:rsid w:val="00E71E36"/>
    <w:rsid w:val="00E72053"/>
    <w:rsid w:val="00E74DB6"/>
    <w:rsid w:val="00E76616"/>
    <w:rsid w:val="00E864C7"/>
    <w:rsid w:val="00E87511"/>
    <w:rsid w:val="00E87D5F"/>
    <w:rsid w:val="00E90C91"/>
    <w:rsid w:val="00E91AC7"/>
    <w:rsid w:val="00E92722"/>
    <w:rsid w:val="00E93D6A"/>
    <w:rsid w:val="00E9495E"/>
    <w:rsid w:val="00EA0616"/>
    <w:rsid w:val="00EA34A7"/>
    <w:rsid w:val="00EA366B"/>
    <w:rsid w:val="00EA3AA2"/>
    <w:rsid w:val="00EA63D3"/>
    <w:rsid w:val="00EA6762"/>
    <w:rsid w:val="00EA7B3B"/>
    <w:rsid w:val="00EA7D4A"/>
    <w:rsid w:val="00EC0111"/>
    <w:rsid w:val="00EC270F"/>
    <w:rsid w:val="00EC2F71"/>
    <w:rsid w:val="00EC61E0"/>
    <w:rsid w:val="00EC6525"/>
    <w:rsid w:val="00EC7F4A"/>
    <w:rsid w:val="00ED2CE0"/>
    <w:rsid w:val="00ED741A"/>
    <w:rsid w:val="00ED74A1"/>
    <w:rsid w:val="00EE0572"/>
    <w:rsid w:val="00EE6020"/>
    <w:rsid w:val="00EE747C"/>
    <w:rsid w:val="00EE7B57"/>
    <w:rsid w:val="00EF10E5"/>
    <w:rsid w:val="00EF1C33"/>
    <w:rsid w:val="00EF4739"/>
    <w:rsid w:val="00EF5980"/>
    <w:rsid w:val="00F00F85"/>
    <w:rsid w:val="00F02E56"/>
    <w:rsid w:val="00F04636"/>
    <w:rsid w:val="00F0552C"/>
    <w:rsid w:val="00F06FB0"/>
    <w:rsid w:val="00F07B11"/>
    <w:rsid w:val="00F11721"/>
    <w:rsid w:val="00F122FD"/>
    <w:rsid w:val="00F13657"/>
    <w:rsid w:val="00F17358"/>
    <w:rsid w:val="00F20062"/>
    <w:rsid w:val="00F249D8"/>
    <w:rsid w:val="00F27258"/>
    <w:rsid w:val="00F30845"/>
    <w:rsid w:val="00F3356F"/>
    <w:rsid w:val="00F3420A"/>
    <w:rsid w:val="00F34443"/>
    <w:rsid w:val="00F37F4D"/>
    <w:rsid w:val="00F40ADB"/>
    <w:rsid w:val="00F419F3"/>
    <w:rsid w:val="00F42135"/>
    <w:rsid w:val="00F42FA2"/>
    <w:rsid w:val="00F4339C"/>
    <w:rsid w:val="00F43D69"/>
    <w:rsid w:val="00F44AE3"/>
    <w:rsid w:val="00F44E5E"/>
    <w:rsid w:val="00F50085"/>
    <w:rsid w:val="00F501CC"/>
    <w:rsid w:val="00F54B6F"/>
    <w:rsid w:val="00F56ED7"/>
    <w:rsid w:val="00F56F68"/>
    <w:rsid w:val="00F57753"/>
    <w:rsid w:val="00F60CD7"/>
    <w:rsid w:val="00F624F3"/>
    <w:rsid w:val="00F6299C"/>
    <w:rsid w:val="00F63253"/>
    <w:rsid w:val="00F63757"/>
    <w:rsid w:val="00F66452"/>
    <w:rsid w:val="00F668D7"/>
    <w:rsid w:val="00F742E4"/>
    <w:rsid w:val="00F76890"/>
    <w:rsid w:val="00F76F2B"/>
    <w:rsid w:val="00F77C96"/>
    <w:rsid w:val="00F85D1E"/>
    <w:rsid w:val="00F9495D"/>
    <w:rsid w:val="00F95E38"/>
    <w:rsid w:val="00F9763E"/>
    <w:rsid w:val="00FA057A"/>
    <w:rsid w:val="00FA7B41"/>
    <w:rsid w:val="00FB04C1"/>
    <w:rsid w:val="00FB0E60"/>
    <w:rsid w:val="00FB1219"/>
    <w:rsid w:val="00FB2845"/>
    <w:rsid w:val="00FB3AF3"/>
    <w:rsid w:val="00FB3C88"/>
    <w:rsid w:val="00FC0AA0"/>
    <w:rsid w:val="00FC6416"/>
    <w:rsid w:val="00FC653F"/>
    <w:rsid w:val="00FD0178"/>
    <w:rsid w:val="00FD3E29"/>
    <w:rsid w:val="00FD53F1"/>
    <w:rsid w:val="00FD5A39"/>
    <w:rsid w:val="00FE06CD"/>
    <w:rsid w:val="00FE1399"/>
    <w:rsid w:val="00FE16D4"/>
    <w:rsid w:val="00FE1F78"/>
    <w:rsid w:val="00FE35F1"/>
    <w:rsid w:val="00FE54E7"/>
    <w:rsid w:val="00FE55D7"/>
    <w:rsid w:val="00FE5D1A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1654426"/>
  <w15:docId w15:val="{402A6BC0-CCA8-4702-B261-CB7A8AE1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DA4"/>
    <w:rPr>
      <w:rFonts w:ascii="Arial" w:hAnsi="Arial"/>
      <w:sz w:val="24"/>
    </w:rPr>
  </w:style>
  <w:style w:type="paragraph" w:styleId="Nadpis1">
    <w:name w:val="heading 1"/>
    <w:basedOn w:val="Normlny"/>
    <w:next w:val="Normlny"/>
    <w:link w:val="Nadpis1Char"/>
    <w:qFormat/>
    <w:rsid w:val="00342431"/>
    <w:pPr>
      <w:keepNext/>
      <w:outlineLvl w:val="0"/>
    </w:pPr>
    <w:rPr>
      <w:b/>
      <w:snapToGrid w:val="0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6D1DA4"/>
    <w:pPr>
      <w:spacing w:after="120" w:line="480" w:lineRule="auto"/>
      <w:ind w:left="283"/>
    </w:pPr>
  </w:style>
  <w:style w:type="paragraph" w:styleId="Zarkazkladnhotextu">
    <w:name w:val="Body Text Indent"/>
    <w:basedOn w:val="Normlny"/>
    <w:link w:val="ZarkazkladnhotextuChar"/>
    <w:rsid w:val="00025CC0"/>
    <w:pPr>
      <w:spacing w:after="120"/>
      <w:ind w:left="283"/>
    </w:pPr>
  </w:style>
  <w:style w:type="paragraph" w:styleId="Zkladntext2">
    <w:name w:val="Body Text 2"/>
    <w:basedOn w:val="Normlny"/>
    <w:link w:val="Zkladntext2Char"/>
    <w:rsid w:val="00025CC0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uiPriority w:val="99"/>
    <w:rsid w:val="00025CC0"/>
    <w:pPr>
      <w:spacing w:after="120"/>
      <w:ind w:left="283"/>
    </w:pPr>
    <w:rPr>
      <w:sz w:val="16"/>
      <w:szCs w:val="16"/>
    </w:rPr>
  </w:style>
  <w:style w:type="paragraph" w:styleId="Pta">
    <w:name w:val="footer"/>
    <w:basedOn w:val="Normlny"/>
    <w:link w:val="PtaChar"/>
    <w:uiPriority w:val="99"/>
    <w:rsid w:val="00E12DD7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12DD7"/>
  </w:style>
  <w:style w:type="paragraph" w:styleId="Textbubliny">
    <w:name w:val="Balloon Text"/>
    <w:basedOn w:val="Normlny"/>
    <w:link w:val="TextbublinyChar"/>
    <w:semiHidden/>
    <w:rsid w:val="00464E1D"/>
    <w:rPr>
      <w:rFonts w:ascii="Tahoma" w:hAnsi="Tahoma" w:cs="Tahoma"/>
      <w:sz w:val="16"/>
      <w:szCs w:val="16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B347F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F11721"/>
    <w:rPr>
      <w:rFonts w:ascii="Arial" w:hAnsi="Arial"/>
      <w:sz w:val="24"/>
    </w:rPr>
  </w:style>
  <w:style w:type="paragraph" w:styleId="Odsekzoznamu">
    <w:name w:val="List Paragraph"/>
    <w:aliases w:val="body,Odsek zoznamu1,Odsek,Odsek zoznamu2"/>
    <w:basedOn w:val="Normlny"/>
    <w:link w:val="OdsekzoznamuChar"/>
    <w:uiPriority w:val="34"/>
    <w:qFormat/>
    <w:rsid w:val="00BB28B2"/>
    <w:pPr>
      <w:ind w:left="720"/>
      <w:contextualSpacing/>
    </w:pPr>
  </w:style>
  <w:style w:type="paragraph" w:styleId="Hlavika">
    <w:name w:val="header"/>
    <w:basedOn w:val="Normlny"/>
    <w:link w:val="HlavikaChar"/>
    <w:rsid w:val="009164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9164F0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547911"/>
    <w:rPr>
      <w:rFonts w:ascii="Arial" w:hAnsi="Arial"/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5E5E4E"/>
    <w:rPr>
      <w:rFonts w:ascii="Arial" w:hAnsi="Arial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E22B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dsekzoznamuChar">
    <w:name w:val="Odsek zoznamu Char"/>
    <w:aliases w:val="body Char,Odsek zoznamu1 Char,Odsek Char,Odsek zoznamu2 Char"/>
    <w:basedOn w:val="Predvolenpsmoodseku"/>
    <w:link w:val="Odsekzoznamu"/>
    <w:uiPriority w:val="34"/>
    <w:locked/>
    <w:rsid w:val="00770F20"/>
    <w:rPr>
      <w:rFonts w:ascii="Arial" w:hAnsi="Arial"/>
      <w:sz w:val="24"/>
    </w:rPr>
  </w:style>
  <w:style w:type="character" w:customStyle="1" w:styleId="Nadpis1Char">
    <w:name w:val="Nadpis 1 Char"/>
    <w:basedOn w:val="Predvolenpsmoodseku"/>
    <w:link w:val="Nadpis1"/>
    <w:rsid w:val="00D6723F"/>
    <w:rPr>
      <w:rFonts w:ascii="Arial" w:hAnsi="Arial"/>
      <w:b/>
      <w:snapToGrid w:val="0"/>
      <w:color w:val="000000"/>
      <w:sz w:val="22"/>
    </w:rPr>
  </w:style>
  <w:style w:type="character" w:customStyle="1" w:styleId="Zkladntext2Char">
    <w:name w:val="Základný text 2 Char"/>
    <w:basedOn w:val="Predvolenpsmoodseku"/>
    <w:link w:val="Zkladntext2"/>
    <w:rsid w:val="00D6723F"/>
    <w:rPr>
      <w:rFonts w:ascii="Arial" w:hAnsi="Arial"/>
      <w:sz w:val="24"/>
    </w:rPr>
  </w:style>
  <w:style w:type="character" w:customStyle="1" w:styleId="TextbublinyChar">
    <w:name w:val="Text bubliny Char"/>
    <w:basedOn w:val="Predvolenpsmoodseku"/>
    <w:link w:val="Textbubliny"/>
    <w:semiHidden/>
    <w:rsid w:val="00D672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D76FA-A149-45CC-BAD0-F214766DD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2869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Výdavky na nemocenské dávky</vt:lpstr>
    </vt:vector>
  </TitlesOfParts>
  <Company>Sociálna poisťovňa</Company>
  <LinksUpToDate>false</LinksUpToDate>
  <CharactersWithSpaces>16955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Výdavky na nemocenské dávky</dc:title>
  <dc:creator>FARKASOVA_K</dc:creator>
  <cp:lastModifiedBy>Farkašová Kamila</cp:lastModifiedBy>
  <cp:revision>14</cp:revision>
  <cp:lastPrinted>2023-09-26T07:38:00Z</cp:lastPrinted>
  <dcterms:created xsi:type="dcterms:W3CDTF">2023-09-26T12:15:00Z</dcterms:created>
  <dcterms:modified xsi:type="dcterms:W3CDTF">2023-10-13T05:38:00Z</dcterms:modified>
</cp:coreProperties>
</file>