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B34C2">
        <w:rPr>
          <w:sz w:val="20"/>
        </w:rPr>
        <w:t>931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949E7" w:rsidP="007375F5">
      <w:pPr>
        <w:pStyle w:val="uznesenia"/>
      </w:pPr>
      <w:r>
        <w:t>2372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E949E7">
        <w:rPr>
          <w:spacing w:val="0"/>
        </w:rPr>
        <w:t>15</w:t>
      </w:r>
      <w:r>
        <w:rPr>
          <w:spacing w:val="0"/>
        </w:rPr>
        <w:t>.</w:t>
      </w:r>
      <w:r w:rsidR="00182E80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B34C2" w:rsidP="00467DF1">
      <w:pPr>
        <w:jc w:val="both"/>
      </w:pPr>
      <w:r>
        <w:t>k n</w:t>
      </w:r>
      <w:r w:rsidRPr="007B34C2">
        <w:t>ávrh</w:t>
      </w:r>
      <w:r>
        <w:t>u</w:t>
      </w:r>
      <w:r w:rsidRPr="007B34C2">
        <w:t xml:space="preserve"> poslankyne Národnej rady Slovenskej republiky Kataríny </w:t>
      </w:r>
      <w:proofErr w:type="spellStart"/>
      <w:r w:rsidRPr="007B34C2">
        <w:t>Hatrákovej</w:t>
      </w:r>
      <w:proofErr w:type="spellEnd"/>
      <w:r w:rsidRPr="007B34C2">
        <w:t xml:space="preserve">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1629)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96929">
        <w:rPr>
          <w:rFonts w:cs="Arial"/>
        </w:rPr>
        <w:t xml:space="preserve"> </w:t>
      </w:r>
    </w:p>
    <w:p w:rsidR="00747A7B" w:rsidRDefault="00196929" w:rsidP="00F91BA9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66353C">
        <w:rPr>
          <w:rFonts w:cs="Arial"/>
        </w:rPr>
        <w:t xml:space="preserve">ej republiky pre </w:t>
      </w:r>
      <w:r w:rsidR="007B34C2">
        <w:rPr>
          <w:rFonts w:cs="Arial"/>
        </w:rPr>
        <w:t>sociálne veci</w:t>
      </w:r>
      <w:r w:rsidR="00467DF1">
        <w:rPr>
          <w:rFonts w:cs="Arial"/>
        </w:rPr>
        <w:t xml:space="preserve"> a</w:t>
      </w:r>
    </w:p>
    <w:p w:rsidR="007375F5" w:rsidRDefault="00747A7B" w:rsidP="00467DF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7B34C2">
        <w:rPr>
          <w:rFonts w:cs="Arial"/>
        </w:rPr>
        <w:t>ej republiky pre zdravotníctvo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99523E">
        <w:t xml:space="preserve"> pre </w:t>
      </w:r>
      <w:r w:rsidR="007B34C2">
        <w:t>zdravotníctvo</w:t>
      </w:r>
      <w:r w:rsidR="00467DF1">
        <w:t xml:space="preserve"> </w:t>
      </w:r>
      <w:r w:rsidR="00911C04">
        <w:t>a</w:t>
      </w:r>
      <w:r w:rsidR="007B34C2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47A7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B419AB" w:rsidRDefault="00B419AB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F91BA9" w:rsidRDefault="00F91BA9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67DF1" w:rsidRDefault="00467DF1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2320E" w:rsidRPr="00D2320E" w:rsidRDefault="00D2320E" w:rsidP="00D2320E">
      <w:pPr>
        <w:keepNext w:val="0"/>
        <w:keepLines w:val="0"/>
        <w:widowControl w:val="0"/>
        <w:jc w:val="both"/>
        <w:rPr>
          <w:rFonts w:cs="Arial"/>
        </w:rPr>
      </w:pPr>
      <w:r w:rsidRPr="00D2320E">
        <w:rPr>
          <w:rFonts w:cs="Arial"/>
        </w:rPr>
        <w:t>Peter  V o n s   v. r.</w:t>
      </w:r>
    </w:p>
    <w:p w:rsidR="009D75E4" w:rsidRDefault="00D2320E" w:rsidP="00D2320E">
      <w:pPr>
        <w:keepNext w:val="0"/>
        <w:keepLines w:val="0"/>
        <w:widowControl w:val="0"/>
        <w:jc w:val="both"/>
        <w:rPr>
          <w:rFonts w:cs="Arial"/>
        </w:rPr>
      </w:pPr>
      <w:r w:rsidRPr="00D2320E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82E80"/>
    <w:rsid w:val="00196929"/>
    <w:rsid w:val="001A005E"/>
    <w:rsid w:val="001A0064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67DF1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B34C2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20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49E7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910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87</cp:revision>
  <cp:lastPrinted>2023-02-01T11:04:00Z</cp:lastPrinted>
  <dcterms:created xsi:type="dcterms:W3CDTF">2022-11-24T09:04:00Z</dcterms:created>
  <dcterms:modified xsi:type="dcterms:W3CDTF">2023-06-23T08:50:00Z</dcterms:modified>
</cp:coreProperties>
</file>