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F2566D">
      <w:pPr>
        <w:framePr w:wrap="auto"/>
        <w:widowControl w:val="0"/>
        <w:pBdr>
          <w:bottom w:val="single" w:sz="12" w:space="1" w:color="auto"/>
        </w:pBdr>
        <w:tabs>
          <w:tab w:val="left" w:pos="1800"/>
          <w:tab w:val="center" w:pos="4536"/>
        </w:tabs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F2566D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3BE6" w:rsidRPr="00F2566D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</w:p>
    <w:p w:rsidR="000C3652" w:rsidRPr="00F2566D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F2566D" w:rsidR="006E1191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V</w:t>
      </w:r>
      <w:r w:rsidRPr="00F2566D" w:rsidR="0059324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F2566D" w:rsidR="00C90FB0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F2566D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I.</w:t>
      </w:r>
      <w:r w:rsidRPr="00F2566D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F2566D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A19" w:rsidRPr="00F2566D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2566D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Číslo: </w:t>
      </w:r>
      <w:r w:rsidRPr="00F2566D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</w:t>
      </w:r>
      <w:r w:rsidRPr="00F2566D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</w:t>
      </w:r>
      <w:r w:rsidRPr="00F2566D" w:rsidR="002B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978/2023</w:t>
      </w:r>
    </w:p>
    <w:p w:rsidR="00F025DE" w:rsidRPr="00F2566D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025DE" w:rsidRPr="00F2566D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2566D" w:rsidR="00AA4E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F2566D" w:rsidRPr="00F2566D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2566D" w:rsidRPr="00F2566D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F2566D" w:rsidP="00B71A0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F2566D" w:rsidR="002B5D4F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1583</w:t>
      </w:r>
      <w:r w:rsidRPr="00F2566D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F2566D" w:rsidP="00B71A0B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F2566D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F2566D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F2566D" w:rsidP="00A6195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0C3652" w:rsidRPr="00F2566D" w:rsidP="00BF5657">
      <w:pPr>
        <w:framePr w:wrap="auto"/>
        <w:widowControl/>
        <w:autoSpaceDE/>
        <w:autoSpaceDN/>
        <w:bidi w:val="0"/>
        <w:adjustRightInd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2566D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F2566D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F2566D" w:rsidR="002B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vládneho návrhu zákona o všeobecnej bezpečnosti výrobkov a o zmene a doplnení niektorých zákonov </w:t>
      </w:r>
      <w:r w:rsidRPr="00F2566D" w:rsidR="002B5D4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1583</w:t>
      </w:r>
      <w:r w:rsidRPr="00F2566D" w:rsidR="00A844F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) </w:t>
      </w:r>
      <w:r w:rsidRPr="00F2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F2566D">
      <w:pPr>
        <w:framePr w:wrap="auto"/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71A0B" w:rsidRPr="00F2566D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F5657" w:rsidRPr="00F2566D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2566D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F2566D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2566D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F2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F2566D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F2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F2566D" w:rsidR="002B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vládnemu návrhu zákona o všeobecnej bezpečnosti výrobkov a o zmene a doplnení niektorých zákonov </w:t>
      </w:r>
      <w:r w:rsidRPr="00F2566D" w:rsidR="002B5D4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1583</w:t>
      </w:r>
      <w:r w:rsidRPr="00F2566D" w:rsidR="00A844F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) </w:t>
      </w:r>
      <w:r w:rsidRPr="00F2566D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F2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F2566D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F2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F2566D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F2566D" w:rsidR="007E08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2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350/1996 Z. z. o rokovacom poriadku Národnej rady Slovenskej republiky </w:t>
      </w:r>
      <w:r w:rsidRPr="00F2566D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F2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F2566D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F2566D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F2566D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F2566D">
      <w:pPr>
        <w:framePr w:wrap="auto"/>
        <w:widowControl w:val="0"/>
        <w:tabs>
          <w:tab w:val="left" w:pos="0"/>
        </w:tabs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F2566D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2566D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F2566D" w:rsidR="002B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1637</w:t>
      </w:r>
      <w:r w:rsidRPr="00F2566D" w:rsidR="00B363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2566D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F2566D" w:rsidR="00D001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2566D" w:rsidR="002B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Pr="00F2566D" w:rsidR="00D001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8</w:t>
      </w:r>
      <w:r w:rsidRPr="00F2566D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F2566D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2566D" w:rsidR="002B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apríla</w:t>
      </w:r>
      <w:r w:rsidRPr="00F2566D" w:rsidR="00D001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2566D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F2566D" w:rsidR="002B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23</w:t>
      </w:r>
      <w:r w:rsidRPr="00F2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F2566D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F2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F2566D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2566D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F2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F2566D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F2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F2566D" w:rsidP="003B15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22"/>
          <w:rtl w:val="0"/>
          <w:cs w:val="0"/>
          <w:lang w:val="sk-SK" w:eastAsia="sk-SK" w:bidi="ar-SA"/>
        </w:rPr>
      </w:pPr>
    </w:p>
    <w:p w:rsidR="001616A0" w:rsidRPr="00F2566D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2566D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F2566D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Pr="00F2566D" w:rsidR="008134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2566D" w:rsidR="002B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</w:p>
    <w:p w:rsidR="0028488A" w:rsidRPr="00F2566D" w:rsidP="001616A0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2566D" w:rsidR="001616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F2566D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</w:t>
      </w:r>
      <w:r w:rsidRPr="00F2566D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Pr="00F2566D" w:rsidR="001616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F2566D" w:rsidR="005C1F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D445D9" w:rsidRPr="00F2566D" w:rsidP="006724F1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DF70E2" w:rsidRPr="00F2566D" w:rsidP="00DF70E2">
      <w:pPr>
        <w:framePr w:wrap="auto"/>
        <w:widowControl w:val="0"/>
        <w:tabs>
          <w:tab w:val="left" w:pos="-1985"/>
          <w:tab w:val="left" w:pos="709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  <w:t>Určila zároveň Výbor Národnej rady Slovenskej republiky pre hospodárske záležitosti ako gestorský výbor a lehoty na prerokovanie predmetného vládneho návrhu zákona v druhom čítaní vo výboroch.</w:t>
      </w:r>
    </w:p>
    <w:p w:rsidR="00980F1B" w:rsidRPr="00F2566D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F2566D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F2566D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CF4449" w:rsidRPr="00F2566D" w:rsidP="00CF4449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F2566D" w:rsidRPr="00F2566D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F2566D" w:rsidRPr="00F2566D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F2566D" w:rsidRPr="00F2566D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F2566D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F2566D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D14D36" w:rsidRPr="00F2566D" w:rsidP="00D14D36">
      <w:pPr>
        <w:framePr w:wrap="auto"/>
        <w:widowControl w:val="0"/>
        <w:autoSpaceDE w:val="0"/>
        <w:autoSpaceDN w:val="0"/>
        <w:bidi w:val="0"/>
        <w:adjustRightInd w:val="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F2566D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F2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F2566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2566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F2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F2566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F2566D" w:rsidP="00564466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8488A" w:rsidRPr="00F2566D" w:rsidP="0028488A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2566D" w:rsidR="00E3553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Ústavnoprávny výbor </w:t>
      </w:r>
      <w:r w:rsidRPr="00F2566D" w:rsidR="00E3553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rady Slovenskej republiky </w:t>
      </w:r>
      <w:r w:rsidRPr="00F2566D" w:rsidR="00E3553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F2566D" w:rsidR="00B4428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788</w:t>
      </w:r>
      <w:r w:rsidRPr="00F2566D" w:rsidR="000251C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</w:t>
      </w:r>
      <w:r w:rsidRPr="00F2566D" w:rsidR="002B569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2566D" w:rsidR="00B4428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8</w:t>
      </w:r>
      <w:r w:rsidRPr="00F2566D" w:rsidR="00486E9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F2566D" w:rsidR="002B5D4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júna</w:t>
      </w:r>
      <w:r w:rsidRPr="00F2566D" w:rsidR="002B569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2566D" w:rsidR="00E3553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F2566D" w:rsidR="002B5D4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</w:p>
    <w:p w:rsidR="00765794" w:rsidRPr="00F2566D" w:rsidP="00B31C05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F2566D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F2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2566D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F2566D" w:rsidR="002B5D4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453</w:t>
      </w:r>
      <w:r w:rsidRPr="00F2566D" w:rsidR="001616A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2566D" w:rsidR="006724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 </w:t>
      </w:r>
      <w:r w:rsidRPr="00F2566D" w:rsidR="001616A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8</w:t>
      </w:r>
      <w:r w:rsidRPr="00F2566D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F2566D" w:rsidR="002B5D4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júna</w:t>
      </w:r>
      <w:r w:rsidRPr="00F2566D" w:rsidR="001616A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2566D" w:rsidR="00D445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F2566D" w:rsidR="002B5D4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</w:p>
    <w:p w:rsidR="0028488A" w:rsidRPr="00F2566D" w:rsidP="0028488A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highlight w:val="yellow"/>
          <w:rtl w:val="0"/>
          <w:cs w:val="0"/>
          <w:lang w:val="sk-SK" w:eastAsia="sk-SK" w:bidi="ar-SA"/>
        </w:rPr>
      </w:pPr>
    </w:p>
    <w:p w:rsidR="000C3652" w:rsidRPr="00F2566D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F2566D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16707B" w:rsidRPr="00F2566D" w:rsidP="0016707B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F2566D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F2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správy </w:t>
      </w:r>
      <w:r w:rsidRPr="00F2566D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vyplýva</w:t>
      </w:r>
      <w:r w:rsidRPr="00F2566D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</w:t>
      </w:r>
      <w:r w:rsidRPr="00F2566D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2566D" w:rsidR="00CE79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nasledujúc</w:t>
      </w:r>
      <w:r w:rsidRPr="00F2566D" w:rsidR="00486E9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  <w:r w:rsidRPr="00F2566D" w:rsidR="00CE79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2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Pr="00F2566D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F2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Pr="00F2566D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F2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F2566D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Pr="00F2566D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7E0844" w:rsidRPr="00F2566D" w:rsidP="007E084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2566D" w:rsidRPr="00F2566D" w:rsidP="00F2566D">
      <w:pPr>
        <w:framePr w:wrap="auto"/>
        <w:widowControl/>
        <w:numPr>
          <w:numId w:val="50"/>
        </w:numPr>
        <w:autoSpaceDE/>
        <w:autoSpaceDN/>
        <w:bidi w:val="0"/>
        <w:adjustRightInd/>
        <w:spacing w:after="12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 § 2 písm. b) štvrtom bode sa slová „iná osoba“ nahrádzajú slovami „je inou osobou“.</w:t>
      </w:r>
    </w:p>
    <w:p w:rsidR="00F2566D" w:rsidP="003759EE">
      <w:pPr>
        <w:framePr w:wrap="auto"/>
        <w:widowControl w:val="0"/>
        <w:autoSpaceDE w:val="0"/>
        <w:autoSpaceDN w:val="0"/>
        <w:bidi w:val="0"/>
        <w:adjustRightInd w:val="0"/>
        <w:spacing w:after="12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jazykovú úpravu.</w:t>
      </w:r>
    </w:p>
    <w:p w:rsidR="00F2566D" w:rsidRPr="00F2566D" w:rsidP="003759EE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F2566D" w:rsidRPr="00F2566D" w:rsidP="003759EE">
      <w:pPr>
        <w:framePr w:wrap="auto"/>
        <w:widowControl/>
        <w:autoSpaceDE/>
        <w:autoSpaceDN/>
        <w:bidi w:val="0"/>
        <w:adjustRightInd/>
        <w:spacing w:after="120" w:line="276" w:lineRule="auto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F2566D" w:rsidP="003759EE">
      <w:pPr>
        <w:framePr w:wrap="auto"/>
        <w:widowControl w:val="0"/>
        <w:autoSpaceDE w:val="0"/>
        <w:autoSpaceDN w:val="0"/>
        <w:bidi w:val="0"/>
        <w:adjustRightInd w:val="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F2566D" w:rsidRPr="00F2566D" w:rsidP="00F2566D">
      <w:pPr>
        <w:framePr w:wrap="auto"/>
        <w:widowControl w:val="0"/>
        <w:autoSpaceDE w:val="0"/>
        <w:autoSpaceDN w:val="0"/>
        <w:bidi w:val="0"/>
        <w:adjustRightInd w:val="0"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2566D" w:rsidRPr="00F2566D" w:rsidP="00F2566D">
      <w:pPr>
        <w:framePr w:wrap="auto"/>
        <w:widowControl/>
        <w:numPr>
          <w:numId w:val="50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čl. I § 4 ods. 2 písm. a) a b) sa  slová „adresou alebo sídlom“ nahrádzajú slovami „sídlom alebo miestom“. </w:t>
      </w:r>
    </w:p>
    <w:p w:rsidR="00F2566D" w:rsidRPr="00F2566D" w:rsidP="00F2566D">
      <w:pPr>
        <w:framePr w:wrap="auto"/>
        <w:widowControl w:val="0"/>
        <w:autoSpaceDE w:val="0"/>
        <w:autoSpaceDN w:val="0"/>
        <w:bidi w:val="0"/>
        <w:adjustRightInd w:val="0"/>
        <w:ind w:left="2124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2566D" w:rsidRPr="00F2566D" w:rsidP="003759EE">
      <w:pPr>
        <w:framePr w:wrap="auto"/>
        <w:widowControl w:val="0"/>
        <w:autoSpaceDE w:val="0"/>
        <w:autoSpaceDN w:val="0"/>
        <w:bidi w:val="0"/>
        <w:adjustRightInd w:val="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Navrhovanou úpravou sa spresňuje identifikácia hospodárskeho subjektu na označení výrobku použitím legislatívne zaužívaných pojmov „sídlo alebo miesto podnikania“ v súlade s § 2 ods. 3 Obchodného zákonníka. Nahrádza sa generálny pojem „adresa“ hospodárskeho subjektu, ktorý by mohol spôsobovať výkladové problémy v aplikačnej praxi.</w:t>
      </w:r>
    </w:p>
    <w:p w:rsidR="00F2566D" w:rsidP="003759EE">
      <w:pPr>
        <w:framePr w:wrap="auto"/>
        <w:widowControl/>
        <w:autoSpaceDE/>
        <w:autoSpaceDN/>
        <w:bidi w:val="0"/>
        <w:adjustRightInd/>
        <w:spacing w:after="120" w:line="276" w:lineRule="auto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F2566D" w:rsidRPr="00F2566D" w:rsidP="003759EE">
      <w:pPr>
        <w:framePr w:wrap="auto"/>
        <w:widowControl/>
        <w:autoSpaceDE/>
        <w:autoSpaceDN/>
        <w:bidi w:val="0"/>
        <w:adjustRightInd/>
        <w:spacing w:after="120" w:line="276" w:lineRule="auto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F2566D" w:rsidRPr="00F2566D" w:rsidP="003759EE">
      <w:pPr>
        <w:framePr w:wrap="auto"/>
        <w:widowControl w:val="0"/>
        <w:overflowPunct w:val="0"/>
        <w:autoSpaceDE w:val="0"/>
        <w:autoSpaceDN w:val="0"/>
        <w:bidi w:val="0"/>
        <w:adjustRightInd w:val="0"/>
        <w:spacing w:after="120" w:line="360" w:lineRule="auto"/>
        <w:ind w:left="288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F2566D" w:rsidRPr="00F2566D" w:rsidP="00F2566D">
      <w:pPr>
        <w:framePr w:wrap="auto"/>
        <w:widowControl/>
        <w:numPr>
          <w:numId w:val="50"/>
        </w:numPr>
        <w:autoSpaceDE/>
        <w:autoSpaceDN/>
        <w:bidi w:val="0"/>
        <w:adjustRightInd/>
        <w:spacing w:after="12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 § 4 ods. 4 písm. a) sa slová „spätné prevzatie“ nahrádzajú slovami „spätného prevzatia“.</w:t>
      </w:r>
    </w:p>
    <w:p w:rsidR="00F2566D" w:rsidRPr="00F2566D" w:rsidP="003759EE">
      <w:pPr>
        <w:framePr w:wrap="auto"/>
        <w:widowControl w:val="0"/>
        <w:autoSpaceDE w:val="0"/>
        <w:autoSpaceDN w:val="0"/>
        <w:bidi w:val="0"/>
        <w:adjustRightInd w:val="0"/>
        <w:spacing w:after="12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jazykové úpravy.</w:t>
      </w:r>
    </w:p>
    <w:p w:rsidR="00F2566D" w:rsidRPr="00F2566D" w:rsidP="003759EE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F2566D" w:rsidRPr="00F2566D" w:rsidP="003759EE">
      <w:pPr>
        <w:framePr w:wrap="auto"/>
        <w:widowControl/>
        <w:autoSpaceDE/>
        <w:autoSpaceDN/>
        <w:bidi w:val="0"/>
        <w:adjustRightInd/>
        <w:spacing w:after="120" w:line="276" w:lineRule="auto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F2566D" w:rsidP="003759EE">
      <w:pPr>
        <w:framePr w:wrap="auto"/>
        <w:widowControl w:val="0"/>
        <w:autoSpaceDE w:val="0"/>
        <w:autoSpaceDN w:val="0"/>
        <w:bidi w:val="0"/>
        <w:adjustRightInd w:val="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F2566D" w:rsidRPr="00F2566D" w:rsidP="00F2566D">
      <w:pPr>
        <w:framePr w:wrap="auto"/>
        <w:widowControl/>
        <w:numPr>
          <w:numId w:val="50"/>
        </w:numPr>
        <w:autoSpaceDE/>
        <w:autoSpaceDN/>
        <w:bidi w:val="0"/>
        <w:adjustRightInd/>
        <w:spacing w:after="12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 § 9 ods. 4 sa slová „spätné prevzatie“ nahrádzajú slovami „spätného prevzatia“.</w:t>
      </w:r>
    </w:p>
    <w:p w:rsidR="00F2566D" w:rsidRPr="00F2566D" w:rsidP="003759EE">
      <w:pPr>
        <w:framePr w:wrap="auto"/>
        <w:widowControl w:val="0"/>
        <w:autoSpaceDE w:val="0"/>
        <w:autoSpaceDN w:val="0"/>
        <w:bidi w:val="0"/>
        <w:adjustRightInd w:val="0"/>
        <w:spacing w:after="12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formulačné úpravy.</w:t>
      </w:r>
    </w:p>
    <w:p w:rsidR="00F2566D" w:rsidRPr="00F2566D" w:rsidP="003759EE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F2566D" w:rsidRPr="00F2566D" w:rsidP="003759EE">
      <w:pPr>
        <w:framePr w:wrap="auto"/>
        <w:widowControl/>
        <w:autoSpaceDE/>
        <w:autoSpaceDN/>
        <w:bidi w:val="0"/>
        <w:adjustRightInd/>
        <w:spacing w:after="120" w:line="276" w:lineRule="auto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F2566D" w:rsidP="003759EE">
      <w:pPr>
        <w:framePr w:wrap="auto"/>
        <w:widowControl w:val="0"/>
        <w:autoSpaceDE w:val="0"/>
        <w:autoSpaceDN w:val="0"/>
        <w:bidi w:val="0"/>
        <w:adjustRightInd w:val="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F2566D" w:rsidRPr="00F2566D" w:rsidP="00F2566D">
      <w:pPr>
        <w:framePr w:wrap="auto"/>
        <w:widowControl w:val="0"/>
        <w:autoSpaceDE w:val="0"/>
        <w:autoSpaceDN w:val="0"/>
        <w:bidi w:val="0"/>
        <w:adjustRightInd w:val="0"/>
        <w:spacing w:after="120"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2566D" w:rsidRPr="00F2566D" w:rsidP="00F2566D">
      <w:pPr>
        <w:framePr w:wrap="auto"/>
        <w:widowControl/>
        <w:numPr>
          <w:numId w:val="50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čl. I § 10 ods. 5 sa  slová „adresu alebo sídlo“ nahrádzajú slovami „sídlo alebo miesto“. </w:t>
      </w:r>
    </w:p>
    <w:p w:rsidR="00F2566D" w:rsidRPr="00F2566D" w:rsidP="00F2566D">
      <w:pPr>
        <w:framePr w:wrap="auto"/>
        <w:widowControl w:val="0"/>
        <w:autoSpaceDE w:val="0"/>
        <w:autoSpaceDN w:val="0"/>
        <w:bidi w:val="0"/>
        <w:adjustRightInd w:val="0"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F2566D" w:rsidRPr="00F2566D" w:rsidP="00F2566D">
      <w:pPr>
        <w:framePr w:wrap="auto"/>
        <w:widowControl w:val="0"/>
        <w:autoSpaceDE w:val="0"/>
        <w:autoSpaceDN w:val="0"/>
        <w:bidi w:val="0"/>
        <w:adjustRightInd w:val="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Navrhovanou úpravou sa spresňuje identifikácia hospodárskeho subjektu v sankčnom ustanovení použitím legislatívne zaužívaných pojmov „sídlo alebo miesto podnikania“ v súlade s § 2 ods. 3 Obchodného zákonníka. Zo sankčného ustanovenia musí jednoznačne vyplývať zodpovedný hospodársky subjekt, pričom formulácia viažuca sa na „adresu na území Slovenskej republiky“ otvára priestor na rozdielny výklad právnej normy.</w:t>
      </w:r>
    </w:p>
    <w:p w:rsidR="00F2566D" w:rsidP="00F2566D">
      <w:pPr>
        <w:framePr w:wrap="auto"/>
        <w:widowControl/>
        <w:autoSpaceDE/>
        <w:autoSpaceDN/>
        <w:bidi w:val="0"/>
        <w:adjustRightInd/>
        <w:spacing w:after="120" w:line="360" w:lineRule="auto"/>
        <w:ind w:left="415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F2566D" w:rsidRPr="00F2566D" w:rsidP="00F2566D">
      <w:pPr>
        <w:framePr w:wrap="auto"/>
        <w:widowControl/>
        <w:autoSpaceDE/>
        <w:autoSpaceDN/>
        <w:bidi w:val="0"/>
        <w:adjustRightInd/>
        <w:spacing w:after="120" w:line="276" w:lineRule="auto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F2566D" w:rsidRPr="00F2566D" w:rsidP="00F2566D">
      <w:pPr>
        <w:framePr w:wrap="auto"/>
        <w:widowControl w:val="0"/>
        <w:overflowPunct w:val="0"/>
        <w:autoSpaceDE w:val="0"/>
        <w:autoSpaceDN w:val="0"/>
        <w:bidi w:val="0"/>
        <w:adjustRightInd w:val="0"/>
        <w:spacing w:after="120" w:line="360" w:lineRule="auto"/>
        <w:ind w:left="288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F2566D" w:rsidRPr="00F2566D" w:rsidP="00F2566D">
      <w:pPr>
        <w:framePr w:wrap="auto"/>
        <w:widowControl/>
        <w:autoSpaceDE/>
        <w:autoSpaceDN/>
        <w:bidi w:val="0"/>
        <w:adjustRightInd/>
        <w:spacing w:after="120" w:line="360" w:lineRule="auto"/>
        <w:ind w:left="36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F2566D" w:rsidRPr="00F2566D" w:rsidP="00F2566D">
      <w:pPr>
        <w:framePr w:wrap="auto"/>
        <w:widowControl/>
        <w:numPr>
          <w:numId w:val="50"/>
        </w:numPr>
        <w:autoSpaceDE/>
        <w:autoSpaceDN/>
        <w:bidi w:val="0"/>
        <w:adjustRightInd/>
        <w:spacing w:after="12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 § 11 ods. 2 sa slová „od prijatia“ nahrádzajú slovami „odo dňa prijatia“.</w:t>
      </w:r>
    </w:p>
    <w:p w:rsidR="00F2566D" w:rsidRPr="00F2566D" w:rsidP="003759EE">
      <w:pPr>
        <w:framePr w:wrap="auto"/>
        <w:widowControl w:val="0"/>
        <w:autoSpaceDE w:val="0"/>
        <w:autoSpaceDN w:val="0"/>
        <w:bidi w:val="0"/>
        <w:adjustRightInd w:val="0"/>
        <w:spacing w:after="12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spresnenie textu.</w:t>
      </w:r>
    </w:p>
    <w:p w:rsidR="00F2566D" w:rsidRPr="00F2566D" w:rsidP="003759EE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F2566D" w:rsidRPr="00F2566D" w:rsidP="003759EE">
      <w:pPr>
        <w:framePr w:wrap="auto"/>
        <w:widowControl/>
        <w:autoSpaceDE/>
        <w:autoSpaceDN/>
        <w:bidi w:val="0"/>
        <w:adjustRightInd/>
        <w:spacing w:after="120" w:line="276" w:lineRule="auto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F2566D" w:rsidP="003759EE">
      <w:pPr>
        <w:framePr w:wrap="auto"/>
        <w:widowControl w:val="0"/>
        <w:autoSpaceDE w:val="0"/>
        <w:autoSpaceDN w:val="0"/>
        <w:bidi w:val="0"/>
        <w:adjustRightInd w:val="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F2566D" w:rsidRPr="00F2566D" w:rsidP="00F2566D">
      <w:pPr>
        <w:framePr w:wrap="auto"/>
        <w:widowControl w:val="0"/>
        <w:autoSpaceDE w:val="0"/>
        <w:autoSpaceDN w:val="0"/>
        <w:bidi w:val="0"/>
        <w:adjustRightInd w:val="0"/>
        <w:spacing w:after="120"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2566D" w:rsidRPr="00F2566D" w:rsidP="00F2566D">
      <w:pPr>
        <w:framePr w:wrap="auto"/>
        <w:widowControl/>
        <w:numPr>
          <w:numId w:val="50"/>
        </w:numPr>
        <w:autoSpaceDE/>
        <w:autoSpaceDN/>
        <w:bidi w:val="0"/>
        <w:adjustRightInd/>
        <w:spacing w:after="12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 čl. I § 11 ods. 6 sa za číslovku „5“ vkladá spojka „a“.</w:t>
      </w:r>
    </w:p>
    <w:p w:rsidR="00F2566D" w:rsidRPr="00F2566D" w:rsidP="003759EE">
      <w:pPr>
        <w:framePr w:wrap="auto"/>
        <w:widowControl w:val="0"/>
        <w:autoSpaceDE w:val="0"/>
        <w:autoSpaceDN w:val="0"/>
        <w:bidi w:val="0"/>
        <w:adjustRightInd w:val="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Ide o gramatickú úpravu, ktorou sa spresňuje navrhovaný text vložením spojky „a“, aby bolo jednoznačne zrejmé, že pri výmene informácií sa postupuje podľa odsekov 1 až 5  paragrafu 11 a podľa osobitného predpisu, ktorým je vykonávacie rozhodnutie komisie (EÚ) 2019/417. </w:t>
      </w:r>
    </w:p>
    <w:p w:rsidR="00F2566D" w:rsidRPr="00F2566D" w:rsidP="003759EE">
      <w:pPr>
        <w:framePr w:wrap="auto"/>
        <w:widowControl w:val="0"/>
        <w:autoSpaceDE w:val="0"/>
        <w:autoSpaceDN w:val="0"/>
        <w:bidi w:val="0"/>
        <w:adjustRightInd w:val="0"/>
        <w:spacing w:line="240" w:lineRule="atLeast"/>
        <w:ind w:left="198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2566D" w:rsidRPr="00F2566D" w:rsidP="003759EE">
      <w:pPr>
        <w:framePr w:wrap="auto"/>
        <w:widowControl w:val="0"/>
        <w:autoSpaceDE w:val="0"/>
        <w:autoSpaceDN w:val="0"/>
        <w:bidi w:val="0"/>
        <w:adjustRightInd w:val="0"/>
        <w:ind w:left="198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2566D" w:rsidRPr="00F2566D" w:rsidP="003759EE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F2566D" w:rsidRPr="00F2566D" w:rsidP="003759EE">
      <w:pPr>
        <w:framePr w:wrap="auto"/>
        <w:widowControl/>
        <w:autoSpaceDE/>
        <w:autoSpaceDN/>
        <w:bidi w:val="0"/>
        <w:adjustRightInd/>
        <w:spacing w:after="120" w:line="276" w:lineRule="auto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F2566D" w:rsidP="003759EE">
      <w:pPr>
        <w:framePr w:wrap="auto"/>
        <w:widowControl w:val="0"/>
        <w:autoSpaceDE w:val="0"/>
        <w:autoSpaceDN w:val="0"/>
        <w:bidi w:val="0"/>
        <w:adjustRightInd w:val="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F2566D" w:rsidRPr="00F2566D" w:rsidP="007E084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C1BE2" w:rsidRPr="00F2566D" w:rsidP="00EC1BE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odporúča hlasovať o bodoch </w:t>
      </w:r>
      <w:r w:rsidRPr="00F2566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1 až </w:t>
      </w:r>
      <w:r w:rsidR="003759E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7</w:t>
      </w:r>
      <w:r w:rsidRPr="00F2566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spoločne</w:t>
      </w:r>
      <w:r w:rsidRPr="00F2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 odporúčaním </w:t>
      </w:r>
      <w:r w:rsidRPr="00F2566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c h v á l i ť.</w:t>
      </w:r>
    </w:p>
    <w:p w:rsidR="00983923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5A190E" w:rsidRPr="00F2566D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F2566D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E269DC" w:rsidRPr="00F2566D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F2566D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486E9B" w:rsidRPr="00F2566D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F2566D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354DBE" w:rsidRPr="00F2566D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AE0758" w:rsidRPr="00F2566D" w:rsidP="002C7A59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F2566D" w:rsidR="00895B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vládn</w:t>
      </w:r>
      <w:r w:rsidR="006F507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Pr="00F2566D" w:rsidR="00895B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 zákona o všeobecnej bezpečnosti výrobkov a o zmene a doplnení niektorých zákonov </w:t>
      </w:r>
      <w:r w:rsidRPr="00F2566D" w:rsidR="00895BD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1583</w:t>
      </w:r>
      <w:r w:rsidRPr="00F2566D" w:rsidR="00A844F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)  </w:t>
      </w:r>
      <w:r w:rsidRPr="00F2566D" w:rsidR="002C7A5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s </w:t>
      </w:r>
      <w:r w:rsidRPr="00F2566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c h v á l i ť </w:t>
      </w:r>
      <w:r w:rsidRPr="00F2566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F2566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2566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znení pozmeňujúc</w:t>
      </w:r>
      <w:r w:rsidRPr="00F2566D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ich </w:t>
      </w:r>
      <w:r w:rsidRPr="00F2566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</w:t>
      </w:r>
      <w:r w:rsidRPr="00F2566D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F2566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doplňujúc</w:t>
      </w:r>
      <w:r w:rsidRPr="00F2566D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ich </w:t>
      </w:r>
      <w:r w:rsidRPr="00F2566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návrh</w:t>
      </w:r>
      <w:r w:rsidRPr="00F2566D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ov</w:t>
      </w:r>
      <w:r w:rsidRPr="00F2566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uveden</w:t>
      </w:r>
      <w:r w:rsidRPr="00F2566D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ých</w:t>
      </w:r>
      <w:r w:rsidRPr="00F2566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 tejto spoločnej správe, ktor</w:t>
      </w:r>
      <w:r w:rsidRPr="00F2566D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é</w:t>
      </w:r>
      <w:r w:rsidRPr="00F2566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gestorský výbor odporúčal schváliť.</w:t>
      </w:r>
    </w:p>
    <w:p w:rsidR="00E269DC" w:rsidRPr="00F2566D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F2566D" w:rsidP="00FD553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F2566D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F2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Spoločná správa výborov Národnej rady Slovenskej republiky o výsledku prerokovania návrhu zákona v druhom čítaní bola schválená uznesením Výboru Národnej rady Slovenskej republiky pre hospodárske záležitosti č</w:t>
      </w:r>
      <w:r w:rsidRPr="00F2566D" w:rsidR="00EE2D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F2566D" w:rsidR="00167E0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2566D" w:rsidR="00B4428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477</w:t>
      </w:r>
      <w:r w:rsidRPr="00F2566D" w:rsidR="007733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2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 </w:t>
      </w:r>
      <w:r w:rsidRPr="00F2566D" w:rsidR="00895B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</w:t>
      </w:r>
      <w:r w:rsidRPr="00F2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F2566D" w:rsidR="00895B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júna</w:t>
      </w:r>
      <w:r w:rsidRPr="00F2566D" w:rsidR="00152E8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2566D" w:rsidR="00895B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2023</w:t>
      </w:r>
      <w:r w:rsidRPr="00F2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E269DC" w:rsidRPr="00F2566D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F2566D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F2566D" w:rsidR="00895BD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 zároveň poveril spoločnú</w:t>
      </w:r>
      <w:r w:rsidRPr="00F2566D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spravodaj</w:t>
      </w:r>
      <w:r w:rsidRPr="00F2566D" w:rsidR="00895BD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kyňu</w:t>
      </w:r>
      <w:r w:rsidRPr="00F2566D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2566D" w:rsidR="00895BD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Magdalénu Sulanovú</w:t>
      </w:r>
      <w:r w:rsidRPr="00F2566D" w:rsidR="00A844F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2566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predložiť návrhy </w:t>
      </w:r>
      <w:r w:rsidRPr="00F2566D" w:rsidR="00251D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zmysle príslušných ustanovení </w:t>
      </w:r>
      <w:r w:rsidRPr="00F2566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rokovacieho poriadku Národnej rady Slovenskej republiky.</w:t>
      </w:r>
    </w:p>
    <w:p w:rsidR="00E269DC" w:rsidRPr="00F2566D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269DC" w:rsidRPr="00F2566D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2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Pr="00F2566D" w:rsidR="00B4428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</w:t>
      </w:r>
      <w:r w:rsidRPr="00F256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F2566D" w:rsidR="00895B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júna</w:t>
      </w:r>
      <w:r w:rsidRPr="00F2566D" w:rsidR="00152E8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2566D" w:rsidR="00895B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2023</w:t>
      </w:r>
    </w:p>
    <w:p w:rsidR="007E0844" w:rsidRPr="00F2566D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87C14" w:rsidRPr="00F2566D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269DC" w:rsidRPr="00F2566D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cs-CZ" w:bidi="ar-SA"/>
        </w:rPr>
      </w:pPr>
      <w:r w:rsidRPr="00F2566D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Peter </w:t>
      </w:r>
      <w:r w:rsidRPr="00F2566D" w:rsidR="0004727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K r e m s k ý</w:t>
      </w:r>
      <w:r w:rsidRPr="00F2566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cs-CZ" w:bidi="ar-SA"/>
        </w:rPr>
        <w:t>, v.r.</w:t>
      </w:r>
      <w:r w:rsidRPr="00F2566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 xml:space="preserve">  </w:t>
      </w:r>
    </w:p>
    <w:p w:rsidR="00B62E81" w:rsidRPr="00F2566D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F2566D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F2566D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F2566D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F2566D" w:rsidP="009325C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2566D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F2566D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F2566D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Tahoma">
    <w:altName w:val="Tahoma"/>
    <w:panose1 w:val="020B0604030504040204"/>
    <w:charset w:val="EE"/>
    <w:family w:val="swiss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6F5077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4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06F534C"/>
    <w:multiLevelType w:val="hybridMultilevel"/>
    <w:tmpl w:val="6EB0AE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5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6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9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14566BC1"/>
    <w:multiLevelType w:val="hybridMultilevel"/>
    <w:tmpl w:val="CB66ADBE"/>
    <w:lvl w:ilvl="0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 w:hint="cs"/>
        <w:rtl w:val="0"/>
        <w:cs w:val="0"/>
      </w:rPr>
    </w:lvl>
  </w:abstractNum>
  <w:abstractNum w:abstractNumId="11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2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1EF01B7F"/>
    <w:multiLevelType w:val="hybridMultilevel"/>
    <w:tmpl w:val="DBBC59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9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4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49713164"/>
    <w:multiLevelType w:val="hybridMultilevel"/>
    <w:tmpl w:val="BB227F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8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9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30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31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2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5B7E4CB8"/>
    <w:multiLevelType w:val="hybridMultilevel"/>
    <w:tmpl w:val="06F896A4"/>
    <w:lvl w:ilvl="0">
      <w:start w:val="1"/>
      <w:numFmt w:val="lowerLetter"/>
      <w:pStyle w:val="Normal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5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6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Normal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7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38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9">
    <w:nsid w:val="6BD91FED"/>
    <w:multiLevelType w:val="hybridMultilevel"/>
    <w:tmpl w:val="8F30BB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0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1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42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3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4">
    <w:nsid w:val="765C6B36"/>
    <w:multiLevelType w:val="hybridMultilevel"/>
    <w:tmpl w:val="4AE4953C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5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>
    <w:nsid w:val="7A3F0BF2"/>
    <w:multiLevelType w:val="hybridMultilevel"/>
    <w:tmpl w:val="CE3C74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 w:hint="cs"/>
        <w:rtl w:val="0"/>
        <w:cs w:val="0"/>
      </w:rPr>
    </w:lvl>
  </w:abstractNum>
  <w:num w:numId="1">
    <w:abstractNumId w:val="36"/>
  </w:num>
  <w:num w:numId="2">
    <w:abstractNumId w:val="26"/>
  </w:num>
  <w:num w:numId="3">
    <w:abstractNumId w:val="38"/>
  </w:num>
  <w:num w:numId="4">
    <w:abstractNumId w:val="16"/>
  </w:num>
  <w:num w:numId="5">
    <w:abstractNumId w:val="28"/>
  </w:num>
  <w:num w:numId="6">
    <w:abstractNumId w:val="31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</w:num>
  <w:num w:numId="10">
    <w:abstractNumId w:val="0"/>
  </w:num>
  <w:num w:numId="11">
    <w:abstractNumId w:val="29"/>
  </w:num>
  <w:num w:numId="12">
    <w:abstractNumId w:val="18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9"/>
  </w:num>
  <w:num w:numId="16">
    <w:abstractNumId w:val="14"/>
  </w:num>
  <w:num w:numId="17">
    <w:abstractNumId w:val="20"/>
  </w:num>
  <w:num w:numId="18">
    <w:abstractNumId w:val="3"/>
  </w:num>
  <w:num w:numId="19">
    <w:abstractNumId w:val="22"/>
  </w:num>
  <w:num w:numId="20">
    <w:abstractNumId w:val="45"/>
  </w:num>
  <w:num w:numId="21">
    <w:abstractNumId w:val="8"/>
  </w:num>
  <w:num w:numId="22">
    <w:abstractNumId w:val="32"/>
  </w:num>
  <w:num w:numId="23">
    <w:abstractNumId w:val="7"/>
  </w:num>
  <w:num w:numId="24">
    <w:abstractNumId w:val="41"/>
  </w:num>
  <w:num w:numId="25">
    <w:abstractNumId w:val="34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4"/>
  </w:num>
  <w:num w:numId="29">
    <w:abstractNumId w:val="2"/>
  </w:num>
  <w:num w:numId="30">
    <w:abstractNumId w:val="11"/>
  </w:num>
  <w:num w:numId="31">
    <w:abstractNumId w:val="30"/>
  </w:num>
  <w:num w:numId="32">
    <w:abstractNumId w:val="23"/>
  </w:num>
  <w:num w:numId="33">
    <w:abstractNumId w:val="40"/>
  </w:num>
  <w:num w:numId="34">
    <w:abstractNumId w:val="24"/>
  </w:num>
  <w:num w:numId="35">
    <w:abstractNumId w:val="13"/>
  </w:num>
  <w:num w:numId="36">
    <w:abstractNumId w:val="44"/>
  </w:num>
  <w:num w:numId="37">
    <w:abstractNumId w:val="43"/>
  </w:num>
  <w:num w:numId="38">
    <w:abstractNumId w:val="12"/>
  </w:num>
  <w:num w:numId="39">
    <w:abstractNumId w:val="17"/>
  </w:num>
  <w:num w:numId="40">
    <w:abstractNumId w:val="21"/>
  </w:num>
  <w:num w:numId="41">
    <w:abstractNumId w:val="35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46"/>
  </w:num>
  <w:num w:numId="47">
    <w:abstractNumId w:val="10"/>
  </w:num>
  <w:num w:numId="4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52</TotalTime>
  <Pages>4</Pages>
  <Words>825</Words>
  <Characters>4707</Characters>
  <Application>Microsoft Office Word</Application>
  <DocSecurity>0</DocSecurity>
  <Lines>0</Lines>
  <Paragraphs>0</Paragraphs>
  <ScaleCrop>false</ScaleCrop>
  <Company>Kancelária NR SR</Company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20</cp:revision>
  <cp:lastPrinted>2022-06-14T09:22:00Z</cp:lastPrinted>
  <dcterms:created xsi:type="dcterms:W3CDTF">2022-11-24T14:08:00Z</dcterms:created>
  <dcterms:modified xsi:type="dcterms:W3CDTF">2023-06-13T15:43:00Z</dcterms:modified>
</cp:coreProperties>
</file>