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975853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97585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975853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97585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5A06C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2.1 </w:t>
      </w:r>
      <w:r w:rsidRPr="005A06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Zhrnutie vplyvov na rozpočet verejnej správy v návrhu</w:t>
      </w:r>
    </w:p>
    <w:p w:rsidR="007D5748" w:rsidRPr="005A06C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A06C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5A06C5" w:rsidTr="00E723C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1" w:name="OLE_LINK1"/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7D5748" w:rsidRPr="005A06C5" w:rsidTr="00E723C5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A06C5" w:rsidRDefault="00D8781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A06C5" w:rsidRDefault="00D8781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A06C5" w:rsidRDefault="00D8781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A06C5" w:rsidRDefault="00D8781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A06C5" w:rsidRDefault="00D4360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A06C5" w:rsidRDefault="00D4360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A06C5" w:rsidRDefault="00D4360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A06C5" w:rsidRDefault="00D4360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93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  <w:r w:rsidR="00220202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MŽP SR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D4360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97585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220202" w:rsidP="00975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F5047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0F504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B680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B680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B680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B680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5A06C5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5A06C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A06C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A06C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A06C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20202" w:rsidRPr="005A06C5" w:rsidRDefault="007D5748" w:rsidP="0022020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220202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20202" w:rsidRPr="005A06C5" w:rsidRDefault="00220202" w:rsidP="00220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Environmentálny fond</w:t>
            </w:r>
          </w:p>
        </w:tc>
        <w:tc>
          <w:tcPr>
            <w:tcW w:w="1267" w:type="dxa"/>
            <w:noWrap/>
            <w:vAlign w:val="center"/>
          </w:tcPr>
          <w:p w:rsidR="00220202" w:rsidRPr="005A06C5" w:rsidRDefault="00220202" w:rsidP="000F5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F5047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20202" w:rsidRPr="005A06C5" w:rsidRDefault="000F504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20202" w:rsidRPr="005A06C5" w:rsidRDefault="000F504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20202" w:rsidRPr="005A06C5" w:rsidRDefault="000F5047" w:rsidP="0022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71796" w:rsidRPr="005A06C5" w:rsidTr="00A15601">
        <w:trPr>
          <w:trHeight w:val="384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71796" w:rsidRPr="005A06C5" w:rsidRDefault="00171796" w:rsidP="0017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71796" w:rsidRPr="005A06C5" w:rsidRDefault="00D67EFE" w:rsidP="0094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71796" w:rsidRPr="005A06C5" w:rsidRDefault="00D96C4A" w:rsidP="00A1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1 674 457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71796" w:rsidRPr="005A06C5" w:rsidRDefault="00D96C4A" w:rsidP="00A1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2 247 359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71796" w:rsidRPr="005A06C5" w:rsidRDefault="00676640" w:rsidP="00A1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DF0A35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DF0A35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59 142</w:t>
            </w:r>
          </w:p>
        </w:tc>
      </w:tr>
      <w:tr w:rsidR="00CF552B" w:rsidRPr="005A06C5" w:rsidTr="00CF55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F552B" w:rsidRPr="005A06C5" w:rsidRDefault="00CF552B" w:rsidP="00CF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tom: MŽP SR / 075 </w:t>
            </w:r>
          </w:p>
        </w:tc>
        <w:tc>
          <w:tcPr>
            <w:tcW w:w="1267" w:type="dxa"/>
            <w:noWrap/>
          </w:tcPr>
          <w:p w:rsidR="00CF552B" w:rsidRPr="005A06C5" w:rsidRDefault="00D67EFE" w:rsidP="00CF5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CF552B" w:rsidRPr="005A06C5" w:rsidRDefault="00DF0A35" w:rsidP="00CF5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795 661</w:t>
            </w:r>
          </w:p>
        </w:tc>
        <w:tc>
          <w:tcPr>
            <w:tcW w:w="1267" w:type="dxa"/>
            <w:noWrap/>
          </w:tcPr>
          <w:p w:rsidR="00CF552B" w:rsidRPr="005A06C5" w:rsidRDefault="00DF0A35" w:rsidP="00CF5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795 661</w:t>
            </w:r>
          </w:p>
        </w:tc>
        <w:tc>
          <w:tcPr>
            <w:tcW w:w="1267" w:type="dxa"/>
            <w:noWrap/>
          </w:tcPr>
          <w:p w:rsidR="00CF552B" w:rsidRPr="005A06C5" w:rsidRDefault="00DF0A35" w:rsidP="00CF5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795 661</w:t>
            </w:r>
          </w:p>
        </w:tc>
      </w:tr>
      <w:tr w:rsidR="00E50811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50811" w:rsidRPr="005A06C5" w:rsidRDefault="00E50811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MV SR</w:t>
            </w:r>
            <w:r w:rsidR="00C2633F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 </w:t>
            </w:r>
            <w:r w:rsidR="00400FD7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0D6</w:t>
            </w:r>
          </w:p>
        </w:tc>
        <w:tc>
          <w:tcPr>
            <w:tcW w:w="1267" w:type="dxa"/>
            <w:noWrap/>
            <w:vAlign w:val="center"/>
          </w:tcPr>
          <w:p w:rsidR="00E50811" w:rsidRPr="005A06C5" w:rsidRDefault="00943125" w:rsidP="00D1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50811" w:rsidRPr="005A06C5" w:rsidRDefault="00BE5AA8" w:rsidP="00D1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342 707</w:t>
            </w:r>
          </w:p>
        </w:tc>
        <w:tc>
          <w:tcPr>
            <w:tcW w:w="1267" w:type="dxa"/>
            <w:noWrap/>
            <w:vAlign w:val="center"/>
          </w:tcPr>
          <w:p w:rsidR="00E50811" w:rsidRPr="005A06C5" w:rsidRDefault="00BE5AA8" w:rsidP="00D1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342 707</w:t>
            </w:r>
          </w:p>
        </w:tc>
        <w:tc>
          <w:tcPr>
            <w:tcW w:w="1267" w:type="dxa"/>
            <w:noWrap/>
            <w:vAlign w:val="center"/>
          </w:tcPr>
          <w:p w:rsidR="00E50811" w:rsidRPr="005A06C5" w:rsidRDefault="00BE5AA8" w:rsidP="00D1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342 707</w:t>
            </w:r>
          </w:p>
        </w:tc>
      </w:tr>
      <w:tr w:rsidR="00BE5AA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E5AA8" w:rsidRPr="005A06C5" w:rsidRDefault="00BE5AA8" w:rsidP="00BE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MV SR / 0EK</w:t>
            </w:r>
          </w:p>
        </w:tc>
        <w:tc>
          <w:tcPr>
            <w:tcW w:w="1267" w:type="dxa"/>
            <w:noWrap/>
            <w:vAlign w:val="center"/>
          </w:tcPr>
          <w:p w:rsidR="00BE5AA8" w:rsidRPr="005A06C5" w:rsidRDefault="00943125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E5AA8" w:rsidRPr="005A06C5" w:rsidRDefault="00BE5AA8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20 774</w:t>
            </w:r>
          </w:p>
        </w:tc>
        <w:tc>
          <w:tcPr>
            <w:tcW w:w="1267" w:type="dxa"/>
            <w:noWrap/>
            <w:vAlign w:val="center"/>
          </w:tcPr>
          <w:p w:rsidR="00BE5AA8" w:rsidRPr="005A06C5" w:rsidRDefault="00BE5AA8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20 774</w:t>
            </w:r>
          </w:p>
        </w:tc>
        <w:tc>
          <w:tcPr>
            <w:tcW w:w="1267" w:type="dxa"/>
            <w:noWrap/>
            <w:vAlign w:val="center"/>
          </w:tcPr>
          <w:p w:rsidR="00BE5AA8" w:rsidRPr="005A06C5" w:rsidRDefault="00BE5AA8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20 774</w:t>
            </w:r>
          </w:p>
        </w:tc>
      </w:tr>
      <w:tr w:rsidR="00A77670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7670" w:rsidRPr="005A06C5" w:rsidRDefault="00A77670" w:rsidP="00BE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tom: MPRV SR / 08V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A77670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D96C4A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515 315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D96C4A" w:rsidP="00E5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1 088 217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7413E0" w:rsidP="00BE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1 </w:t>
            </w:r>
            <w:r w:rsidR="00A20D6A"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</w:t>
            </w: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  <w:r w:rsidR="00A77670"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0 000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171796" w:rsidRPr="005A06C5" w:rsidTr="0068323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71796" w:rsidRPr="005A06C5" w:rsidRDefault="00171796" w:rsidP="0017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71796" w:rsidRPr="005A06C5" w:rsidRDefault="00D67EFE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71796" w:rsidRPr="005A06C5" w:rsidRDefault="00D96C4A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1 674 457</w:t>
            </w:r>
          </w:p>
        </w:tc>
        <w:tc>
          <w:tcPr>
            <w:tcW w:w="1267" w:type="dxa"/>
            <w:noWrap/>
          </w:tcPr>
          <w:p w:rsidR="00171796" w:rsidRPr="005A06C5" w:rsidRDefault="00D96C4A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2 247 359</w:t>
            </w:r>
          </w:p>
        </w:tc>
        <w:tc>
          <w:tcPr>
            <w:tcW w:w="1267" w:type="dxa"/>
            <w:noWrap/>
          </w:tcPr>
          <w:p w:rsidR="00171796" w:rsidRPr="005A06C5" w:rsidRDefault="00676640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2 559 142</w:t>
            </w:r>
          </w:p>
        </w:tc>
      </w:tr>
      <w:tr w:rsidR="00171796" w:rsidRPr="005A06C5" w:rsidTr="0068323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71796" w:rsidRPr="005A06C5" w:rsidRDefault="00171796" w:rsidP="0017179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71796" w:rsidRPr="005A06C5" w:rsidRDefault="00D67EFE" w:rsidP="0094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71796" w:rsidRPr="005A06C5" w:rsidRDefault="00171796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="00D96C4A"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1 674 457</w:t>
            </w:r>
          </w:p>
        </w:tc>
        <w:tc>
          <w:tcPr>
            <w:tcW w:w="1267" w:type="dxa"/>
            <w:noWrap/>
          </w:tcPr>
          <w:p w:rsidR="00171796" w:rsidRPr="005A06C5" w:rsidRDefault="00D96C4A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2 247 359</w:t>
            </w:r>
          </w:p>
        </w:tc>
        <w:tc>
          <w:tcPr>
            <w:tcW w:w="1267" w:type="dxa"/>
            <w:noWrap/>
          </w:tcPr>
          <w:p w:rsidR="00171796" w:rsidRPr="005A06C5" w:rsidRDefault="00676640" w:rsidP="0017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2 559 142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E723C5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E723C5" w:rsidRPr="005A06C5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5A06C5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5A06C5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5A06C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A06C5" w:rsidRDefault="0074582F" w:rsidP="0094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A06C5" w:rsidRDefault="00B417A2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+ </w:t>
            </w:r>
            <w:r w:rsidR="004E591E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A06C5" w:rsidRDefault="00B417A2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+ </w:t>
            </w:r>
            <w:r w:rsidR="004E591E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A06C5" w:rsidRDefault="00B417A2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+ </w:t>
            </w:r>
            <w:r w:rsidR="004E591E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</w:t>
            </w:r>
          </w:p>
        </w:tc>
      </w:tr>
      <w:tr w:rsidR="004E591E" w:rsidRPr="005A06C5" w:rsidTr="0068323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1E" w:rsidRPr="005A06C5" w:rsidRDefault="004E591E" w:rsidP="004E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tom: MŽP SR / 075 </w:t>
            </w:r>
          </w:p>
        </w:tc>
        <w:tc>
          <w:tcPr>
            <w:tcW w:w="1267" w:type="dxa"/>
            <w:noWrap/>
            <w:vAlign w:val="center"/>
          </w:tcPr>
          <w:p w:rsidR="004E591E" w:rsidRPr="005A06C5" w:rsidRDefault="0074582F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+ 27</w:t>
            </w:r>
          </w:p>
        </w:tc>
        <w:tc>
          <w:tcPr>
            <w:tcW w:w="1267" w:type="dxa"/>
            <w:noWrap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+ 27</w:t>
            </w:r>
          </w:p>
        </w:tc>
        <w:tc>
          <w:tcPr>
            <w:tcW w:w="1267" w:type="dxa"/>
            <w:noWrap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+ 27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MV SR / 0D6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943125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+ 13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+ 13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+ 13</w:t>
            </w:r>
          </w:p>
        </w:tc>
      </w:tr>
      <w:tr w:rsidR="00A77670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7670" w:rsidRPr="005A06C5" w:rsidRDefault="00A7767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tom: MPRV SR</w:t>
            </w:r>
            <w:r w:rsidR="00C91F13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 08V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A77670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A7767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A7767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77670" w:rsidRPr="005A06C5" w:rsidRDefault="00A7767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4E591E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1E" w:rsidRPr="005A06C5" w:rsidRDefault="004E591E" w:rsidP="004E5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4E591E" w:rsidRPr="005A06C5" w:rsidRDefault="0074582F" w:rsidP="000A0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+ 40</w:t>
            </w:r>
          </w:p>
        </w:tc>
        <w:tc>
          <w:tcPr>
            <w:tcW w:w="1267" w:type="dxa"/>
            <w:noWrap/>
            <w:vAlign w:val="center"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+ 40</w:t>
            </w:r>
          </w:p>
        </w:tc>
        <w:tc>
          <w:tcPr>
            <w:tcW w:w="1267" w:type="dxa"/>
            <w:noWrap/>
            <w:vAlign w:val="center"/>
          </w:tcPr>
          <w:p w:rsidR="004E591E" w:rsidRPr="005A06C5" w:rsidRDefault="004E591E" w:rsidP="004E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+ 40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8316D" w:rsidRPr="005A06C5" w:rsidTr="0068323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D8316D" w:rsidRPr="005A06C5" w:rsidRDefault="00D8316D" w:rsidP="00D8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8316D" w:rsidRPr="005A06C5" w:rsidRDefault="0074582F" w:rsidP="000A0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8316D" w:rsidRPr="005A06C5" w:rsidRDefault="00160BE3" w:rsidP="000E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0E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809 166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D8316D" w:rsidRPr="005A06C5" w:rsidRDefault="000E0D0C" w:rsidP="00C91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809 166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D8316D" w:rsidRPr="005A06C5" w:rsidRDefault="000E0D0C" w:rsidP="00D83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809 166</w:t>
            </w:r>
          </w:p>
        </w:tc>
      </w:tr>
      <w:tr w:rsidR="00CF552B" w:rsidRPr="005A06C5" w:rsidTr="0068323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F552B" w:rsidRPr="005A06C5" w:rsidRDefault="00CF552B" w:rsidP="00CF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tom: MŽP SR / 075 </w:t>
            </w:r>
          </w:p>
        </w:tc>
        <w:tc>
          <w:tcPr>
            <w:tcW w:w="1267" w:type="dxa"/>
            <w:noWrap/>
          </w:tcPr>
          <w:p w:rsidR="00CF552B" w:rsidRPr="005A06C5" w:rsidRDefault="0074582F" w:rsidP="00CF5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CF552B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589</w:t>
            </w:r>
            <w:r w:rsidR="0070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596</w:t>
            </w:r>
          </w:p>
        </w:tc>
        <w:tc>
          <w:tcPr>
            <w:tcW w:w="1267" w:type="dxa"/>
            <w:noWrap/>
          </w:tcPr>
          <w:p w:rsidR="00CF552B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589</w:t>
            </w:r>
            <w:r w:rsidR="0070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596</w:t>
            </w:r>
          </w:p>
        </w:tc>
        <w:tc>
          <w:tcPr>
            <w:tcW w:w="1267" w:type="dxa"/>
            <w:noWrap/>
          </w:tcPr>
          <w:p w:rsidR="00CF552B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589</w:t>
            </w:r>
            <w:r w:rsidR="0070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596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MV SR / 0D6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8D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D22DF"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D22DF" w:rsidP="00BB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219 570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219 570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219 570</w:t>
            </w:r>
          </w:p>
        </w:tc>
      </w:tr>
      <w:tr w:rsidR="000574B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574B8" w:rsidRPr="005A06C5" w:rsidRDefault="000574B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tom: MPRV SR</w:t>
            </w:r>
            <w:r w:rsidR="00C91F13" w:rsidRPr="005A06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 08V</w:t>
            </w:r>
          </w:p>
        </w:tc>
        <w:tc>
          <w:tcPr>
            <w:tcW w:w="1267" w:type="dxa"/>
            <w:noWrap/>
            <w:vAlign w:val="center"/>
          </w:tcPr>
          <w:p w:rsidR="000574B8" w:rsidRPr="005A06C5" w:rsidRDefault="00BE11F7" w:rsidP="008D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574B8" w:rsidRPr="005A06C5" w:rsidRDefault="00160BE3" w:rsidP="00BB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574B8" w:rsidRPr="005A06C5" w:rsidRDefault="00160BE3" w:rsidP="00D0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574B8" w:rsidRPr="005A06C5" w:rsidRDefault="00BE11F7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8967C8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967C8" w:rsidRPr="005A06C5" w:rsidRDefault="008967C8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F552B" w:rsidRPr="005A06C5" w:rsidTr="0068323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F552B" w:rsidRPr="005A06C5" w:rsidRDefault="00CF552B" w:rsidP="00CF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F552B" w:rsidRPr="005A06C5" w:rsidRDefault="0074582F" w:rsidP="008D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CF552B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809 166</w:t>
            </w:r>
          </w:p>
        </w:tc>
        <w:tc>
          <w:tcPr>
            <w:tcW w:w="1267" w:type="dxa"/>
            <w:shd w:val="clear" w:color="auto" w:fill="auto"/>
            <w:noWrap/>
          </w:tcPr>
          <w:p w:rsidR="00CF552B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809 166</w:t>
            </w:r>
          </w:p>
        </w:tc>
        <w:tc>
          <w:tcPr>
            <w:tcW w:w="1267" w:type="dxa"/>
            <w:shd w:val="clear" w:color="auto" w:fill="auto"/>
            <w:noWrap/>
          </w:tcPr>
          <w:p w:rsidR="003F2CD9" w:rsidRPr="005A06C5" w:rsidRDefault="003F2CD9" w:rsidP="0070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809 166</w:t>
            </w:r>
          </w:p>
        </w:tc>
      </w:tr>
      <w:tr w:rsidR="00AA03A9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A03A9" w:rsidRPr="005A06C5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5A06C5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A03A9" w:rsidRPr="00975853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AA03A9" w:rsidRPr="00975853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A03A9" w:rsidRPr="00975853" w:rsidRDefault="00AA03A9" w:rsidP="00B41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0609F" w:rsidRPr="00975853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MŽP SR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4582F" w:rsidP="0057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70609F"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0609F" w:rsidRPr="00975853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MV SR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A4DCF" w:rsidRPr="00975853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A4DCF" w:rsidRPr="00975853" w:rsidRDefault="007A4DCF" w:rsidP="0070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 tom: MPRV SR</w:t>
            </w:r>
          </w:p>
        </w:tc>
        <w:tc>
          <w:tcPr>
            <w:tcW w:w="1267" w:type="dxa"/>
            <w:noWrap/>
            <w:vAlign w:val="center"/>
          </w:tcPr>
          <w:p w:rsidR="007A4DCF" w:rsidRPr="00975853" w:rsidRDefault="007A4DC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A4DCF" w:rsidRPr="00975853" w:rsidRDefault="007A4DC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A4DCF" w:rsidRPr="00975853" w:rsidRDefault="007A4DC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A4DCF" w:rsidRPr="00975853" w:rsidRDefault="007A4DC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0609F" w:rsidRPr="00975853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0609F" w:rsidRPr="00975853" w:rsidRDefault="0070609F" w:rsidP="00706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C66DB" w:rsidRPr="00975853" w:rsidTr="009F6E57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C66DB" w:rsidRPr="005A06C5" w:rsidRDefault="007C66DB" w:rsidP="007C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C66DB" w:rsidRPr="005A06C5" w:rsidRDefault="007C66DB" w:rsidP="007C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  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C66DB" w:rsidRPr="005A06C5" w:rsidRDefault="007C66DB" w:rsidP="007C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1 674 457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C66DB" w:rsidRPr="005A06C5" w:rsidRDefault="007C66DB" w:rsidP="007C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2 247 359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C66DB" w:rsidRPr="005A06C5" w:rsidRDefault="007C66DB" w:rsidP="007C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0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2 559 142</w:t>
            </w:r>
          </w:p>
        </w:tc>
      </w:tr>
      <w:bookmarkEnd w:id="1"/>
    </w:tbl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975853" w:rsidRDefault="007D5748" w:rsidP="003F7A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97585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8967C8" w:rsidRPr="00975853" w:rsidRDefault="003E0EB9" w:rsidP="003E0E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rozpočte kapitoly Ministerstva vnútra SR a Ministerstva životného prostredia SR v príslušných rokoch 2024 – 2026 v súvislosti s navýšením personálnych kapacít v počte 13 + 27 nových zamestnancov nie sú alokované osobné výdavky a bežné výdavky na financovanie prevádzkových nákladov, materiálno-technického a priestorového vybavenia, výpočtovej a telekomunikačnej techniky a softvérových licencií. Z hľadiska kapitoly Ministerstva vnútra SR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Ministerstva životného prostredia SR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Ministerstva pôdohospodárstva a rozvoja vidieka SR 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uvedené výdavky predstavujú rozpočtovo nekrytý vplyv, ktorý musí byť dofinancovaný zo strany Ministerstva financií SR. Kapitoly si budú tieto výdavky uplatňovať pri príprave návrhu rozpočtu verejnej správy na roky 2024 – 2026.</w:t>
      </w:r>
    </w:p>
    <w:p w:rsidR="003E0EB9" w:rsidRDefault="003E0EB9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97585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3E0EB9" w:rsidP="00683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rieši </w:t>
      </w:r>
      <w:r w:rsidRPr="004C47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problematiku ochrany prírody a krajiny, </w:t>
      </w:r>
      <w:r w:rsidRPr="004C47AF">
        <w:rPr>
          <w:rFonts w:ascii="Times New Roman" w:hAnsi="Times New Roman" w:cs="Times New Roman"/>
          <w:sz w:val="24"/>
          <w:szCs w:val="24"/>
        </w:rPr>
        <w:t>upravuj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47AF">
        <w:rPr>
          <w:rFonts w:ascii="Times New Roman" w:hAnsi="Times New Roman" w:cs="Times New Roman"/>
          <w:sz w:val="24"/>
          <w:szCs w:val="24"/>
        </w:rPr>
        <w:t xml:space="preserve"> najmä ustanovenia zákona č. 543/2002 Z. z. o ochrane prírody a krajiny v znení neskorších predpisov týkajúce sa ochrany území sústavy Natura 2000, ako aj súvisiace ustanovenia týkajúce sa dokumentácie ochrany prírody a krajiny, náhrady za obmedzenie bežného obhospodarovania pozemkov, pôsobnosti štátnych orgánov ochrany prírody a krajiny a organizácií ochrany prírody a krajiny, konania na úseku ochrany prírody a krajiny, zodpovednosti za porušenie povinností na úseku ochrany prírody a krajiny a tiež zásady vykonávania ťažby </w:t>
      </w:r>
      <w:r>
        <w:rPr>
          <w:rFonts w:ascii="Times New Roman" w:hAnsi="Times New Roman" w:cs="Times New Roman"/>
          <w:sz w:val="24"/>
          <w:szCs w:val="24"/>
        </w:rPr>
        <w:t xml:space="preserve">dreva </w:t>
      </w:r>
      <w:r w:rsidRPr="004C47AF">
        <w:rPr>
          <w:rFonts w:ascii="Times New Roman" w:hAnsi="Times New Roman" w:cs="Times New Roman"/>
          <w:sz w:val="24"/>
          <w:szCs w:val="24"/>
        </w:rPr>
        <w:t>a postupy týkajúce sa schvaľovania programov starostlivosti o lesy podľa zákona č. 326/2005 Z. z. o lesoch v znení neskorších predpisov.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7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Pr="004C47AF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implementovať predovšetkým orgány štátnej správy ochrany prírody a krajiny - Ministerstvo životného prostredia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okresné úrady v sídle kraja a okresné úrady, ako aj organizácie ochrany prírody a krajiny 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Štátna ochrana prírody Slovenskej republiky a správy </w:t>
      </w:r>
      <w:r w:rsidRPr="003E0EB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národných parkov a štátna organizácia pôsobiaca v oblasti lesného hospodárstva – Národné lesnícke centrum.</w:t>
      </w:r>
      <w:r w:rsidRPr="003E0EB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Výkony verejnej správy budú poskytované na celonárodnej, ako aj regionálnej úrovni.</w:t>
      </w:r>
    </w:p>
    <w:p w:rsidR="00683232" w:rsidRPr="00975853" w:rsidRDefault="00683232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9758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975853" w:rsidRDefault="00665D8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8967C8" w:rsidRPr="009758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9758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975853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7585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975853" w:rsidTr="00E723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975853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975853" w:rsidTr="00E723C5">
        <w:trPr>
          <w:trHeight w:val="70"/>
        </w:trPr>
        <w:tc>
          <w:tcPr>
            <w:tcW w:w="4530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975853" w:rsidTr="00E723C5">
        <w:trPr>
          <w:trHeight w:val="70"/>
        </w:trPr>
        <w:tc>
          <w:tcPr>
            <w:tcW w:w="4530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975853" w:rsidTr="00E723C5">
        <w:trPr>
          <w:trHeight w:val="70"/>
        </w:trPr>
        <w:tc>
          <w:tcPr>
            <w:tcW w:w="4530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97585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7C8" w:rsidRPr="00975853" w:rsidRDefault="008967C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97585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7585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683232" w:rsidRPr="00975853" w:rsidRDefault="00683232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3232" w:rsidRPr="00975853" w:rsidRDefault="00683232" w:rsidP="0068323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5853">
        <w:rPr>
          <w:rFonts w:ascii="Times New Roman" w:hAnsi="Times New Roman" w:cs="Times New Roman"/>
          <w:sz w:val="24"/>
          <w:szCs w:val="24"/>
        </w:rPr>
        <w:t xml:space="preserve">V nadväznosti na rozsudok Súdneho dvora Európskej únie z 22. júna 2022 (C-661/2020), v ktorom Súdny dvor Európskej únie rozhodol, že </w:t>
      </w:r>
      <w:r w:rsidRPr="00975853">
        <w:rPr>
          <w:rFonts w:ascii="Times New Roman" w:hAnsi="Times New Roman" w:cs="Times New Roman"/>
          <w:bCs/>
          <w:sz w:val="24"/>
          <w:szCs w:val="24"/>
        </w:rPr>
        <w:t xml:space="preserve">Slovenská republika si 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nesplnila povinnosti, ktoré jej vyplývajú z článku 6 ods. 3 smernice Rady 92/43/EHS z 21. mája 1992 o ochrane prirodzených biotopov a voľne žijúcich živočíchov a rastlín </w:t>
      </w:r>
      <w:r w:rsidR="0065366A" w:rsidRPr="00653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(Ú. v. ES L 206, 22.7.1992; Mimoriadne vydanie Ú. v. EÚ, kap. 15/zv. 2) v platnom znení 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spojení s jej článkom 7, z článku 6 ods. 2 </w:t>
      </w:r>
      <w:r w:rsidR="00C821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uvedenej 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smernice v spojení s jej článkom 7, ako aj z článku 4 ods. 1 smernice Európskeho parlamentu a Rady 2009/147/ES z 30. novembra 2009 o ochrane voľne žijúceho vtáctva</w:t>
      </w:r>
      <w:r w:rsidR="00653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5366A" w:rsidRPr="00653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(kodifikované znenie) (Ú. v. EÚ L 20, 26.1.2010) v platnom znení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návrh zákona upravuje nové spôsoby regulácie ťažby dreva v rámci území sústavy Natura 2000 umožňujúce posúdenie ich vplyvov na tieto územia. Vyhotovovanie odborných podkladov, najmä odborných stanovísk a zisťovacích formulárov pre orgány štátnej správy ochrany prírody a krajiny bude v pôsobnosti jednotlivých organizácií ochrany prírody a krajiny, ktoré už v súčasnosti sú personálne poddimenzované. Vzhľadom na uvedené bude potrebné zvýšiť počty zamestnancov Štátnej ochrany prírody Slovenskej republiky (1 zamestnanec pre každú správu CHKO/RCOP, spolu 15 zamestnancov), ako aj správ národných parkov (1 zamestnanec pre Správu NP Veľká Fatra, Správu NP Malá Fatra, Správu P</w:t>
      </w:r>
      <w:r w:rsidR="005B45E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ieninského NP</w:t>
      </w: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Správu NP Slovenský kras, Správu NP Poloniny, Správu NP Slovenský raj, Správu NP Muránska planina a 3 zamestnanci pre Správu NAPANT, spolu 10 zamestnancov). V rámci výkonu štátnej správy ochrany prírody a krajiny, kde pribudne nová agenda okresným úradom v sídle kraja, odborom starostlivosti o životné prostredie, ktoré sú už v súčasnosti personálne poddimenzované, bude nutné prijať 13 nových zamestnancov (2 zamestnancov pre OÚ Prešov, OÚ Košice, OÚ B. Bystrica, OÚ Žilina a OÚ Trenčín a 1 zamestnanca pre OÚ Nitra, OÚ Trnava a OÚ Bratislava). Vzhľadom na potrebu metodického riadenia zamestnancov orgánov štátnej správy ochrany prírody a krajiny a organizácií ochrany prírody a krajiny bude potrebné prijať 2 nových zamestnancov aj na Ministerstvo životného prostredia SR, sekciu ochrany prírody a biodiverzity.</w:t>
      </w:r>
    </w:p>
    <w:p w:rsidR="002C4895" w:rsidRPr="00975853" w:rsidRDefault="002C4895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68D1" w:rsidRDefault="007D68D1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interných predpisov </w:t>
      </w:r>
      <w:r w:rsidR="00436EB8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a odmeňovania zamestnancov v rezorte Ministerstva životného prostredia SR boli základom pre výpočet vplyvov na výdavky ekonomickej kategórie 610 – Mzdy, platy, služobné príjmy a ostatné osobné vyrovnania, ekonomickej kategórie 620 – Poistné a príspevok do poisťovní 9. platová trieda podľa zákona č. 3</w:t>
      </w:r>
      <w:r w:rsidR="00DF0A35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13/2001 Z. z. o verejnej službe 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neskorších predpisov </w:t>
      </w:r>
      <w:r w:rsidR="00DF0A35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(Štátna ochrana prírody SR a správy národných parkov), ďalej zákona č. 55/2017 Z. z. zákon o štátnej službe a o zmene a doplnení niektorých zákonov </w:t>
      </w:r>
      <w:r w:rsidR="00DF0A35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znení neskorších predpisov (pre zamestnancov na M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inisterstva životného prostredia</w:t>
      </w:r>
      <w:r w:rsidR="00DF0A35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SR)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F0A35"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zákona č. 553/2003 Z. z.  o odmeňovaní niektorých zamestnancov pri výkone práce vo verejnom záujme a o zmene a doplnení niektorých zákonov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="007C2AB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822A7" w:rsidRDefault="000822A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22A7" w:rsidRPr="00975853" w:rsidRDefault="000822A7" w:rsidP="00082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internej personálnej politiky Ministerstva vnútra SR bola základom pre výpočet vplyvov na výdavky ekonomickej kategórie 610 – Mzdy, platy, služobné príjmy a ostatné osobné vyrovnania, ekonomickej kategórie 620 – Poistné a príspevok do poisťovní 6. platová trieda podľa zákona č. 55/2017 Z. z. o štátnej službe</w:t>
      </w:r>
      <w:r w:rsidRP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 w:rsidRPr="00975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7D68D1" w:rsidRDefault="007D68D1" w:rsidP="00C9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A11" w:rsidRPr="004A7CFC" w:rsidRDefault="002330FB" w:rsidP="00651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420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ab/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pôdohospodárstva a rozvoja vidieka SR zabezpečuje financovanie vyhotovenia programov starostlivosti o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lesy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nástroja štátu na zabezpečenie trvalo udržateľného hospodárenia v lesoch. Odbornou autoritou, ktorá tento proces metodicky riadi je príspevková organizácia Národné lesnícke centrum</w:t>
      </w:r>
      <w:r w:rsidR="000E28FF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</w:t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zamestnancov vypracuje novú metodiku pre zapracovanie novej súčasti pre vyhotovenie programov starostlivosti o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lesy, upraví programové riešenia pre vyhotovenie programov starostlivosti o lesy vrátane nevyhnutných úprav informačného systému lesného hospodárstva a bude poskytovať súčinnosť pri zabezpečení prechodných ustanovení tohto návrhu v rok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och</w:t>
      </w:r>
      <w:r w:rsidR="00651A1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a 2025.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2024 sa predpokladá pre 20 zamestnancov 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objem osobných výdavkov v</w:t>
      </w:r>
      <w:r w:rsidR="005B492E">
        <w:rPr>
          <w:rFonts w:ascii="Times New Roman" w:eastAsia="Times New Roman" w:hAnsi="Times New Roman" w:cs="Times New Roman"/>
          <w:sz w:val="24"/>
          <w:szCs w:val="24"/>
          <w:lang w:eastAsia="sk-SK"/>
        </w:rPr>
        <w:t>o výške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515 315 eur (z toho mzdové výdavky v</w:t>
      </w:r>
      <w:r w:rsidR="005B492E">
        <w:rPr>
          <w:rFonts w:ascii="Times New Roman" w:eastAsia="Times New Roman" w:hAnsi="Times New Roman" w:cs="Times New Roman"/>
          <w:sz w:val="24"/>
          <w:szCs w:val="24"/>
          <w:lang w:eastAsia="sk-SK"/>
        </w:rPr>
        <w:t>o výške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381 150 eur a poistné vo výške 134 165 eur). Mzdové náklady boli vypočítané na základe priemernej mzdy</w:t>
      </w:r>
      <w:r w:rsidR="000E28FF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za rok 2022 vo výške 1588 eur a v zmysle príslušných ustanovení zákona č. 553/2003 Z. z. o odmeňovaní niektorých zamestnancov pri výkone práce vo verejnom záujme a o zmene a doplnení niektorých zákonov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pracovný čas 7,5 hod. denne a ročný fond 2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000 hodín. Pre rok 2024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2025 sa uvažuje s valorizáciou platov na úrovni 5%. Pre rok 2025 uvedené úlohy budú vykonávať 4 zamestnanci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uvažovalo sa s objemom osobných výdavkov vo výške 108 217 eur (z toho mzdové výdavky v objeme 80 042 eur a poistné vo výške 28 175 eur). Vychádzalo sa z priemernej valorizovanej mzdy zamestnancov príspevkovej organizácie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ABA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výške 1 667 eur.</w:t>
      </w:r>
      <w:r w:rsidR="00BB796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Vzhľadom na skutočnosť, že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796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je príspevková organizácia kapitoly M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</w:t>
      </w:r>
      <w:r w:rsidR="005B492E">
        <w:rPr>
          <w:rFonts w:ascii="Times New Roman" w:eastAsia="Times New Roman" w:hAnsi="Times New Roman" w:cs="Times New Roman"/>
          <w:sz w:val="24"/>
          <w:szCs w:val="24"/>
          <w:lang w:eastAsia="sk-SK"/>
        </w:rPr>
        <w:t>a pôdohospodárstva a rozvoja vi</w:t>
      </w:r>
      <w:r w:rsidR="009F6E5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dieka</w:t>
      </w:r>
      <w:r w:rsidR="00BB796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0E28FF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B796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výdavky sú vykazované v kategórii </w:t>
      </w:r>
      <w:r w:rsidR="005B492E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BB7961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ežné transfery.</w:t>
      </w:r>
      <w:r w:rsidR="000A1BA6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rok 2026 na uvedených úlohách už nebudú participovať zamestnanci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árodného lesníckeho centra</w:t>
      </w:r>
      <w:r w:rsidR="000A1BA6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F6E57" w:rsidRPr="004A7CFC" w:rsidRDefault="009F6E57" w:rsidP="00651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A11" w:rsidRDefault="00651A11" w:rsidP="000E0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  <w:r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nadväznosti na vyššiu náročnosť pri samotnom vyhotovení programov starostlivosti o lesy </w:t>
      </w:r>
      <w:r w:rsidR="005B492E">
        <w:rPr>
          <w:rFonts w:ascii="Times New Roman" w:eastAsia="Times New Roman" w:hAnsi="Times New Roman" w:cs="Times New Roman"/>
          <w:sz w:val="24"/>
          <w:szCs w:val="24"/>
          <w:lang w:eastAsia="sk-SK"/>
        </w:rPr>
        <w:t>sa zvýši</w:t>
      </w:r>
      <w:r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ich cena o 10 eur. Samotné vyhotovenie programov starostlivosti o lesy zabezpečuje </w:t>
      </w:r>
      <w:r w:rsidR="000822A7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822A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árodné lesnícke centru</w:t>
      </w:r>
      <w:r w:rsidR="005B45E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služby odborne spôsobilými osobami. Tieto osoby vyhotovujú programy starostlivosti o lesy každý rok na 1/10 lesných pozemkov, čo predstavuje približne 200 000 ha (obdobie platnosti programov starostlivosti o lesy je 10 rokov). Navrhované regulatívy ochrany prírody sa budú týkať chránených území, ktoré sa nachádzajú približne na 70 % územia lesných pozemkov. Pretože vyhotovenie programov starostlivosti o lesy sa zabezpečuje v priebehu 2 rokov a najnáročnejšie práce pripadajú na prvý rok vyhotovenia, 70 % týchto zvýšených nákladov bude poskytovaných v prvom roku vyhotovenia (tzv. rozpracovanie programov starostlivosti o lesy) a zvyšok v druhom roku vyhotovenia (tzv. dopracovanie programov starostlivosti o lesy). </w:t>
      </w:r>
      <w:r w:rsidR="000A1BA6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Predpokladané fina</w:t>
      </w:r>
      <w:r w:rsidR="00384516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nčné prostriedky na samotné vyhotovenie programov starostlivosti o lesy sú pre rok 2025 v</w:t>
      </w:r>
      <w:r w:rsidR="004A7CFC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>o výške</w:t>
      </w:r>
      <w:r w:rsidR="00384516" w:rsidRPr="004A7C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980 000 eur a pre rok 2026 vo výške 1 400 000 eur.</w:t>
      </w:r>
    </w:p>
    <w:p w:rsidR="002C4895" w:rsidRDefault="002C4895" w:rsidP="00233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:rsidR="005A06C5" w:rsidRDefault="005A06C5" w:rsidP="00233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:rsidR="005A06C5" w:rsidRDefault="005A06C5" w:rsidP="00233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:rsidR="005A06C5" w:rsidRDefault="005A06C5" w:rsidP="00233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:rsidR="005A06C5" w:rsidRPr="00106420" w:rsidRDefault="005A06C5" w:rsidP="00233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sectPr w:rsidR="005A06C5" w:rsidRPr="00106420" w:rsidSect="00E723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0F5047" w:rsidRPr="00975853" w:rsidRDefault="000F5047" w:rsidP="000F504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0F5047" w:rsidRPr="00975853" w:rsidRDefault="000F5047" w:rsidP="000F5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0F5047" w:rsidRPr="00975853" w:rsidTr="0000617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F5047" w:rsidRPr="00975853" w:rsidTr="0000617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5047" w:rsidRPr="00975853" w:rsidTr="0000617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47" w:rsidRPr="00975853" w:rsidRDefault="000F5047" w:rsidP="0000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5047" w:rsidRPr="00975853" w:rsidRDefault="000F5047" w:rsidP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F5047" w:rsidRPr="00975853" w:rsidRDefault="000F5047" w:rsidP="000F5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97585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0F5047" w:rsidRPr="00975853" w:rsidRDefault="000F5047" w:rsidP="000F5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47" w:rsidRPr="00975853" w:rsidRDefault="000F5047" w:rsidP="000F5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75853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0F5047" w:rsidRPr="00975853" w:rsidRDefault="000F5047" w:rsidP="000F5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975853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6C5" w:rsidRDefault="005A06C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6C5" w:rsidRDefault="005A06C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75853" w:rsidRDefault="00B417A2" w:rsidP="00FB41F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58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</w:p>
    <w:p w:rsidR="00297071" w:rsidRPr="00B00E9C" w:rsidRDefault="005F6256" w:rsidP="00E24DC7">
      <w:pPr>
        <w:tabs>
          <w:tab w:val="num" w:pos="1080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</w:t>
      </w:r>
      <w:r w:rsidR="00B00E9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00617D" w:rsidRPr="00B00E9C">
        <w:rPr>
          <w:rFonts w:ascii="Times New Roman" w:eastAsia="Times New Roman" w:hAnsi="Times New Roman" w:cs="Times New Roman"/>
          <w:b/>
          <w:bCs/>
          <w:lang w:eastAsia="sk-SK"/>
        </w:rPr>
        <w:t xml:space="preserve">MŽP SR </w:t>
      </w:r>
      <w:r w:rsidR="0074582F" w:rsidRPr="00B00E9C">
        <w:rPr>
          <w:rFonts w:ascii="Times New Roman" w:eastAsia="Times New Roman" w:hAnsi="Times New Roman" w:cs="Times New Roman"/>
          <w:b/>
          <w:bCs/>
          <w:lang w:eastAsia="sk-SK"/>
        </w:rPr>
        <w:t>druh 21</w:t>
      </w:r>
    </w:p>
    <w:tbl>
      <w:tblPr>
        <w:tblpPr w:leftFromText="141" w:rightFromText="141" w:vertAnchor="text" w:horzAnchor="margin" w:tblpY="2"/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276"/>
        <w:gridCol w:w="1134"/>
        <w:gridCol w:w="1134"/>
        <w:gridCol w:w="1134"/>
        <w:gridCol w:w="2410"/>
      </w:tblGrid>
      <w:tr w:rsidR="005828B2" w:rsidRPr="00975853" w:rsidTr="0084181B">
        <w:trPr>
          <w:cantSplit/>
          <w:trHeight w:val="255"/>
        </w:trPr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B00E9C" w:rsidRPr="00975853" w:rsidTr="0084181B">
        <w:trPr>
          <w:cantSplit/>
          <w:trHeight w:val="255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65 716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65 716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7606C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65 716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0E9C" w:rsidRPr="00975853" w:rsidTr="0084181B">
        <w:trPr>
          <w:trHeight w:val="619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C" w:rsidRDefault="00B00E9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48 696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4B58B7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PT: tarifa 1429 €, </w:t>
            </w: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osobný príplatok: 600 €, </w:t>
            </w: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priem. funkčný plat 2029 €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17 020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2 -  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641001 transfery PO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975853">
              <w:rPr>
                <w:sz w:val="20"/>
                <w:szCs w:val="20"/>
              </w:rPr>
              <w:t xml:space="preserve"> 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5828B2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7606C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65 716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7606C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65 716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28B2" w:rsidRPr="00975853" w:rsidRDefault="007606C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65 716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828B2" w:rsidRPr="00975853" w:rsidRDefault="005828B2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</w:p>
        </w:tc>
      </w:tr>
    </w:tbl>
    <w:p w:rsidR="000822A7" w:rsidRDefault="00B00E9C" w:rsidP="000822A7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B00E9C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</w:p>
    <w:p w:rsidR="0000617D" w:rsidRPr="00B00E9C" w:rsidRDefault="000822A7" w:rsidP="000822A7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00617D" w:rsidRPr="00B00E9C">
        <w:rPr>
          <w:rFonts w:ascii="Times New Roman" w:eastAsia="Times New Roman" w:hAnsi="Times New Roman" w:cs="Times New Roman"/>
          <w:b/>
          <w:bCs/>
          <w:lang w:eastAsia="sk-SK"/>
        </w:rPr>
        <w:t>MŽP SR (ŠOP SR + správy národných parkov)</w:t>
      </w:r>
      <w:r w:rsidR="0074582F" w:rsidRPr="00B00E9C">
        <w:rPr>
          <w:rFonts w:ascii="Times New Roman" w:eastAsia="Times New Roman" w:hAnsi="Times New Roman" w:cs="Times New Roman"/>
          <w:b/>
          <w:bCs/>
          <w:lang w:eastAsia="sk-SK"/>
        </w:rPr>
        <w:t xml:space="preserve"> druh 22</w:t>
      </w:r>
    </w:p>
    <w:tbl>
      <w:tblPr>
        <w:tblpPr w:leftFromText="141" w:rightFromText="141" w:vertAnchor="text" w:horzAnchor="margin" w:tblpY="74"/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276"/>
        <w:gridCol w:w="1134"/>
        <w:gridCol w:w="1134"/>
        <w:gridCol w:w="1134"/>
        <w:gridCol w:w="2410"/>
      </w:tblGrid>
      <w:tr w:rsidR="00297071" w:rsidRPr="00975853" w:rsidTr="0084181B">
        <w:trPr>
          <w:cantSplit/>
          <w:trHeight w:val="255"/>
        </w:trPr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B00E9C" w:rsidRPr="00975853" w:rsidTr="0084181B">
        <w:trPr>
          <w:cantSplit/>
          <w:trHeight w:val="255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B00E9C" w:rsidRPr="00975853" w:rsidTr="0084181B">
        <w:trPr>
          <w:trHeight w:val="742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C" w:rsidRDefault="00B00E9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00617D" w:rsidRPr="00975853" w:rsidRDefault="0074582F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C" w:rsidRDefault="00B00E9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729</w:t>
            </w:r>
            <w:r w:rsidR="00B00E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C" w:rsidRDefault="00B00E9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729</w:t>
            </w:r>
            <w:r w:rsidR="00B00E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E9C" w:rsidRDefault="00B00E9C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729 945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17D" w:rsidRPr="00975853" w:rsidRDefault="004B58B7" w:rsidP="005F6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PT: tarifa : 1303 €, </w:t>
            </w: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osobný príplatok: 500 €,</w:t>
            </w:r>
            <w:r w:rsidRPr="0097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priem. funkčný plat: 1803 €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7D" w:rsidRPr="00975853" w:rsidRDefault="0074582F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540 900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540 900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540 900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17D" w:rsidRPr="00975853" w:rsidRDefault="0000617D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7D" w:rsidRPr="00975853" w:rsidRDefault="0074582F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189 045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189 045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7D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189 045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17D" w:rsidRPr="00975853" w:rsidRDefault="0000617D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2 -  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641001 transfery PO (ŠOP SR a správy národných parkov)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97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7071" w:rsidRPr="00975853" w:rsidRDefault="00297071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71" w:rsidRPr="00975853" w:rsidRDefault="00297071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00E9C" w:rsidRPr="00975853" w:rsidTr="0084181B">
        <w:trPr>
          <w:trHeight w:val="255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184" w:rsidRPr="00975853" w:rsidRDefault="00247184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184" w:rsidRPr="00975853" w:rsidRDefault="00247184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184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729 945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184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729 945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7184" w:rsidRPr="00975853" w:rsidRDefault="0000617D" w:rsidP="005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729 945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47184" w:rsidRPr="00975853" w:rsidRDefault="00247184" w:rsidP="005F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84181B" w:rsidRDefault="005A06C5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lastRenderedPageBreak/>
        <w:t xml:space="preserve">    </w:t>
      </w:r>
      <w:r w:rsidR="00B00E9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</w:t>
      </w:r>
      <w:r w:rsidR="000822A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</w:t>
      </w:r>
    </w:p>
    <w:p w:rsidR="0084181B" w:rsidRDefault="0084181B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424BEE" w:rsidRDefault="0084181B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 </w:t>
      </w:r>
      <w:r w:rsidR="00424BEE" w:rsidRPr="000822A7">
        <w:rPr>
          <w:rFonts w:ascii="Times New Roman" w:eastAsia="Times New Roman" w:hAnsi="Times New Roman" w:cs="Times New Roman"/>
          <w:b/>
          <w:bCs/>
          <w:lang w:eastAsia="sk-SK"/>
        </w:rPr>
        <w:t>MV SR</w:t>
      </w:r>
    </w:p>
    <w:p w:rsidR="00C67302" w:rsidRPr="000822A7" w:rsidRDefault="00C67302" w:rsidP="00424BEE">
      <w:pPr>
        <w:tabs>
          <w:tab w:val="num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tbl>
      <w:tblPr>
        <w:tblpPr w:leftFromText="141" w:rightFromText="141" w:vertAnchor="text" w:horzAnchor="margin" w:tblpXSpec="center" w:tblpY="63"/>
        <w:tblW w:w="141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134"/>
        <w:gridCol w:w="1134"/>
        <w:gridCol w:w="1134"/>
        <w:gridCol w:w="1134"/>
        <w:gridCol w:w="2124"/>
      </w:tblGrid>
      <w:tr w:rsidR="00C03753" w:rsidRPr="00975853" w:rsidTr="0084181B">
        <w:trPr>
          <w:cantSplit/>
          <w:trHeight w:val="255"/>
        </w:trPr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03753" w:rsidRPr="00975853" w:rsidTr="0084181B">
        <w:trPr>
          <w:cantSplit/>
          <w:trHeight w:val="255"/>
        </w:trPr>
        <w:tc>
          <w:tcPr>
            <w:tcW w:w="7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219 570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219 570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219 570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76 740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59 982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59 982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08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59 982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7 189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7 189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7 189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975853">
              <w:t xml:space="preserve"> 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9758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53" w:rsidRPr="00975853" w:rsidTr="0084181B">
        <w:trPr>
          <w:trHeight w:val="255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943125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3753" w:rsidRPr="00975853" w:rsidRDefault="00C03753" w:rsidP="00C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363 481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03753" w:rsidRPr="00975853" w:rsidRDefault="00C03753" w:rsidP="00C0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24BEE" w:rsidRPr="00975853" w:rsidRDefault="00424BEE" w:rsidP="00424BE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424BEE" w:rsidRDefault="00424BEE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4181B" w:rsidRDefault="000822A7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</w:t>
      </w: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4181B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140C71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</w:t>
      </w:r>
      <w:r w:rsidR="00140C71" w:rsidRPr="000822A7">
        <w:rPr>
          <w:rFonts w:ascii="Times New Roman" w:eastAsia="Times New Roman" w:hAnsi="Times New Roman" w:cs="Times New Roman"/>
          <w:b/>
          <w:bCs/>
          <w:lang w:eastAsia="sk-SK"/>
        </w:rPr>
        <w:t>MPRV SR</w:t>
      </w:r>
      <w:r w:rsidR="006858F1" w:rsidRPr="000822A7">
        <w:rPr>
          <w:rFonts w:ascii="Times New Roman" w:eastAsia="Times New Roman" w:hAnsi="Times New Roman" w:cs="Times New Roman"/>
          <w:b/>
          <w:bCs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</w:t>
      </w:r>
      <w:r w:rsidR="005B45EA">
        <w:rPr>
          <w:rFonts w:ascii="Times New Roman" w:eastAsia="Times New Roman" w:hAnsi="Times New Roman" w:cs="Times New Roman"/>
          <w:b/>
          <w:bCs/>
          <w:lang w:eastAsia="sk-SK"/>
        </w:rPr>
        <w:t>LC)</w:t>
      </w:r>
      <w:r w:rsidR="006C76DB" w:rsidRPr="000822A7">
        <w:rPr>
          <w:rFonts w:ascii="Times New Roman" w:eastAsia="Times New Roman" w:hAnsi="Times New Roman" w:cs="Times New Roman"/>
          <w:b/>
          <w:bCs/>
          <w:lang w:eastAsia="sk-SK"/>
        </w:rPr>
        <w:t xml:space="preserve"> druh 22</w:t>
      </w:r>
    </w:p>
    <w:p w:rsidR="00C67302" w:rsidRPr="000822A7" w:rsidRDefault="00C67302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tbl>
      <w:tblPr>
        <w:tblpPr w:leftFromText="141" w:rightFromText="141" w:vertAnchor="text" w:horzAnchor="margin" w:tblpXSpec="center" w:tblpY="63"/>
        <w:tblW w:w="14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275"/>
        <w:gridCol w:w="1276"/>
        <w:gridCol w:w="1204"/>
        <w:gridCol w:w="3969"/>
      </w:tblGrid>
      <w:tr w:rsidR="000E2601" w:rsidRPr="000822A7" w:rsidTr="000E0D0C">
        <w:trPr>
          <w:cantSplit/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E2601" w:rsidRPr="000822A7" w:rsidTr="000E0D0C">
        <w:trPr>
          <w:cantSplit/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71" w:rsidRPr="000822A7" w:rsidRDefault="00140C71" w:rsidP="00D0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71" w:rsidRPr="000822A7" w:rsidRDefault="00140C71" w:rsidP="00D0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1" w:rsidRPr="000822A7" w:rsidRDefault="00140C71" w:rsidP="00D0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71" w:rsidRPr="000822A7" w:rsidRDefault="00140C71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71" w:rsidRPr="000822A7" w:rsidRDefault="008E0FE7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515 315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71" w:rsidRPr="000822A7" w:rsidRDefault="008E0FE7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1 088 21</w:t>
            </w:r>
            <w:r w:rsidR="00FC3AB0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71" w:rsidRPr="000822A7" w:rsidRDefault="007413E0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 </w:t>
            </w:r>
            <w:r w:rsidR="00A20D6A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0E2601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C71" w:rsidRPr="000822A7" w:rsidRDefault="00140C71" w:rsidP="00D0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8E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A20D6A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32181" w:rsidP="0074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3F2CD9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2C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F2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3F2C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32181" w:rsidRPr="003F2C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641001 Transfery príspevkovej organizácií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0822A7" w:rsidRDefault="00032181" w:rsidP="006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0822A7" w:rsidRDefault="00032181" w:rsidP="006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515 315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0822A7" w:rsidRDefault="00032181" w:rsidP="006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1 088 217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0822A7" w:rsidRDefault="00032181" w:rsidP="006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1 400</w:t>
            </w:r>
            <w:r w:rsid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D0C" w:rsidRPr="000E0D0C" w:rsidRDefault="000E0D0C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očíta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 existujúcimi zamestnanci NLC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567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pre rok 2024 sa počíta s 20 zamestnancami a pre rok 2025 sa počíta so 4 zamestnancami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a navýšením ich miezd s ohľadom na to, že nebudú môcť vykonávať inú (</w:t>
            </w:r>
            <w:r w:rsidRPr="00567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napr. komerčnú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567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 </w:t>
            </w:r>
            <w:r w:rsidRPr="005677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činnosť. </w:t>
            </w:r>
          </w:p>
          <w:p w:rsidR="00643E5E" w:rsidRPr="000E0D0C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 xml:space="preserve">Pre rok 2024: </w:t>
            </w:r>
          </w:p>
          <w:p w:rsidR="000E2601" w:rsidRPr="000E0D0C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zamestn</w:t>
            </w:r>
            <w:r w:rsidR="005B45EA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ancov</w:t>
            </w:r>
            <w:r w:rsidR="0084181B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NLC, mzdy: 381 150 eur</w:t>
            </w:r>
            <w:r w:rsidR="009C4ED6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(priemerka 1588 eur)</w:t>
            </w: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poistné: 134 165 eur;</w:t>
            </w:r>
          </w:p>
          <w:p w:rsidR="00643E5E" w:rsidRPr="000E0D0C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 xml:space="preserve">Pre rok 2025: </w:t>
            </w:r>
          </w:p>
          <w:p w:rsidR="00643E5E" w:rsidRPr="000E0D0C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zamestn</w:t>
            </w:r>
            <w:r w:rsidR="005B45EA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ancov</w:t>
            </w:r>
            <w:r w:rsidR="0084181B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NLC, mzdy: 80 042 eur</w:t>
            </w:r>
            <w:r w:rsidR="009C4ED6"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(priemerka 1667 eur)</w:t>
            </w: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poistné: 28 175 eur. Odborne spôsobilé osoby – externí: objem 980 000 eur;</w:t>
            </w:r>
          </w:p>
          <w:p w:rsidR="00643E5E" w:rsidRPr="000E0D0C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Pre rok 2026:</w:t>
            </w:r>
          </w:p>
          <w:p w:rsidR="00643E5E" w:rsidRPr="000822A7" w:rsidRDefault="00643E5E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0D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Odborne spôsobilé osoby – externí: objem 1 400 000 eur.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0822A7">
              <w:t xml:space="preserve"> 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082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2601" w:rsidRPr="000822A7" w:rsidTr="000E0D0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601" w:rsidRPr="000822A7" w:rsidRDefault="000E2601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601" w:rsidRPr="000822A7" w:rsidRDefault="008E0FE7" w:rsidP="008E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515 315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601" w:rsidRPr="000822A7" w:rsidRDefault="008E0FE7" w:rsidP="00D0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1 088 21</w:t>
            </w:r>
            <w:r w:rsidR="00FC3AB0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601" w:rsidRPr="000822A7" w:rsidRDefault="007413E0" w:rsidP="000E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 </w:t>
            </w:r>
            <w:r w:rsidR="00A20D6A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0E2601" w:rsidRPr="0008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E2601" w:rsidRPr="000822A7" w:rsidRDefault="000E2601" w:rsidP="000E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4181B" w:rsidRPr="00B14AD5" w:rsidRDefault="0084181B" w:rsidP="0084181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</w:t>
      </w: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140C71" w:rsidRPr="000822A7" w:rsidRDefault="00140C71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140C71" w:rsidRPr="00975853" w:rsidRDefault="00140C71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424BEE" w:rsidRPr="00975853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</w:t>
      </w:r>
      <w:r w:rsidR="00424BEE" w:rsidRPr="00975853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424BEE" w:rsidRPr="00975853" w:rsidRDefault="0084181B" w:rsidP="00424BE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         </w:t>
      </w:r>
      <w:r w:rsidR="00424BEE" w:rsidRPr="00975853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424BEE" w:rsidRPr="00975853" w:rsidRDefault="00424BE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20625" w:type="dxa"/>
        <w:tblInd w:w="-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5"/>
        <w:gridCol w:w="1698"/>
        <w:gridCol w:w="2352"/>
        <w:gridCol w:w="990"/>
      </w:tblGrid>
      <w:tr w:rsidR="007D5748" w:rsidRPr="007D5748" w:rsidTr="00CA3309">
        <w:trPr>
          <w:trHeight w:val="255"/>
        </w:trPr>
        <w:tc>
          <w:tcPr>
            <w:tcW w:w="15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3309" w:rsidRPr="00975853" w:rsidRDefault="00FB41FC" w:rsidP="00FB41FC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T</w:t>
            </w:r>
            <w:r w:rsidR="00CA3309" w:rsidRPr="00975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abuľka č. 5 </w:t>
            </w:r>
          </w:p>
          <w:p w:rsidR="004F4D12" w:rsidRPr="00975853" w:rsidRDefault="00CA3309" w:rsidP="00E24DC7">
            <w:pPr>
              <w:tabs>
                <w:tab w:val="num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           </w:t>
            </w:r>
          </w:p>
          <w:p w:rsidR="0084181B" w:rsidRDefault="0084181B" w:rsidP="004F4D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     </w:t>
            </w:r>
            <w:r w:rsidR="00C673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   </w:t>
            </w:r>
            <w:r w:rsidR="005828B2"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MŽP SR</w:t>
            </w:r>
          </w:p>
          <w:p w:rsidR="0000617D" w:rsidRPr="0084181B" w:rsidRDefault="005828B2" w:rsidP="004F4D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</w:p>
          <w:tbl>
            <w:tblPr>
              <w:tblW w:w="14176" w:type="dxa"/>
              <w:tblInd w:w="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1"/>
              <w:gridCol w:w="1583"/>
              <w:gridCol w:w="1788"/>
              <w:gridCol w:w="1873"/>
              <w:gridCol w:w="1843"/>
              <w:gridCol w:w="1418"/>
            </w:tblGrid>
            <w:tr w:rsidR="005828B2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Zamestnanosť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Vplyv na rozpočet verejnej správy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poznámka</w:t>
                  </w:r>
                </w:p>
              </w:tc>
            </w:tr>
            <w:tr w:rsidR="005828B2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2024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2026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Počet zamestnancov celkom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943125" w:rsidP="009431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Priemerný mzdový výdavok (v eurách)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4B58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4B58B7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Osobné výdavky celkom (v eurách)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65 716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65 716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65 716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Mzdy, platy, služobné príjmy a ostatné osobné vyrovnania (610)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706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48 69</w:t>
                  </w:r>
                  <w:r w:rsidR="00706BA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Poistné a príspevok do poisťovní (620)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5828B2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B2" w:rsidRPr="00975853" w:rsidRDefault="00943125" w:rsidP="00582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17 020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:rsidR="00C67302" w:rsidRPr="00975853" w:rsidRDefault="00C6730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828B2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828B2" w:rsidRPr="00975853" w:rsidRDefault="005828B2" w:rsidP="00582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00617D" w:rsidRDefault="0084181B" w:rsidP="0000617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   </w:t>
            </w:r>
            <w:r w:rsidR="00C6730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 </w:t>
            </w:r>
            <w:r w:rsidR="0000617D"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MŽP SR (ŠOP SR + správy národných parkov)</w:t>
            </w:r>
          </w:p>
          <w:p w:rsidR="0084181B" w:rsidRPr="0084181B" w:rsidRDefault="0084181B" w:rsidP="0000617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  <w:tbl>
            <w:tblPr>
              <w:tblW w:w="14176" w:type="dxa"/>
              <w:tblInd w:w="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1"/>
              <w:gridCol w:w="1583"/>
              <w:gridCol w:w="1788"/>
              <w:gridCol w:w="720"/>
              <w:gridCol w:w="1153"/>
              <w:gridCol w:w="545"/>
              <w:gridCol w:w="1298"/>
              <w:gridCol w:w="1054"/>
              <w:gridCol w:w="364"/>
            </w:tblGrid>
            <w:tr w:rsidR="004F4D12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Zamestnanosť</w:t>
                  </w:r>
                </w:p>
              </w:tc>
              <w:tc>
                <w:tcPr>
                  <w:tcW w:w="70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Vplyv na rozpočet verejnej správy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poznámka</w:t>
                  </w:r>
                </w:p>
              </w:tc>
            </w:tr>
            <w:tr w:rsidR="004F4D12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4F4D12" w:rsidRPr="00975853" w:rsidRDefault="004F4D12" w:rsidP="004F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4D12" w:rsidRPr="00975853" w:rsidRDefault="004F4D12" w:rsidP="004F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2026</w:t>
                  </w: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4F4D12" w:rsidRPr="00975853" w:rsidRDefault="004F4D12" w:rsidP="004F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Počet zamestnancov celkom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7606CC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25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06E6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006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Priemerný mzdový výdavok (v eurách)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5260E9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606CC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006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606CC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606CC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E66" w:rsidRPr="00975853" w:rsidRDefault="00006E66" w:rsidP="00006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006E6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006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5260E9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760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606CC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006E66" w:rsidP="00006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606CC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6E66" w:rsidRPr="00975853" w:rsidRDefault="007606CC" w:rsidP="00006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="00006E66" w:rsidRPr="00975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6E66" w:rsidRPr="00975853" w:rsidRDefault="00006E66" w:rsidP="00006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29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Osobné výdavky celkom (v eurách)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01146" w:rsidRPr="00975853" w:rsidRDefault="008D22DF" w:rsidP="008D22D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729 945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729 945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729 945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Mzdy, platy, služobné príjmy a ostatné osobné vyrovnania (610)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171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171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540 900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Poistné a príspevok do poisťovní (620)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171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201146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5260E9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201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146" w:rsidRPr="00975853" w:rsidRDefault="008D22DF" w:rsidP="00171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189 045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1146" w:rsidRPr="00975853" w:rsidRDefault="00201146" w:rsidP="002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D8316D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D8316D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D8316D" w:rsidRPr="00975853" w:rsidTr="00C67302">
              <w:trPr>
                <w:trHeight w:val="255"/>
              </w:trPr>
              <w:tc>
                <w:tcPr>
                  <w:tcW w:w="127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D8316D" w:rsidRPr="00975853" w:rsidTr="00C67302">
              <w:trPr>
                <w:trHeight w:val="255"/>
              </w:trPr>
              <w:tc>
                <w:tcPr>
                  <w:tcW w:w="97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8316D" w:rsidRPr="00975853" w:rsidRDefault="00D8316D" w:rsidP="00D83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4B58B7" w:rsidRPr="00975853" w:rsidRDefault="004B58B7" w:rsidP="00CA330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</w:pPr>
          </w:p>
          <w:p w:rsidR="001A1880" w:rsidRPr="0084181B" w:rsidRDefault="0084181B" w:rsidP="00CA330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     </w:t>
            </w:r>
            <w:r w:rsidR="00C673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   </w:t>
            </w:r>
            <w:r w:rsidR="00943125"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MV </w:t>
            </w:r>
            <w:r w:rsidR="00CA3309" w:rsidRPr="008418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SR</w:t>
            </w:r>
          </w:p>
          <w:p w:rsidR="00CA3309" w:rsidRPr="00975853" w:rsidRDefault="00CA3309" w:rsidP="00CA330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</w:pPr>
            <w:r w:rsidRPr="0097585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</w:t>
            </w:r>
          </w:p>
          <w:tbl>
            <w:tblPr>
              <w:tblW w:w="14176" w:type="dxa"/>
              <w:tblInd w:w="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1"/>
              <w:gridCol w:w="1583"/>
              <w:gridCol w:w="1788"/>
              <w:gridCol w:w="720"/>
              <w:gridCol w:w="1153"/>
              <w:gridCol w:w="545"/>
              <w:gridCol w:w="1298"/>
              <w:gridCol w:w="1054"/>
              <w:gridCol w:w="364"/>
            </w:tblGrid>
            <w:tr w:rsidR="00CA3309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A3309" w:rsidRPr="00975853" w:rsidRDefault="00CA3309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Zamestnanosť</w:t>
                  </w:r>
                </w:p>
              </w:tc>
              <w:tc>
                <w:tcPr>
                  <w:tcW w:w="70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CA3309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Vplyv na rozpočet verejnej správy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CA3309" w:rsidRPr="00975853" w:rsidRDefault="00CA3309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poznámka</w:t>
                  </w:r>
                </w:p>
              </w:tc>
            </w:tr>
            <w:tr w:rsidR="00CA3309" w:rsidRPr="00975853" w:rsidTr="00C67302">
              <w:trPr>
                <w:cantSplit/>
                <w:trHeight w:val="255"/>
              </w:trPr>
              <w:tc>
                <w:tcPr>
                  <w:tcW w:w="5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D87812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D87812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D87812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D87812" w:rsidP="00CA3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2026</w:t>
                  </w: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Počet zamestnancov celkom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F87C13" w:rsidP="00F96B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</w:t>
                  </w:r>
                  <w:r w:rsidR="00F96BDD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Priemerný mzdový výdavok (v eurách)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981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981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1 408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Osobné výdavky celkom (v eurách)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943125" w:rsidP="00C9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C109E9" w:rsidP="00C9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932C1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296 310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C109E9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932C1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296 310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A3309" w:rsidRPr="00975853" w:rsidRDefault="00C109E9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C932C1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296 310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Mzdy, platy, služobné príjmy a ostatné osobné vyrovnania (610)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109E9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BB53F6"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219 570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Poistné a príspevok do poisťovní (620)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76 740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76 740 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76 740 </w:t>
                  </w:r>
                  <w:r w:rsidR="00C109E9"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  z toho vplyv na ŠR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943125" w:rsidP="004E4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76 740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76 740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3309" w:rsidRPr="00975853" w:rsidRDefault="00BB53F6" w:rsidP="00BA5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76 740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Poznámky:</w:t>
                  </w:r>
                </w:p>
                <w:p w:rsidR="00BF20BD" w:rsidRPr="00975853" w:rsidRDefault="00BF20BD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A3309" w:rsidRPr="00975853" w:rsidTr="00C67302">
              <w:trPr>
                <w:trHeight w:val="255"/>
              </w:trPr>
              <w:tc>
                <w:tcPr>
                  <w:tcW w:w="127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A3309" w:rsidRPr="00975853" w:rsidRDefault="00CA3309" w:rsidP="009819D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sz w:val="20"/>
                      <w:szCs w:val="20"/>
                      <w:lang w:eastAsia="sk-SK"/>
                    </w:rPr>
      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      </w:r>
                </w:p>
                <w:p w:rsidR="00CA3309" w:rsidRPr="00975853" w:rsidRDefault="00CA3309" w:rsidP="009819D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hAnsi="Times New Roman" w:cs="Times New Roman"/>
                      <w:sz w:val="20"/>
                      <w:szCs w:val="20"/>
                      <w:lang w:eastAsia="sk-SK"/>
                    </w:rPr>
                    <w:t>Priemerný mzdový výdavok je tvorený podielom mzdových výdavkov na jedného zamestnanca na jeden kalendárny mesiac bežného roka.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75853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A3309" w:rsidRPr="00943125" w:rsidTr="00C67302">
              <w:trPr>
                <w:trHeight w:val="255"/>
              </w:trPr>
              <w:tc>
                <w:tcPr>
                  <w:tcW w:w="97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43125" w:rsidRDefault="00CA3309" w:rsidP="009D3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975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Kategórie 610 a 620 sú z tejto prílohy prenášané do príslušných kategórií prílohy „výdavky“.</w:t>
                  </w:r>
                </w:p>
                <w:p w:rsidR="009D3930" w:rsidRPr="00943125" w:rsidRDefault="009D3930" w:rsidP="009D3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43125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43125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A3309" w:rsidRPr="00943125" w:rsidRDefault="00CA3309" w:rsidP="00CA3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CA3309" w:rsidRPr="007D5748" w:rsidRDefault="00CA330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 w:rsidP="006B3568"/>
    <w:sectPr w:rsidR="00CB3623" w:rsidSect="004B58B7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72" w:rsidRDefault="00A43F72">
      <w:pPr>
        <w:spacing w:after="0" w:line="240" w:lineRule="auto"/>
      </w:pPr>
      <w:r>
        <w:separator/>
      </w:r>
    </w:p>
  </w:endnote>
  <w:endnote w:type="continuationSeparator" w:id="0">
    <w:p w:rsidR="00A43F72" w:rsidRDefault="00A4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Default="0075295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F2CD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2CD9">
      <w:rPr>
        <w:rStyle w:val="slostrany"/>
        <w:noProof/>
      </w:rPr>
      <w:t>10</w:t>
    </w:r>
    <w:r>
      <w:rPr>
        <w:rStyle w:val="slostrany"/>
      </w:rPr>
      <w:fldChar w:fldCharType="end"/>
    </w:r>
  </w:p>
  <w:p w:rsidR="003F2CD9" w:rsidRDefault="003F2CD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Default="00752953">
    <w:pPr>
      <w:pStyle w:val="Pta"/>
      <w:jc w:val="right"/>
    </w:pPr>
    <w:r>
      <w:fldChar w:fldCharType="begin"/>
    </w:r>
    <w:r w:rsidR="003F2CD9">
      <w:instrText>PAGE   \* MERGEFORMAT</w:instrText>
    </w:r>
    <w:r>
      <w:fldChar w:fldCharType="separate"/>
    </w:r>
    <w:r w:rsidR="00F61649">
      <w:rPr>
        <w:noProof/>
      </w:rPr>
      <w:t>1</w:t>
    </w:r>
    <w:r>
      <w:rPr>
        <w:noProof/>
      </w:rPr>
      <w:fldChar w:fldCharType="end"/>
    </w:r>
  </w:p>
  <w:p w:rsidR="003F2CD9" w:rsidRDefault="003F2CD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Default="00752953">
    <w:pPr>
      <w:pStyle w:val="Pta"/>
      <w:jc w:val="right"/>
    </w:pPr>
    <w:r>
      <w:fldChar w:fldCharType="begin"/>
    </w:r>
    <w:r w:rsidR="003F2CD9">
      <w:instrText>PAGE   \* MERGEFORMAT</w:instrText>
    </w:r>
    <w:r>
      <w:fldChar w:fldCharType="separate"/>
    </w:r>
    <w:r w:rsidR="003F2CD9">
      <w:rPr>
        <w:noProof/>
      </w:rPr>
      <w:t>0</w:t>
    </w:r>
    <w:r>
      <w:rPr>
        <w:noProof/>
      </w:rPr>
      <w:fldChar w:fldCharType="end"/>
    </w:r>
  </w:p>
  <w:p w:rsidR="003F2CD9" w:rsidRDefault="003F2C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72" w:rsidRDefault="00A43F72">
      <w:pPr>
        <w:spacing w:after="0" w:line="240" w:lineRule="auto"/>
      </w:pPr>
      <w:r>
        <w:separator/>
      </w:r>
    </w:p>
  </w:footnote>
  <w:footnote w:type="continuationSeparator" w:id="0">
    <w:p w:rsidR="00A43F72" w:rsidRDefault="00A4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Default="003F2CD9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3F2CD9" w:rsidRPr="00EB59C8" w:rsidRDefault="003F2CD9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Pr="0024067A" w:rsidRDefault="003F2CD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D9" w:rsidRPr="000A15AE" w:rsidRDefault="003F2CD9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272"/>
    <w:multiLevelType w:val="hybridMultilevel"/>
    <w:tmpl w:val="9CC4B33A"/>
    <w:lvl w:ilvl="0" w:tplc="09C4F78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564"/>
    <w:multiLevelType w:val="hybridMultilevel"/>
    <w:tmpl w:val="1DBE8540"/>
    <w:lvl w:ilvl="0" w:tplc="E4DEB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0D6C"/>
    <w:rsid w:val="00001B5A"/>
    <w:rsid w:val="0000530A"/>
    <w:rsid w:val="0000617D"/>
    <w:rsid w:val="00006E66"/>
    <w:rsid w:val="000231E3"/>
    <w:rsid w:val="00032181"/>
    <w:rsid w:val="000330D7"/>
    <w:rsid w:val="00033ABE"/>
    <w:rsid w:val="0003409F"/>
    <w:rsid w:val="00035EB6"/>
    <w:rsid w:val="00055AE8"/>
    <w:rsid w:val="00057135"/>
    <w:rsid w:val="000574B8"/>
    <w:rsid w:val="000741E3"/>
    <w:rsid w:val="000822A7"/>
    <w:rsid w:val="000A0B66"/>
    <w:rsid w:val="000A1BA6"/>
    <w:rsid w:val="000A453C"/>
    <w:rsid w:val="000A54B2"/>
    <w:rsid w:val="000A7C75"/>
    <w:rsid w:val="000B09ED"/>
    <w:rsid w:val="000C0D40"/>
    <w:rsid w:val="000D5469"/>
    <w:rsid w:val="000D74F2"/>
    <w:rsid w:val="000E0D0C"/>
    <w:rsid w:val="000E2601"/>
    <w:rsid w:val="000E28FF"/>
    <w:rsid w:val="000F5047"/>
    <w:rsid w:val="00106420"/>
    <w:rsid w:val="001127A8"/>
    <w:rsid w:val="00121680"/>
    <w:rsid w:val="00140C71"/>
    <w:rsid w:val="00144ECD"/>
    <w:rsid w:val="00160BE3"/>
    <w:rsid w:val="00170D2B"/>
    <w:rsid w:val="00171783"/>
    <w:rsid w:val="00171796"/>
    <w:rsid w:val="00173E01"/>
    <w:rsid w:val="001A1880"/>
    <w:rsid w:val="001B1CFE"/>
    <w:rsid w:val="001C3F0A"/>
    <w:rsid w:val="001C53ED"/>
    <w:rsid w:val="001D35CC"/>
    <w:rsid w:val="00200898"/>
    <w:rsid w:val="00201146"/>
    <w:rsid w:val="00212894"/>
    <w:rsid w:val="00214788"/>
    <w:rsid w:val="00220202"/>
    <w:rsid w:val="00223CBC"/>
    <w:rsid w:val="002330FB"/>
    <w:rsid w:val="00240B72"/>
    <w:rsid w:val="00247184"/>
    <w:rsid w:val="0028389B"/>
    <w:rsid w:val="00297071"/>
    <w:rsid w:val="002A0D90"/>
    <w:rsid w:val="002A6AEC"/>
    <w:rsid w:val="002B61AF"/>
    <w:rsid w:val="002C112D"/>
    <w:rsid w:val="002C4895"/>
    <w:rsid w:val="002C53F0"/>
    <w:rsid w:val="002D4B75"/>
    <w:rsid w:val="002D5AF9"/>
    <w:rsid w:val="002E75F2"/>
    <w:rsid w:val="002F129C"/>
    <w:rsid w:val="003003F6"/>
    <w:rsid w:val="003044BD"/>
    <w:rsid w:val="003071D0"/>
    <w:rsid w:val="00317B90"/>
    <w:rsid w:val="0033396C"/>
    <w:rsid w:val="00333E73"/>
    <w:rsid w:val="00344E6F"/>
    <w:rsid w:val="003468BE"/>
    <w:rsid w:val="00374800"/>
    <w:rsid w:val="00384516"/>
    <w:rsid w:val="003975BA"/>
    <w:rsid w:val="003A47D6"/>
    <w:rsid w:val="003B27AA"/>
    <w:rsid w:val="003C5B34"/>
    <w:rsid w:val="003E0EB9"/>
    <w:rsid w:val="003F2CD9"/>
    <w:rsid w:val="003F7A04"/>
    <w:rsid w:val="00400FD7"/>
    <w:rsid w:val="0040331F"/>
    <w:rsid w:val="00413406"/>
    <w:rsid w:val="00415DB4"/>
    <w:rsid w:val="00424BEE"/>
    <w:rsid w:val="00425533"/>
    <w:rsid w:val="004265CB"/>
    <w:rsid w:val="00436EB8"/>
    <w:rsid w:val="00443ED2"/>
    <w:rsid w:val="004624D0"/>
    <w:rsid w:val="004731FD"/>
    <w:rsid w:val="00483DD8"/>
    <w:rsid w:val="00487203"/>
    <w:rsid w:val="004A4F75"/>
    <w:rsid w:val="004A7CFC"/>
    <w:rsid w:val="004B2453"/>
    <w:rsid w:val="004B58B7"/>
    <w:rsid w:val="004C1FBB"/>
    <w:rsid w:val="004C2865"/>
    <w:rsid w:val="004C4108"/>
    <w:rsid w:val="004E325F"/>
    <w:rsid w:val="004E4AE8"/>
    <w:rsid w:val="004E591E"/>
    <w:rsid w:val="004F4D12"/>
    <w:rsid w:val="005005EC"/>
    <w:rsid w:val="005260E9"/>
    <w:rsid w:val="00543050"/>
    <w:rsid w:val="005609E7"/>
    <w:rsid w:val="00574F74"/>
    <w:rsid w:val="00576426"/>
    <w:rsid w:val="005828B2"/>
    <w:rsid w:val="00592174"/>
    <w:rsid w:val="005A06C5"/>
    <w:rsid w:val="005B45EA"/>
    <w:rsid w:val="005B492E"/>
    <w:rsid w:val="005D49F8"/>
    <w:rsid w:val="005F6256"/>
    <w:rsid w:val="005F790A"/>
    <w:rsid w:val="00610DE3"/>
    <w:rsid w:val="00614C55"/>
    <w:rsid w:val="00616589"/>
    <w:rsid w:val="00643E5E"/>
    <w:rsid w:val="00651A11"/>
    <w:rsid w:val="0065366A"/>
    <w:rsid w:val="006652BE"/>
    <w:rsid w:val="00665D81"/>
    <w:rsid w:val="00676640"/>
    <w:rsid w:val="006822CF"/>
    <w:rsid w:val="00683232"/>
    <w:rsid w:val="006858F1"/>
    <w:rsid w:val="00693A5F"/>
    <w:rsid w:val="00695E49"/>
    <w:rsid w:val="006B31D0"/>
    <w:rsid w:val="006B3568"/>
    <w:rsid w:val="006C6012"/>
    <w:rsid w:val="006C76DB"/>
    <w:rsid w:val="006F1812"/>
    <w:rsid w:val="006F26DA"/>
    <w:rsid w:val="007003D9"/>
    <w:rsid w:val="0070609F"/>
    <w:rsid w:val="00706BAC"/>
    <w:rsid w:val="007246BD"/>
    <w:rsid w:val="007247BB"/>
    <w:rsid w:val="007261DE"/>
    <w:rsid w:val="007413E0"/>
    <w:rsid w:val="0074582F"/>
    <w:rsid w:val="0075105C"/>
    <w:rsid w:val="00752953"/>
    <w:rsid w:val="007606CC"/>
    <w:rsid w:val="007A37F8"/>
    <w:rsid w:val="007A4DCF"/>
    <w:rsid w:val="007A7850"/>
    <w:rsid w:val="007B680F"/>
    <w:rsid w:val="007C2ABA"/>
    <w:rsid w:val="007C66DB"/>
    <w:rsid w:val="007D5748"/>
    <w:rsid w:val="007D68D1"/>
    <w:rsid w:val="007F59D0"/>
    <w:rsid w:val="007F7A3A"/>
    <w:rsid w:val="0080249F"/>
    <w:rsid w:val="008072B7"/>
    <w:rsid w:val="0084181B"/>
    <w:rsid w:val="0086532B"/>
    <w:rsid w:val="0089666E"/>
    <w:rsid w:val="008967C8"/>
    <w:rsid w:val="008A1D78"/>
    <w:rsid w:val="008A6766"/>
    <w:rsid w:val="008B5B29"/>
    <w:rsid w:val="008C479A"/>
    <w:rsid w:val="008D22DF"/>
    <w:rsid w:val="008D339D"/>
    <w:rsid w:val="008E0FE7"/>
    <w:rsid w:val="008E2736"/>
    <w:rsid w:val="008E2D65"/>
    <w:rsid w:val="00926B97"/>
    <w:rsid w:val="00931365"/>
    <w:rsid w:val="00932751"/>
    <w:rsid w:val="00943125"/>
    <w:rsid w:val="0096373C"/>
    <w:rsid w:val="009706B7"/>
    <w:rsid w:val="00972A45"/>
    <w:rsid w:val="00975853"/>
    <w:rsid w:val="009819DF"/>
    <w:rsid w:val="0098553A"/>
    <w:rsid w:val="00992E1A"/>
    <w:rsid w:val="009B4431"/>
    <w:rsid w:val="009B6CC3"/>
    <w:rsid w:val="009C4ED6"/>
    <w:rsid w:val="009D3930"/>
    <w:rsid w:val="009D46CF"/>
    <w:rsid w:val="009E031E"/>
    <w:rsid w:val="009E7D76"/>
    <w:rsid w:val="009F6BDE"/>
    <w:rsid w:val="009F6E57"/>
    <w:rsid w:val="009F7797"/>
    <w:rsid w:val="00A15601"/>
    <w:rsid w:val="00A16D38"/>
    <w:rsid w:val="00A20D6A"/>
    <w:rsid w:val="00A43F72"/>
    <w:rsid w:val="00A47CCA"/>
    <w:rsid w:val="00A77670"/>
    <w:rsid w:val="00A93CC0"/>
    <w:rsid w:val="00AA03A9"/>
    <w:rsid w:val="00AB78F9"/>
    <w:rsid w:val="00AC58AD"/>
    <w:rsid w:val="00AD1977"/>
    <w:rsid w:val="00AD3164"/>
    <w:rsid w:val="00B00E9C"/>
    <w:rsid w:val="00B02E07"/>
    <w:rsid w:val="00B417A2"/>
    <w:rsid w:val="00B47C9A"/>
    <w:rsid w:val="00B524BF"/>
    <w:rsid w:val="00B5535C"/>
    <w:rsid w:val="00B76423"/>
    <w:rsid w:val="00B767FE"/>
    <w:rsid w:val="00B84674"/>
    <w:rsid w:val="00BA3716"/>
    <w:rsid w:val="00BA5959"/>
    <w:rsid w:val="00BB53F6"/>
    <w:rsid w:val="00BB7961"/>
    <w:rsid w:val="00BC5AB0"/>
    <w:rsid w:val="00BD0A0C"/>
    <w:rsid w:val="00BE11F7"/>
    <w:rsid w:val="00BE2145"/>
    <w:rsid w:val="00BE5AA8"/>
    <w:rsid w:val="00BE6C08"/>
    <w:rsid w:val="00BF20BD"/>
    <w:rsid w:val="00C03753"/>
    <w:rsid w:val="00C109E9"/>
    <w:rsid w:val="00C14BD6"/>
    <w:rsid w:val="00C15212"/>
    <w:rsid w:val="00C25CD4"/>
    <w:rsid w:val="00C2633F"/>
    <w:rsid w:val="00C507F9"/>
    <w:rsid w:val="00C51FD4"/>
    <w:rsid w:val="00C6109C"/>
    <w:rsid w:val="00C67302"/>
    <w:rsid w:val="00C70FF7"/>
    <w:rsid w:val="00C740FC"/>
    <w:rsid w:val="00C82161"/>
    <w:rsid w:val="00C83823"/>
    <w:rsid w:val="00C873B3"/>
    <w:rsid w:val="00C91F13"/>
    <w:rsid w:val="00C932C1"/>
    <w:rsid w:val="00CA2B36"/>
    <w:rsid w:val="00CA3309"/>
    <w:rsid w:val="00CB294B"/>
    <w:rsid w:val="00CB3623"/>
    <w:rsid w:val="00CC0F40"/>
    <w:rsid w:val="00CE299A"/>
    <w:rsid w:val="00CF48ED"/>
    <w:rsid w:val="00CF552B"/>
    <w:rsid w:val="00CF6D9B"/>
    <w:rsid w:val="00D00245"/>
    <w:rsid w:val="00D065D7"/>
    <w:rsid w:val="00D10755"/>
    <w:rsid w:val="00D1714C"/>
    <w:rsid w:val="00D43607"/>
    <w:rsid w:val="00D52C6F"/>
    <w:rsid w:val="00D67EFE"/>
    <w:rsid w:val="00D8316D"/>
    <w:rsid w:val="00D87812"/>
    <w:rsid w:val="00D95588"/>
    <w:rsid w:val="00D96C4A"/>
    <w:rsid w:val="00DC4C66"/>
    <w:rsid w:val="00DE5BF1"/>
    <w:rsid w:val="00DF0A35"/>
    <w:rsid w:val="00DF5F8E"/>
    <w:rsid w:val="00E01592"/>
    <w:rsid w:val="00E07CE9"/>
    <w:rsid w:val="00E1755C"/>
    <w:rsid w:val="00E2042A"/>
    <w:rsid w:val="00E24DC7"/>
    <w:rsid w:val="00E50811"/>
    <w:rsid w:val="00E5716E"/>
    <w:rsid w:val="00E723C5"/>
    <w:rsid w:val="00E84750"/>
    <w:rsid w:val="00E963A3"/>
    <w:rsid w:val="00EA1E90"/>
    <w:rsid w:val="00EA4FC4"/>
    <w:rsid w:val="00EA54BC"/>
    <w:rsid w:val="00EA7CD2"/>
    <w:rsid w:val="00EB4477"/>
    <w:rsid w:val="00EC768E"/>
    <w:rsid w:val="00ED6F5A"/>
    <w:rsid w:val="00EF4B63"/>
    <w:rsid w:val="00F11935"/>
    <w:rsid w:val="00F12A38"/>
    <w:rsid w:val="00F13459"/>
    <w:rsid w:val="00F213B5"/>
    <w:rsid w:val="00F22996"/>
    <w:rsid w:val="00F30536"/>
    <w:rsid w:val="00F34225"/>
    <w:rsid w:val="00F3468F"/>
    <w:rsid w:val="00F34D17"/>
    <w:rsid w:val="00F40136"/>
    <w:rsid w:val="00F40F98"/>
    <w:rsid w:val="00F47016"/>
    <w:rsid w:val="00F5556C"/>
    <w:rsid w:val="00F5772F"/>
    <w:rsid w:val="00F57DB9"/>
    <w:rsid w:val="00F61649"/>
    <w:rsid w:val="00F808B7"/>
    <w:rsid w:val="00F86444"/>
    <w:rsid w:val="00F87C13"/>
    <w:rsid w:val="00F900E8"/>
    <w:rsid w:val="00F96BDD"/>
    <w:rsid w:val="00FA063B"/>
    <w:rsid w:val="00FA1E31"/>
    <w:rsid w:val="00FB41FC"/>
    <w:rsid w:val="00FB76D7"/>
    <w:rsid w:val="00FC3AB0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64AB-AE9F-4F43-8140-EC81885C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78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24B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204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04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04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4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42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74800"/>
    <w:pPr>
      <w:spacing w:after="0" w:line="240" w:lineRule="auto"/>
    </w:pPr>
  </w:style>
  <w:style w:type="paragraph" w:styleId="Bezriadkovania">
    <w:name w:val="No Spacing"/>
    <w:uiPriority w:val="1"/>
    <w:qFormat/>
    <w:rsid w:val="0098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analyza-vplyvov-na-rozpocet-verejnej-spravy_MPK"/>
    <f:field ref="objsubject" par="" edit="true" text=""/>
    <f:field ref="objcreatedby" par="" text="Lojková, Silvia, JUDr."/>
    <f:field ref="objcreatedat" par="" text="16.2.2023 12:43:38"/>
    <f:field ref="objchangedby" par="" text="Administrator, System"/>
    <f:field ref="objmodifiedat" par="" text="16.2.2023 12:43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Lojková Silvia</cp:lastModifiedBy>
  <cp:revision>2</cp:revision>
  <cp:lastPrinted>2023-05-12T09:57:00Z</cp:lastPrinted>
  <dcterms:created xsi:type="dcterms:W3CDTF">2023-06-12T15:06:00Z</dcterms:created>
  <dcterms:modified xsi:type="dcterms:W3CDTF">2023-06-12T15:06:00Z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543/2002 Z. z. o ochrane prírody a krajiny v znení neskorších predpisov a ktorým sa mení a dopĺňa zákon č. 326/2005 Z. z. o lesoch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Rozsudok Súdneho dvora Európskej únie z 22. júna 2022 vo veci C 661/20_x000d_
_x000d_
Plán legislatívnych úloh vlády SR na mesiace jún až december 2021</vt:lpwstr>
  </property>
  <property fmtid="{D5CDD505-2E9C-101B-9397-08002B2CF9AE}" pid="23" name="FSC#SKEDITIONSLOVLEX@103.510:plnynazovpredpis">
    <vt:lpwstr> Zákon, ktorým sa mení a dopĺňa zákon č. 543/2002 Z. z. o ochrane prírody a krajiny v znení neskorších predpisov a ktorým sa mení a dopĺňa zákon č. 326/2005 Z. z. o lesoch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6144/2023-1.15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(Mimoriadne vydanie Ú. v. EÚ, kap. 15/zv. 2; Ú. v. ES L 206, 22.7.1992) v platnom znení   gestor: Ministerstvo životného prostredia Slovenskej re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Commission v Slovakia - C 661/20, Commission v Italy (Limit values – PM10) - C 644/18, Holohan and Others - C 461/17, Commission v Poland (Białowieża Forest) - C 441/17, Coöperatie Mobilisation for the Environment and Others - C 293/17 and C 294/17, Com</vt:lpwstr>
  </property>
  <property fmtid="{D5CDD505-2E9C-101B-9397-08002B2CF9AE}" pid="52" name="FSC#SKEDITIONSLOVLEX@103.510:AttrStrListDocPropLehotaPrebratieSmernice">
    <vt:lpwstr>- 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	Rozsudok Súdneho dvora Európskej únie z 22. júna 2022 vo veci C-661/20, Európska komisia v Slovenská republika, „Nesplnenie povinnosti členským štátom – Smernica 92/43/EHS – Článok 6 ods. 2 a 3 – Ochrana prirodzených biotopov a voľne žijúcich živočíchov</vt:lpwstr>
  </property>
  <property fmtid="{D5CDD505-2E9C-101B-9397-08002B2CF9AE}" pid="55" name="FSC#SKEDITIONSLOVLEX@103.510:AttrStrListDocPropInfoUzPreberanePP">
    <vt:lpwstr>zákon č. 543/2002 Z. z. o ochrane prírody a krajiny v znení neskorších predpisov _x000d_
- zákon č. 24/2006 Z. z. o posudzovaní vplyvov na životné prostredie a o zmene a doplnení niektorých zákonov v znení neskorších predpisov _x000d_
- vyhláška Ministerstva životnéh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7. 12. 2022</vt:lpwstr>
  </property>
  <property fmtid="{D5CDD505-2E9C-101B-9397-08002B2CF9AE}" pid="59" name="FSC#SKEDITIONSLOVLEX@103.510:AttrDateDocPropUkonceniePKK">
    <vt:lpwstr>16. 12. 2022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 prípade neprijatia navrhovanej úpravy a neodstránenia nedostatkov vyplývajúcich z rozsudku Súdneho dvora Európskej únie z 22. júna 2022 (C-661/2020) môže byť na návrh Európskej komisie Súdnym dvorom Európskej únie uložená Slovenskej republike pokuta.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do medzirezortného pripomienkového konania návrh zákona, ktorým sa mení a&amp;nbsp;dopĺňa zákon č. 543/2002 Z. z. o&amp;nbsp;ochrane prírody a&amp;nbsp;krajiny v&amp;nbsp;zne</vt:lpwstr>
  </property>
  <property fmtid="{D5CDD505-2E9C-101B-9397-08002B2CF9AE}" pid="150" name="FSC#SKEDITIONSLOVLEX@103.510:vytvorenedna">
    <vt:lpwstr>16. 2. 2023</vt:lpwstr>
  </property>
  <property fmtid="{D5CDD505-2E9C-101B-9397-08002B2CF9AE}" pid="151" name="FSC#COOSYSTEM@1.1:Container">
    <vt:lpwstr>COO.2145.1000.3.5509365</vt:lpwstr>
  </property>
  <property fmtid="{D5CDD505-2E9C-101B-9397-08002B2CF9AE}" pid="152" name="FSC#FSCFOLIO@1.1001:docpropproject">
    <vt:lpwstr/>
  </property>
</Properties>
</file>