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B8A" w:rsidRPr="004F3BD8" w:rsidRDefault="00020B8A" w:rsidP="00020B8A">
      <w:pPr>
        <w:jc w:val="center"/>
        <w:rPr>
          <w:b/>
          <w:caps/>
          <w:spacing w:val="30"/>
          <w:sz w:val="25"/>
          <w:szCs w:val="25"/>
        </w:rPr>
      </w:pPr>
      <w:r w:rsidRPr="004F3BD8">
        <w:rPr>
          <w:b/>
          <w:caps/>
          <w:spacing w:val="30"/>
          <w:sz w:val="25"/>
          <w:szCs w:val="25"/>
        </w:rPr>
        <w:t>Doložka zlučiteľnosti</w:t>
      </w:r>
    </w:p>
    <w:p w:rsidR="00020B8A" w:rsidRPr="004F3BD8" w:rsidRDefault="00020B8A" w:rsidP="00020B8A">
      <w:pPr>
        <w:jc w:val="center"/>
        <w:rPr>
          <w:b/>
          <w:sz w:val="25"/>
          <w:szCs w:val="25"/>
        </w:rPr>
      </w:pPr>
      <w:r w:rsidRPr="004F3BD8">
        <w:rPr>
          <w:b/>
          <w:sz w:val="25"/>
          <w:szCs w:val="25"/>
        </w:rPr>
        <w:t>návrhu zákona s právom Európskej únie</w:t>
      </w:r>
    </w:p>
    <w:p w:rsidR="00020B8A" w:rsidRPr="004F3BD8" w:rsidRDefault="00020B8A" w:rsidP="00020B8A">
      <w:pPr>
        <w:jc w:val="center"/>
        <w:rPr>
          <w:b/>
          <w:sz w:val="25"/>
          <w:szCs w:val="25"/>
        </w:rPr>
      </w:pPr>
    </w:p>
    <w:p w:rsidR="00020B8A" w:rsidRPr="004F3BD8" w:rsidRDefault="00020B8A" w:rsidP="00020B8A">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020B8A" w:rsidRPr="004F3BD8" w:rsidTr="00892FCB">
        <w:tc>
          <w:tcPr>
            <w:tcW w:w="404" w:type="dxa"/>
          </w:tcPr>
          <w:p w:rsidR="00020B8A" w:rsidRPr="004F3BD8" w:rsidRDefault="00020B8A" w:rsidP="00892FCB">
            <w:pPr>
              <w:tabs>
                <w:tab w:val="left" w:pos="360"/>
              </w:tabs>
              <w:rPr>
                <w:b/>
                <w:sz w:val="25"/>
                <w:szCs w:val="25"/>
              </w:rPr>
            </w:pPr>
            <w:r w:rsidRPr="004F3BD8">
              <w:rPr>
                <w:b/>
                <w:sz w:val="25"/>
                <w:szCs w:val="25"/>
              </w:rPr>
              <w:t>1.</w:t>
            </w:r>
          </w:p>
        </w:tc>
        <w:tc>
          <w:tcPr>
            <w:tcW w:w="9627" w:type="dxa"/>
          </w:tcPr>
          <w:p w:rsidR="00020B8A" w:rsidRPr="004F3BD8" w:rsidRDefault="00020B8A" w:rsidP="00892FCB">
            <w:pPr>
              <w:tabs>
                <w:tab w:val="left" w:pos="360"/>
              </w:tabs>
              <w:rPr>
                <w:sz w:val="25"/>
                <w:szCs w:val="25"/>
              </w:rPr>
            </w:pPr>
            <w:r w:rsidRPr="004F3BD8">
              <w:rPr>
                <w:b/>
                <w:sz w:val="25"/>
                <w:szCs w:val="25"/>
              </w:rPr>
              <w:t>Navrhovateľ zákona:</w:t>
            </w:r>
            <w:r w:rsidRPr="004F3BD8">
              <w:rPr>
                <w:sz w:val="25"/>
                <w:szCs w:val="25"/>
              </w:rPr>
              <w:t xml:space="preserve"> </w:t>
            </w:r>
            <w:r w:rsidRPr="004F3BD8">
              <w:rPr>
                <w:sz w:val="25"/>
                <w:szCs w:val="25"/>
              </w:rPr>
              <w:fldChar w:fldCharType="begin"/>
            </w:r>
            <w:r w:rsidRPr="004F3BD8">
              <w:rPr>
                <w:sz w:val="25"/>
                <w:szCs w:val="25"/>
              </w:rPr>
              <w:instrText xml:space="preserve"> DOCPROPERTY  FSC#SKEDITIONSLOVLEX@103.510:zodpinstitucia  \* MERGEFORMAT </w:instrText>
            </w:r>
            <w:r w:rsidRPr="004F3BD8">
              <w:rPr>
                <w:sz w:val="25"/>
                <w:szCs w:val="25"/>
              </w:rPr>
              <w:fldChar w:fldCharType="separate"/>
            </w:r>
            <w:r w:rsidRPr="004F3BD8">
              <w:rPr>
                <w:sz w:val="25"/>
                <w:szCs w:val="25"/>
              </w:rPr>
              <w:t>Ministerstvo školstva, vedy, výskumu a športu Slovenskej republiky</w:t>
            </w:r>
            <w:r w:rsidRPr="004F3BD8">
              <w:rPr>
                <w:sz w:val="25"/>
                <w:szCs w:val="25"/>
              </w:rPr>
              <w:fldChar w:fldCharType="end"/>
            </w:r>
          </w:p>
        </w:tc>
      </w:tr>
      <w:tr w:rsidR="00020B8A" w:rsidRPr="004F3BD8" w:rsidTr="00892FCB">
        <w:tc>
          <w:tcPr>
            <w:tcW w:w="404" w:type="dxa"/>
          </w:tcPr>
          <w:p w:rsidR="00020B8A" w:rsidRPr="004F3BD8" w:rsidRDefault="00020B8A" w:rsidP="00892FCB">
            <w:pPr>
              <w:tabs>
                <w:tab w:val="left" w:pos="360"/>
              </w:tabs>
              <w:rPr>
                <w:sz w:val="25"/>
                <w:szCs w:val="25"/>
              </w:rPr>
            </w:pPr>
          </w:p>
        </w:tc>
        <w:tc>
          <w:tcPr>
            <w:tcW w:w="9627" w:type="dxa"/>
          </w:tcPr>
          <w:p w:rsidR="00020B8A" w:rsidRPr="004F3BD8" w:rsidRDefault="00020B8A" w:rsidP="00892FCB">
            <w:pPr>
              <w:tabs>
                <w:tab w:val="left" w:pos="360"/>
              </w:tabs>
              <w:rPr>
                <w:sz w:val="25"/>
                <w:szCs w:val="25"/>
              </w:rPr>
            </w:pPr>
          </w:p>
        </w:tc>
      </w:tr>
      <w:tr w:rsidR="00020B8A" w:rsidRPr="004F3BD8" w:rsidTr="00892FCB">
        <w:tc>
          <w:tcPr>
            <w:tcW w:w="404" w:type="dxa"/>
          </w:tcPr>
          <w:p w:rsidR="00020B8A" w:rsidRPr="004F3BD8" w:rsidRDefault="00020B8A" w:rsidP="00892FCB">
            <w:pPr>
              <w:tabs>
                <w:tab w:val="left" w:pos="360"/>
              </w:tabs>
              <w:rPr>
                <w:b/>
                <w:sz w:val="25"/>
                <w:szCs w:val="25"/>
              </w:rPr>
            </w:pPr>
            <w:r w:rsidRPr="004F3BD8">
              <w:rPr>
                <w:b/>
                <w:sz w:val="25"/>
                <w:szCs w:val="25"/>
              </w:rPr>
              <w:t>2.</w:t>
            </w:r>
          </w:p>
        </w:tc>
        <w:tc>
          <w:tcPr>
            <w:tcW w:w="9627" w:type="dxa"/>
          </w:tcPr>
          <w:p w:rsidR="00020B8A" w:rsidRPr="00974C97" w:rsidRDefault="00020B8A" w:rsidP="00892FCB">
            <w:pPr>
              <w:tabs>
                <w:tab w:val="left" w:pos="360"/>
              </w:tabs>
              <w:jc w:val="both"/>
              <w:rPr>
                <w:sz w:val="25"/>
                <w:szCs w:val="25"/>
              </w:rPr>
            </w:pPr>
            <w:r w:rsidRPr="00974C97">
              <w:rPr>
                <w:b/>
                <w:sz w:val="25"/>
                <w:szCs w:val="25"/>
              </w:rPr>
              <w:t>Názov návrhu zákona:</w:t>
            </w:r>
            <w:r w:rsidRPr="00974C97">
              <w:rPr>
                <w:sz w:val="25"/>
                <w:szCs w:val="25"/>
              </w:rPr>
              <w:t xml:space="preserve"> </w:t>
            </w:r>
            <w:r>
              <w:rPr>
                <w:sz w:val="25"/>
                <w:szCs w:val="25"/>
              </w:rPr>
              <w:t>Návrh zákona,</w:t>
            </w:r>
            <w:r>
              <w:t xml:space="preserve"> </w:t>
            </w:r>
            <w:r w:rsidRPr="00E03AD8">
              <w:rPr>
                <w:sz w:val="25"/>
                <w:szCs w:val="25"/>
              </w:rPr>
              <w:t>ktorým sa mení a dopĺňa zákon č. 422/2015 Z. z. o uznávaní dokladov o vzdelaní a o uznávaní odborných kvalifikácií a o zmene a doplnení niektorých zákonov v znení neskorších predpisov</w:t>
            </w:r>
            <w:r>
              <w:rPr>
                <w:sz w:val="25"/>
                <w:szCs w:val="25"/>
              </w:rPr>
              <w:t>.</w:t>
            </w:r>
            <w:r w:rsidRPr="00974C97">
              <w:rPr>
                <w:sz w:val="25"/>
                <w:szCs w:val="25"/>
              </w:rPr>
              <w:fldChar w:fldCharType="begin"/>
            </w:r>
            <w:r w:rsidRPr="00974C97">
              <w:rPr>
                <w:sz w:val="25"/>
                <w:szCs w:val="25"/>
              </w:rPr>
              <w:instrText xml:space="preserve"> DOCPROPERTY  FSC#SKEDITIONSLOVLEX@103.510:plnynazovpredpis1  \* MERGEFORMAT </w:instrText>
            </w:r>
            <w:r w:rsidRPr="00974C97">
              <w:rPr>
                <w:sz w:val="25"/>
                <w:szCs w:val="25"/>
              </w:rPr>
              <w:fldChar w:fldCharType="end"/>
            </w:r>
            <w:r w:rsidRPr="00974C97">
              <w:rPr>
                <w:sz w:val="25"/>
                <w:szCs w:val="25"/>
              </w:rPr>
              <w:fldChar w:fldCharType="begin"/>
            </w:r>
            <w:r w:rsidRPr="00974C97">
              <w:rPr>
                <w:sz w:val="25"/>
                <w:szCs w:val="25"/>
              </w:rPr>
              <w:instrText xml:space="preserve"> DOCPROPERTY  FSC#SKEDITIONSLOVLEX@103.510:plnynazovpredpis2  \* MERGEFORMAT </w:instrText>
            </w:r>
            <w:r w:rsidRPr="00974C97">
              <w:rPr>
                <w:sz w:val="25"/>
                <w:szCs w:val="25"/>
              </w:rPr>
              <w:fldChar w:fldCharType="end"/>
            </w:r>
            <w:r w:rsidRPr="00974C97">
              <w:rPr>
                <w:sz w:val="25"/>
                <w:szCs w:val="25"/>
              </w:rPr>
              <w:fldChar w:fldCharType="begin"/>
            </w:r>
            <w:r w:rsidRPr="00974C97">
              <w:rPr>
                <w:sz w:val="25"/>
                <w:szCs w:val="25"/>
              </w:rPr>
              <w:instrText xml:space="preserve"> DOCPROPERTY  FSC#SKEDITIONSLOVLEX@103.510:plnynazovpredpis3  \* MERGEFORMAT </w:instrText>
            </w:r>
            <w:r w:rsidRPr="00974C97">
              <w:rPr>
                <w:sz w:val="25"/>
                <w:szCs w:val="25"/>
              </w:rPr>
              <w:fldChar w:fldCharType="end"/>
            </w:r>
          </w:p>
        </w:tc>
      </w:tr>
      <w:tr w:rsidR="00020B8A" w:rsidRPr="004F3BD8" w:rsidTr="00892FCB">
        <w:tc>
          <w:tcPr>
            <w:tcW w:w="404" w:type="dxa"/>
          </w:tcPr>
          <w:p w:rsidR="00020B8A" w:rsidRPr="004F3BD8" w:rsidRDefault="00020B8A" w:rsidP="00892FCB">
            <w:pPr>
              <w:tabs>
                <w:tab w:val="left" w:pos="360"/>
              </w:tabs>
              <w:rPr>
                <w:sz w:val="25"/>
                <w:szCs w:val="25"/>
              </w:rPr>
            </w:pPr>
          </w:p>
        </w:tc>
        <w:tc>
          <w:tcPr>
            <w:tcW w:w="9627" w:type="dxa"/>
          </w:tcPr>
          <w:p w:rsidR="00020B8A" w:rsidRPr="004F3BD8" w:rsidRDefault="00020B8A" w:rsidP="00892FCB">
            <w:pPr>
              <w:tabs>
                <w:tab w:val="left" w:pos="360"/>
              </w:tabs>
              <w:rPr>
                <w:sz w:val="25"/>
                <w:szCs w:val="25"/>
              </w:rPr>
            </w:pPr>
          </w:p>
        </w:tc>
      </w:tr>
      <w:tr w:rsidR="00020B8A" w:rsidRPr="004F3BD8" w:rsidTr="00892FCB">
        <w:tc>
          <w:tcPr>
            <w:tcW w:w="404" w:type="dxa"/>
          </w:tcPr>
          <w:p w:rsidR="00020B8A" w:rsidRPr="004F3BD8" w:rsidRDefault="00020B8A" w:rsidP="00892FCB">
            <w:pPr>
              <w:tabs>
                <w:tab w:val="left" w:pos="360"/>
              </w:tabs>
              <w:rPr>
                <w:b/>
                <w:sz w:val="25"/>
                <w:szCs w:val="25"/>
              </w:rPr>
            </w:pPr>
            <w:r w:rsidRPr="004F3BD8">
              <w:rPr>
                <w:b/>
                <w:sz w:val="25"/>
                <w:szCs w:val="25"/>
              </w:rPr>
              <w:t>3.</w:t>
            </w:r>
          </w:p>
        </w:tc>
        <w:tc>
          <w:tcPr>
            <w:tcW w:w="9627" w:type="dxa"/>
          </w:tcPr>
          <w:p w:rsidR="00020B8A" w:rsidRPr="004F3BD8" w:rsidRDefault="00020B8A" w:rsidP="00892FCB">
            <w:pPr>
              <w:tabs>
                <w:tab w:val="left" w:pos="360"/>
              </w:tabs>
              <w:rPr>
                <w:b/>
                <w:sz w:val="25"/>
                <w:szCs w:val="25"/>
              </w:rPr>
            </w:pPr>
            <w:r w:rsidRPr="004F3BD8">
              <w:rPr>
                <w:b/>
                <w:sz w:val="25"/>
                <w:szCs w:val="25"/>
              </w:rPr>
              <w:t>Predmet návrhu zákona je upravený v práve Európskej únie:</w:t>
            </w:r>
          </w:p>
          <w:p w:rsidR="00020B8A" w:rsidRPr="004F3BD8" w:rsidRDefault="00020B8A" w:rsidP="00892FCB">
            <w:pPr>
              <w:tabs>
                <w:tab w:val="left" w:pos="360"/>
              </w:tabs>
              <w:rPr>
                <w:sz w:val="25"/>
                <w:szCs w:val="25"/>
              </w:rPr>
            </w:pPr>
          </w:p>
        </w:tc>
      </w:tr>
      <w:tr w:rsidR="00020B8A" w:rsidRPr="004F3BD8" w:rsidTr="00892FCB">
        <w:tc>
          <w:tcPr>
            <w:tcW w:w="404" w:type="dxa"/>
          </w:tcPr>
          <w:p w:rsidR="00020B8A" w:rsidRPr="004F3BD8" w:rsidRDefault="00020B8A" w:rsidP="00892FCB">
            <w:pPr>
              <w:tabs>
                <w:tab w:val="left" w:pos="360"/>
              </w:tabs>
              <w:rPr>
                <w:sz w:val="25"/>
                <w:szCs w:val="25"/>
              </w:rPr>
            </w:pPr>
          </w:p>
        </w:tc>
        <w:tc>
          <w:tcPr>
            <w:tcW w:w="9627" w:type="dxa"/>
          </w:tcPr>
          <w:p w:rsidR="00020B8A" w:rsidRPr="003A4EF9" w:rsidRDefault="00020B8A" w:rsidP="00892FCB">
            <w:pPr>
              <w:pStyle w:val="Odsekzoznamu"/>
              <w:numPr>
                <w:ilvl w:val="0"/>
                <w:numId w:val="1"/>
              </w:numPr>
              <w:ind w:left="483" w:hanging="426"/>
              <w:jc w:val="both"/>
              <w:rPr>
                <w:i/>
                <w:sz w:val="25"/>
                <w:szCs w:val="25"/>
              </w:rPr>
            </w:pPr>
            <w:r w:rsidRPr="004F3BD8">
              <w:rPr>
                <w:sz w:val="25"/>
                <w:szCs w:val="25"/>
              </w:rPr>
              <w:t>v</w:t>
            </w:r>
            <w:r>
              <w:rPr>
                <w:sz w:val="25"/>
                <w:szCs w:val="25"/>
              </w:rPr>
              <w:t> </w:t>
            </w:r>
            <w:r w:rsidRPr="004F3BD8">
              <w:rPr>
                <w:sz w:val="25"/>
                <w:szCs w:val="25"/>
              </w:rPr>
              <w:t>primárnom</w:t>
            </w:r>
            <w:r>
              <w:rPr>
                <w:sz w:val="25"/>
                <w:szCs w:val="25"/>
              </w:rPr>
              <w:t xml:space="preserve"> </w:t>
            </w:r>
            <w:r w:rsidRPr="004F3BD8">
              <w:rPr>
                <w:sz w:val="25"/>
                <w:szCs w:val="25"/>
              </w:rPr>
              <w:t>práve</w:t>
            </w:r>
          </w:p>
          <w:p w:rsidR="00020B8A" w:rsidRPr="004F3BD8" w:rsidRDefault="00020B8A" w:rsidP="00892FCB">
            <w:pPr>
              <w:pStyle w:val="Odsekzoznamu"/>
              <w:ind w:left="483"/>
              <w:jc w:val="both"/>
              <w:rPr>
                <w:i/>
                <w:sz w:val="25"/>
                <w:szCs w:val="25"/>
              </w:rPr>
            </w:pPr>
            <w:r w:rsidRPr="004F3BD8">
              <w:rPr>
                <w:sz w:val="25"/>
                <w:szCs w:val="25"/>
              </w:rPr>
              <w:br/>
            </w:r>
            <w:r w:rsidRPr="004F3BD8">
              <w:rPr>
                <w:sz w:val="25"/>
                <w:szCs w:val="25"/>
              </w:rPr>
              <w:br/>
            </w:r>
            <w:r w:rsidRPr="004F3BD8">
              <w:rPr>
                <w:i/>
                <w:sz w:val="25"/>
                <w:szCs w:val="25"/>
              </w:rPr>
              <w:t>Zmluva o fungovaní Európskej únie čl. 4 ods. 2 písm. a), čl. 45,</w:t>
            </w:r>
            <w:r>
              <w:rPr>
                <w:i/>
                <w:sz w:val="25"/>
                <w:szCs w:val="25"/>
              </w:rPr>
              <w:t xml:space="preserve"> 46,</w:t>
            </w:r>
            <w:r w:rsidRPr="004F3BD8">
              <w:rPr>
                <w:i/>
                <w:sz w:val="25"/>
                <w:szCs w:val="25"/>
              </w:rPr>
              <w:t xml:space="preserve"> 49,</w:t>
            </w:r>
            <w:r>
              <w:rPr>
                <w:i/>
                <w:sz w:val="25"/>
                <w:szCs w:val="25"/>
              </w:rPr>
              <w:t xml:space="preserve"> 51 až 54,</w:t>
            </w:r>
            <w:r w:rsidRPr="004F3BD8">
              <w:rPr>
                <w:i/>
                <w:sz w:val="25"/>
                <w:szCs w:val="25"/>
              </w:rPr>
              <w:t xml:space="preserve"> 56,</w:t>
            </w:r>
            <w:r>
              <w:rPr>
                <w:i/>
                <w:sz w:val="25"/>
                <w:szCs w:val="25"/>
              </w:rPr>
              <w:t xml:space="preserve"> 62 </w:t>
            </w:r>
            <w:r w:rsidRPr="004F3BD8">
              <w:rPr>
                <w:i/>
                <w:sz w:val="25"/>
                <w:szCs w:val="25"/>
              </w:rPr>
              <w:t>a 165 a Hlava V Priestor slobody, bezpečnosti a spravodlivosti, Kapitola 1 Všeobecné ustanovenia, Kapitola 2 Politiky vzťahujúce sa na hraničné kontroly, azyl a prisťahovalectvo</w:t>
            </w:r>
          </w:p>
          <w:p w:rsidR="00020B8A" w:rsidRPr="004F3BD8" w:rsidRDefault="00020B8A" w:rsidP="00892FCB">
            <w:pPr>
              <w:pStyle w:val="Odsekzoznamu"/>
              <w:tabs>
                <w:tab w:val="left" w:pos="360"/>
              </w:tabs>
              <w:ind w:left="360"/>
              <w:rPr>
                <w:sz w:val="25"/>
                <w:szCs w:val="25"/>
              </w:rPr>
            </w:pPr>
          </w:p>
          <w:p w:rsidR="00020B8A" w:rsidRPr="003A4EF9" w:rsidRDefault="00020B8A" w:rsidP="00892FCB">
            <w:pPr>
              <w:pStyle w:val="Odsekzoznamu"/>
              <w:numPr>
                <w:ilvl w:val="0"/>
                <w:numId w:val="1"/>
              </w:numPr>
              <w:ind w:left="483" w:hanging="426"/>
              <w:jc w:val="both"/>
              <w:rPr>
                <w:rFonts w:ascii="Times" w:hAnsi="Times" w:cs="Times"/>
                <w:i/>
                <w:sz w:val="25"/>
                <w:szCs w:val="25"/>
              </w:rPr>
            </w:pPr>
            <w:r w:rsidRPr="004F3BD8">
              <w:rPr>
                <w:rFonts w:ascii="Times" w:hAnsi="Times" w:cs="Times"/>
                <w:iCs/>
                <w:sz w:val="25"/>
                <w:szCs w:val="25"/>
              </w:rPr>
              <w:t xml:space="preserve"> sekundárnom práve</w:t>
            </w:r>
          </w:p>
          <w:p w:rsidR="00020B8A" w:rsidRPr="004F3BD8" w:rsidRDefault="00020B8A" w:rsidP="00892FCB">
            <w:pPr>
              <w:pStyle w:val="Odsekzoznamu"/>
              <w:ind w:left="483"/>
              <w:jc w:val="both"/>
              <w:rPr>
                <w:rFonts w:ascii="Times" w:hAnsi="Times" w:cs="Times"/>
                <w:i/>
                <w:sz w:val="25"/>
                <w:szCs w:val="25"/>
              </w:rPr>
            </w:pPr>
            <w:r w:rsidRPr="004F3BD8">
              <w:rPr>
                <w:rFonts w:ascii="Times" w:hAnsi="Times" w:cs="Times"/>
                <w:sz w:val="25"/>
                <w:szCs w:val="25"/>
              </w:rPr>
              <w:br/>
            </w:r>
            <w:r w:rsidRPr="004F3BD8">
              <w:rPr>
                <w:rFonts w:ascii="Times" w:hAnsi="Times" w:cs="Times"/>
                <w:sz w:val="25"/>
                <w:szCs w:val="25"/>
              </w:rPr>
              <w:br/>
            </w:r>
            <w:r w:rsidRPr="004F3BD8">
              <w:rPr>
                <w:rFonts w:ascii="Times" w:hAnsi="Times" w:cs="Times"/>
                <w:i/>
                <w:sz w:val="25"/>
                <w:szCs w:val="25"/>
              </w:rPr>
              <w:t xml:space="preserve">Smernica Európskeho parlamentu a Rady 2005/36/ES zo 7. septembra 2005 o uznávaní odborných kvalifikácií (Ú. v. EÚ L 255, 30.9. 2005) v platnom znení; </w:t>
            </w:r>
            <w:r w:rsidRPr="004F3BD8">
              <w:rPr>
                <w:rFonts w:ascii="Times" w:hAnsi="Times" w:cs="Times"/>
                <w:b/>
                <w:i/>
                <w:sz w:val="25"/>
                <w:szCs w:val="25"/>
              </w:rPr>
              <w:t>gestor Ministerstvo školstva, vedy, výskumu a športu Slovenskej republiky</w:t>
            </w:r>
          </w:p>
          <w:p w:rsidR="00020B8A" w:rsidRPr="001571F4" w:rsidRDefault="00020B8A" w:rsidP="00892FCB">
            <w:pPr>
              <w:tabs>
                <w:tab w:val="left" w:pos="360"/>
              </w:tabs>
              <w:rPr>
                <w:sz w:val="25"/>
                <w:szCs w:val="25"/>
              </w:rPr>
            </w:pPr>
          </w:p>
          <w:p w:rsidR="00020B8A" w:rsidRPr="004F3BD8" w:rsidRDefault="00020B8A" w:rsidP="00892FCB">
            <w:pPr>
              <w:pStyle w:val="Odsekzoznamu"/>
              <w:tabs>
                <w:tab w:val="left" w:pos="360"/>
              </w:tabs>
              <w:ind w:left="360"/>
              <w:rPr>
                <w:sz w:val="25"/>
                <w:szCs w:val="25"/>
              </w:rPr>
            </w:pPr>
          </w:p>
          <w:p w:rsidR="00020B8A" w:rsidRPr="004F3BD8" w:rsidRDefault="00020B8A" w:rsidP="00892FCB">
            <w:pPr>
              <w:pStyle w:val="Odsekzoznamu"/>
              <w:tabs>
                <w:tab w:val="left" w:pos="483"/>
              </w:tabs>
              <w:ind w:left="360" w:hanging="303"/>
              <w:rPr>
                <w:sz w:val="25"/>
                <w:szCs w:val="25"/>
              </w:rPr>
            </w:pPr>
            <w:r w:rsidRPr="004F3BD8">
              <w:rPr>
                <w:rFonts w:ascii="Times" w:hAnsi="Times" w:cs="Times"/>
                <w:iCs/>
                <w:sz w:val="25"/>
                <w:szCs w:val="25"/>
              </w:rPr>
              <w:t>c)   v judikatúre Súdneho dvora Európskej únie</w:t>
            </w:r>
          </w:p>
          <w:p w:rsidR="00020B8A" w:rsidRPr="004F3BD8" w:rsidRDefault="00020B8A" w:rsidP="00892FCB">
            <w:pPr>
              <w:pStyle w:val="Odsekzoznamu"/>
              <w:tabs>
                <w:tab w:val="left" w:pos="360"/>
              </w:tabs>
              <w:ind w:left="360"/>
              <w:rPr>
                <w:sz w:val="25"/>
                <w:szCs w:val="25"/>
              </w:rPr>
            </w:pPr>
          </w:p>
        </w:tc>
      </w:tr>
      <w:tr w:rsidR="00020B8A" w:rsidRPr="004F3BD8" w:rsidTr="00892FCB">
        <w:tc>
          <w:tcPr>
            <w:tcW w:w="404" w:type="dxa"/>
          </w:tcPr>
          <w:p w:rsidR="00020B8A" w:rsidRPr="004F3BD8" w:rsidRDefault="00020B8A" w:rsidP="00892FCB">
            <w:pPr>
              <w:tabs>
                <w:tab w:val="left" w:pos="360"/>
              </w:tabs>
            </w:pPr>
          </w:p>
        </w:tc>
        <w:tc>
          <w:tcPr>
            <w:tcW w:w="9627" w:type="dxa"/>
          </w:tcPr>
          <w:p w:rsidR="00020B8A" w:rsidRPr="004F3BD8" w:rsidRDefault="00020B8A" w:rsidP="00892FCB">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Európskych spoločenstiev vo veci C- 238/98 Hugo </w:t>
            </w:r>
            <w:proofErr w:type="spellStart"/>
            <w:r w:rsidRPr="004F3BD8">
              <w:rPr>
                <w:rFonts w:ascii="Times" w:hAnsi="Times" w:cs="Times"/>
                <w:b/>
                <w:i/>
                <w:sz w:val="25"/>
                <w:szCs w:val="25"/>
              </w:rPr>
              <w:t>Fernando</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Hocsman</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Ministre</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l'Emploi</w:t>
            </w:r>
            <w:proofErr w:type="spellEnd"/>
            <w:r w:rsidRPr="004F3BD8">
              <w:rPr>
                <w:rFonts w:ascii="Times" w:hAnsi="Times" w:cs="Times"/>
                <w:b/>
                <w:i/>
                <w:sz w:val="25"/>
                <w:szCs w:val="25"/>
              </w:rPr>
              <w:t xml:space="preserve"> et de la </w:t>
            </w:r>
            <w:proofErr w:type="spellStart"/>
            <w:r w:rsidRPr="004F3BD8">
              <w:rPr>
                <w:rFonts w:ascii="Times" w:hAnsi="Times" w:cs="Times"/>
                <w:b/>
                <w:i/>
                <w:sz w:val="25"/>
                <w:szCs w:val="25"/>
              </w:rPr>
              <w:t>Solidarité</w:t>
            </w:r>
            <w:proofErr w:type="spellEnd"/>
            <w:r w:rsidRPr="004F3BD8">
              <w:rPr>
                <w:rFonts w:ascii="Times" w:hAnsi="Times" w:cs="Times"/>
                <w:b/>
                <w:i/>
                <w:sz w:val="25"/>
                <w:szCs w:val="25"/>
              </w:rPr>
              <w:t xml:space="preserve">, 2000 Zb. </w:t>
            </w:r>
            <w:proofErr w:type="spellStart"/>
            <w:r w:rsidRPr="004F3BD8">
              <w:rPr>
                <w:rFonts w:ascii="Times" w:hAnsi="Times" w:cs="Times"/>
                <w:b/>
                <w:i/>
                <w:sz w:val="25"/>
                <w:szCs w:val="25"/>
              </w:rPr>
              <w:t>roz</w:t>
            </w:r>
            <w:proofErr w:type="spellEnd"/>
            <w:r w:rsidRPr="004F3BD8">
              <w:rPr>
                <w:rFonts w:ascii="Times" w:hAnsi="Times" w:cs="Times"/>
                <w:b/>
                <w:i/>
                <w:sz w:val="25"/>
                <w:szCs w:val="25"/>
              </w:rPr>
              <w:t xml:space="preserve">. ESD (I-06623) - </w:t>
            </w:r>
            <w:r w:rsidRPr="004F3BD8">
              <w:rPr>
                <w:rFonts w:ascii="Times" w:hAnsi="Times" w:cs="Times"/>
                <w:i/>
                <w:sz w:val="25"/>
                <w:szCs w:val="25"/>
              </w:rPr>
              <w:t>Článok 52 Zmluvy o Európskom Spoločenstve ( teraz článok 43 ES) sa má vykladať v tom zmysle, že v situácii, ktorá nie je upravená smernicou o vzájomnom uznávaní diplomov, požiada štátny príslušník Spoločenstva o povolenie na výkon povolania podľa toho, ktoré podľa vnútroštátneho práva závisia od držby diplomu alebo odbornej kvalifikácie alebo od období praktických skúseností; príslušné orgány dotknutého členského štátu sú povinné zohľadniť všetky diplomy, osvedčenia a iné doklady o formálnej kvalifikácii dotknutej osoby a jej príslušných skúseností porovnaním odborných vedomostí a schopností potvrdených týmito diplomami a skúseností s vedomosťami a kvalifikáciami vyžadovanými vnútroštátnymi predpismi.</w:t>
            </w:r>
          </w:p>
          <w:p w:rsidR="00020B8A" w:rsidRPr="004F3BD8" w:rsidRDefault="00020B8A" w:rsidP="00892FCB">
            <w:pPr>
              <w:pStyle w:val="Odsekzoznamu"/>
              <w:jc w:val="both"/>
              <w:rPr>
                <w:rFonts w:ascii="Times" w:hAnsi="Times" w:cs="Times"/>
                <w:i/>
                <w:sz w:val="25"/>
                <w:szCs w:val="25"/>
              </w:rPr>
            </w:pPr>
            <w:r w:rsidRPr="004F3BD8">
              <w:rPr>
                <w:rFonts w:ascii="Times" w:hAnsi="Times" w:cs="Times"/>
                <w:i/>
                <w:sz w:val="25"/>
                <w:szCs w:val="25"/>
              </w:rPr>
              <w:t xml:space="preserve">Konanie vo veci samej sa týka lekára, ktorého diplom v oblasti základného lekárstva z Argentíny bol uznaný v členskom štáte ako rovnocenný národnému diplomu, čo mu umožňuje vykonávať špecializované štúdium urológie v tomto štáte a získať tam diplom špecialistu v urológii, ktorý podľa dokumentov predložených Súdnemu dvoru by bolo </w:t>
            </w:r>
            <w:r w:rsidRPr="004F3BD8">
              <w:rPr>
                <w:rFonts w:ascii="Times" w:hAnsi="Times" w:cs="Times"/>
                <w:i/>
                <w:sz w:val="25"/>
                <w:szCs w:val="25"/>
              </w:rPr>
              <w:lastRenderedPageBreak/>
              <w:t>podľa práva Spoločenstva uznané za rovnocenné vo všetkých členských štátoch, ak by bol základný diplom udelený aj v členskom štáte. Podľa smernice 93/16/EHS na uľahčenie voľného pohybu lekárov a vzájomného uznávania ich diplomov, osvedčení a iných dokladov o formálnych kvalifikáciách.</w:t>
            </w:r>
          </w:p>
          <w:p w:rsidR="00020B8A" w:rsidRPr="004F3BD8" w:rsidRDefault="00020B8A" w:rsidP="00892FCB">
            <w:pPr>
              <w:pStyle w:val="Odsekzoznamu"/>
              <w:jc w:val="both"/>
              <w:rPr>
                <w:rFonts w:ascii="Times" w:hAnsi="Times" w:cs="Times"/>
                <w:i/>
                <w:sz w:val="25"/>
                <w:szCs w:val="25"/>
              </w:rPr>
            </w:pPr>
            <w:r w:rsidRPr="004F3BD8">
              <w:rPr>
                <w:rFonts w:ascii="Times" w:hAnsi="Times" w:cs="Times"/>
                <w:i/>
                <w:sz w:val="25"/>
                <w:szCs w:val="25"/>
              </w:rPr>
              <w:t xml:space="preserve"> </w:t>
            </w:r>
          </w:p>
          <w:p w:rsidR="00020B8A" w:rsidRPr="004F3BD8" w:rsidRDefault="00020B8A" w:rsidP="00892FCB">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Európskych spoločenstiev vo veci C-76/90 </w:t>
            </w:r>
            <w:proofErr w:type="spellStart"/>
            <w:r w:rsidRPr="004F3BD8">
              <w:rPr>
                <w:rFonts w:ascii="Times" w:hAnsi="Times" w:cs="Times"/>
                <w:b/>
                <w:i/>
                <w:sz w:val="25"/>
                <w:szCs w:val="25"/>
              </w:rPr>
              <w:t>Manfred</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Säger</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Dennemeyer</w:t>
            </w:r>
            <w:proofErr w:type="spellEnd"/>
            <w:r w:rsidRPr="004F3BD8">
              <w:rPr>
                <w:rFonts w:ascii="Times" w:hAnsi="Times" w:cs="Times"/>
                <w:b/>
                <w:i/>
                <w:sz w:val="25"/>
                <w:szCs w:val="25"/>
              </w:rPr>
              <w:t xml:space="preserve"> &amp; Co. </w:t>
            </w:r>
            <w:proofErr w:type="spellStart"/>
            <w:r w:rsidRPr="004F3BD8">
              <w:rPr>
                <w:rFonts w:ascii="Times" w:hAnsi="Times" w:cs="Times"/>
                <w:b/>
                <w:i/>
                <w:sz w:val="25"/>
                <w:szCs w:val="25"/>
              </w:rPr>
              <w:t>Ltd</w:t>
            </w:r>
            <w:proofErr w:type="spellEnd"/>
            <w:r w:rsidRPr="004F3BD8">
              <w:rPr>
                <w:rFonts w:ascii="Times" w:hAnsi="Times" w:cs="Times"/>
                <w:b/>
                <w:i/>
                <w:sz w:val="25"/>
                <w:szCs w:val="25"/>
              </w:rPr>
              <w:t xml:space="preserve">., 1991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(I-04221)</w:t>
            </w:r>
            <w:r w:rsidRPr="004F3BD8">
              <w:rPr>
                <w:rFonts w:ascii="Times" w:hAnsi="Times" w:cs="Times"/>
                <w:i/>
                <w:sz w:val="25"/>
                <w:szCs w:val="25"/>
              </w:rPr>
              <w:t xml:space="preserve"> - Článok 59 Zmluvy o Európskom Hospodárskom spoločenstve bráni právnej úprave  členského štátu, ktorá zakazujú spoločnosti usadenej v inom členskom štáte poskytovať majiteľom patentov na území prvého štátu službu na sledovanie týchto patentov a ich obnovovanie platením požadovaných poplatkov z dôvodu, že na základe týchto ustanovení sú takéto činnosti vyhradené osobám, ktoré majú osobitnú odbornú kvalifikáciu, napríklad kvalifikáciu patentového agenta.</w:t>
            </w:r>
          </w:p>
          <w:p w:rsidR="00020B8A" w:rsidRPr="004F3BD8" w:rsidRDefault="00020B8A" w:rsidP="00892FCB">
            <w:pPr>
              <w:pStyle w:val="Odsekzoznamu"/>
              <w:jc w:val="both"/>
              <w:rPr>
                <w:rFonts w:ascii="Times" w:hAnsi="Times" w:cs="Times"/>
                <w:i/>
                <w:sz w:val="25"/>
                <w:szCs w:val="25"/>
              </w:rPr>
            </w:pPr>
            <w:r w:rsidRPr="004F3BD8">
              <w:rPr>
                <w:rFonts w:ascii="Times" w:hAnsi="Times" w:cs="Times"/>
                <w:i/>
                <w:sz w:val="25"/>
                <w:szCs w:val="25"/>
              </w:rPr>
              <w:t>Členský štát nesmie  podmieňovať poskytovanie služieb na svojom území splnením všetkých podmienok potrebných na usadenie sa, a tým sa zbaviť praktickej účinnosti ustanovenia Zmluvy o EHS, ktorých cieľom je práve zaručiť slobodu poskytovať služby.</w:t>
            </w:r>
          </w:p>
          <w:p w:rsidR="00020B8A" w:rsidRPr="004F3BD8" w:rsidRDefault="00020B8A" w:rsidP="00892FCB">
            <w:pPr>
              <w:pStyle w:val="Odsekzoznamu"/>
              <w:jc w:val="both"/>
              <w:rPr>
                <w:rFonts w:ascii="Times" w:hAnsi="Times" w:cs="Times"/>
                <w:i/>
                <w:sz w:val="25"/>
                <w:szCs w:val="25"/>
              </w:rPr>
            </w:pPr>
            <w:r w:rsidRPr="004F3BD8">
              <w:rPr>
                <w:rFonts w:ascii="Times" w:hAnsi="Times" w:cs="Times"/>
                <w:i/>
                <w:sz w:val="25"/>
                <w:szCs w:val="25"/>
              </w:rPr>
              <w:t xml:space="preserve">   </w:t>
            </w:r>
          </w:p>
          <w:p w:rsidR="00020B8A" w:rsidRPr="004F3BD8" w:rsidRDefault="00020B8A" w:rsidP="00892FCB">
            <w:pPr>
              <w:pStyle w:val="Odsekzoznamu"/>
              <w:numPr>
                <w:ilvl w:val="0"/>
                <w:numId w:val="2"/>
              </w:numPr>
              <w:jc w:val="both"/>
              <w:rPr>
                <w:rFonts w:ascii="Times" w:hAnsi="Times" w:cs="Times"/>
                <w:b/>
                <w:i/>
                <w:sz w:val="25"/>
                <w:szCs w:val="25"/>
              </w:rPr>
            </w:pPr>
            <w:r w:rsidRPr="004F3BD8">
              <w:rPr>
                <w:rFonts w:ascii="Times" w:hAnsi="Times" w:cs="Times"/>
                <w:b/>
                <w:i/>
                <w:sz w:val="25"/>
                <w:szCs w:val="25"/>
              </w:rPr>
              <w:t xml:space="preserve">rozhodnutie Súdneho dvora ES vo veci C-31/00 </w:t>
            </w:r>
            <w:proofErr w:type="spellStart"/>
            <w:r w:rsidRPr="004F3BD8">
              <w:rPr>
                <w:rFonts w:ascii="Times" w:hAnsi="Times" w:cs="Times"/>
                <w:b/>
                <w:i/>
                <w:sz w:val="25"/>
                <w:szCs w:val="25"/>
              </w:rPr>
              <w:t>Conseil</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national</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l'ordre</w:t>
            </w:r>
            <w:proofErr w:type="spellEnd"/>
            <w:r w:rsidRPr="004F3BD8">
              <w:rPr>
                <w:rFonts w:ascii="Times" w:hAnsi="Times" w:cs="Times"/>
                <w:b/>
                <w:i/>
                <w:sz w:val="25"/>
                <w:szCs w:val="25"/>
              </w:rPr>
              <w:t xml:space="preserve"> des </w:t>
            </w:r>
            <w:proofErr w:type="spellStart"/>
            <w:r w:rsidRPr="004F3BD8">
              <w:rPr>
                <w:rFonts w:ascii="Times" w:hAnsi="Times" w:cs="Times"/>
                <w:b/>
                <w:i/>
                <w:sz w:val="25"/>
                <w:szCs w:val="25"/>
              </w:rPr>
              <w:t>architectes</w:t>
            </w:r>
            <w:proofErr w:type="spellEnd"/>
            <w:r w:rsidRPr="004F3BD8">
              <w:rPr>
                <w:rFonts w:ascii="Times" w:hAnsi="Times" w:cs="Times"/>
                <w:b/>
                <w:i/>
                <w:sz w:val="25"/>
                <w:szCs w:val="25"/>
              </w:rPr>
              <w:t xml:space="preserve"> proti Nicolas </w:t>
            </w:r>
            <w:proofErr w:type="spellStart"/>
            <w:r w:rsidRPr="004F3BD8">
              <w:rPr>
                <w:rFonts w:ascii="Times" w:hAnsi="Times" w:cs="Times"/>
                <w:b/>
                <w:i/>
                <w:sz w:val="25"/>
                <w:szCs w:val="25"/>
              </w:rPr>
              <w:t>Dreessen</w:t>
            </w:r>
            <w:proofErr w:type="spellEnd"/>
            <w:r w:rsidRPr="004F3BD8">
              <w:rPr>
                <w:rFonts w:ascii="Times" w:hAnsi="Times" w:cs="Times"/>
                <w:b/>
                <w:i/>
                <w:sz w:val="25"/>
                <w:szCs w:val="25"/>
              </w:rPr>
              <w:t xml:space="preserve">, 2002 Zb. </w:t>
            </w:r>
            <w:proofErr w:type="spellStart"/>
            <w:r w:rsidRPr="004F3BD8">
              <w:rPr>
                <w:rFonts w:ascii="Times" w:hAnsi="Times" w:cs="Times"/>
                <w:b/>
                <w:i/>
                <w:sz w:val="25"/>
                <w:szCs w:val="25"/>
              </w:rPr>
              <w:t>roz</w:t>
            </w:r>
            <w:proofErr w:type="spellEnd"/>
            <w:r w:rsidRPr="004F3BD8">
              <w:rPr>
                <w:rFonts w:ascii="Times" w:hAnsi="Times" w:cs="Times"/>
                <w:b/>
                <w:i/>
                <w:sz w:val="25"/>
                <w:szCs w:val="25"/>
              </w:rPr>
              <w:t xml:space="preserve">. ESD (I-00663) - </w:t>
            </w:r>
            <w:r w:rsidRPr="004F3BD8">
              <w:rPr>
                <w:rFonts w:ascii="Times" w:hAnsi="Times" w:cs="Times"/>
                <w:i/>
                <w:sz w:val="25"/>
                <w:szCs w:val="25"/>
              </w:rPr>
              <w:t>Článok 52 Zmluvy o Európskom Spoločenstve (zmenený článok 43 ES) sa má  vykladať v tom zmysle, že ak štátny príslušník Spoločenstva, ktorý je držiteľom diplomu, na ktorý sa  nevzťahuje smernica 85/384/EEC o vzájomnom uznávaní diplomov, osvedčení a iných dokladov o formálnych kvalifikáciách v architektúre, podáva žiadosť na povolenie na výkon povolania, ktorého prístup závisí od vnútroštátnych právnych predpisov od držby diplomu alebo odbornej kvalifikácie, sú príslušné orgány dotknutého členského štátu povinné zohľadniť diplom a príslušnú prax žiadateľa porovnaním špecializovaných znalostí a schopností preukázaných touto kvalifikáciou a skúseností s vedomosťami a kvalifikáciami vyžadovanými vnútroštátnymi právnymi predpismi.</w:t>
            </w:r>
            <w:r w:rsidRPr="004F3BD8">
              <w:rPr>
                <w:rFonts w:ascii="Times" w:hAnsi="Times" w:cs="Times"/>
                <w:i/>
                <w:sz w:val="25"/>
                <w:szCs w:val="25"/>
              </w:rPr>
              <w:br/>
              <w:t>Ak diplom a príslušná prax nespĺňajú vnútroštátne požiadavky pre výkon povolania architekt, vnútroštátne orgány sú povinné  žiadateľovi umožniť, aby v súlade so zásadami rovnosti zaobchádzania a proporcionality preukázal, že v skutočnosti má vedomosti, ktoré sa vyžadujú podľa vnútroštátnych právnych predpisov na výkon povolania architekt v členskom štáte, kde žiada o uznanie odbornej kvalifikácie.</w:t>
            </w:r>
          </w:p>
          <w:p w:rsidR="00020B8A" w:rsidRPr="004F3BD8" w:rsidRDefault="00020B8A" w:rsidP="00892FCB">
            <w:pPr>
              <w:pStyle w:val="Odsekzoznamu"/>
              <w:jc w:val="both"/>
              <w:rPr>
                <w:rFonts w:ascii="Times" w:hAnsi="Times" w:cs="Times"/>
                <w:b/>
                <w:i/>
                <w:sz w:val="25"/>
                <w:szCs w:val="25"/>
              </w:rPr>
            </w:pPr>
          </w:p>
          <w:p w:rsidR="00020B8A" w:rsidRPr="004F3BD8" w:rsidRDefault="00020B8A" w:rsidP="00892FCB">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ES vo veci C-202/99 </w:t>
            </w:r>
            <w:proofErr w:type="spellStart"/>
            <w:r w:rsidRPr="004F3BD8">
              <w:rPr>
                <w:rFonts w:ascii="Times" w:hAnsi="Times" w:cs="Times"/>
                <w:b/>
                <w:i/>
                <w:sz w:val="25"/>
                <w:szCs w:val="25"/>
              </w:rPr>
              <w:t>Commission</w:t>
            </w:r>
            <w:proofErr w:type="spellEnd"/>
            <w:r w:rsidRPr="004F3BD8">
              <w:rPr>
                <w:rFonts w:ascii="Times" w:hAnsi="Times" w:cs="Times"/>
                <w:b/>
                <w:i/>
                <w:sz w:val="25"/>
                <w:szCs w:val="25"/>
              </w:rPr>
              <w:t xml:space="preserve"> of </w:t>
            </w:r>
            <w:proofErr w:type="spellStart"/>
            <w:r w:rsidRPr="004F3BD8">
              <w:rPr>
                <w:rFonts w:ascii="Times" w:hAnsi="Times" w:cs="Times"/>
                <w:b/>
                <w:i/>
                <w:sz w:val="25"/>
                <w:szCs w:val="25"/>
              </w:rPr>
              <w:t>the</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European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Communities</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Italian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Republic</w:t>
            </w:r>
            <w:proofErr w:type="spellEnd"/>
            <w:r w:rsidRPr="004F3BD8">
              <w:rPr>
                <w:rFonts w:ascii="Times" w:hAnsi="Times" w:cs="Times"/>
                <w:b/>
                <w:i/>
                <w:sz w:val="25"/>
                <w:szCs w:val="25"/>
              </w:rPr>
              <w:t xml:space="preserve">, 2001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(I-09319</w:t>
            </w:r>
            <w:r w:rsidRPr="004F3BD8">
              <w:rPr>
                <w:rFonts w:ascii="Times" w:hAnsi="Times" w:cs="Times"/>
                <w:i/>
                <w:sz w:val="25"/>
                <w:szCs w:val="25"/>
              </w:rPr>
              <w:t>)- ustanovením druhého systému odbornej prípravy pre povolania zubný lekár v Talianskej republike nie je v súlade so smernicou Rady 78/687/EHS o koordinácii zákonov, iných právnych predpisov alebo správnych opatrení týkajúcich sa činností zubných lekárov. Talianska republika si nesplnila povinnosti, ktoré jej vyplývajú z tejto smernice, pokiaľ ide o činnosť zubných lekárov.</w:t>
            </w:r>
          </w:p>
          <w:p w:rsidR="00020B8A" w:rsidRPr="004F3BD8" w:rsidRDefault="00020B8A" w:rsidP="00892FCB">
            <w:pPr>
              <w:pStyle w:val="Odsekzoznamu"/>
              <w:jc w:val="both"/>
              <w:rPr>
                <w:rFonts w:ascii="Times" w:hAnsi="Times" w:cs="Times"/>
                <w:i/>
                <w:sz w:val="25"/>
                <w:szCs w:val="25"/>
              </w:rPr>
            </w:pPr>
            <w:r w:rsidRPr="004F3BD8">
              <w:rPr>
                <w:rFonts w:ascii="Times" w:hAnsi="Times" w:cs="Times"/>
                <w:i/>
                <w:sz w:val="25"/>
                <w:szCs w:val="25"/>
              </w:rPr>
              <w:t xml:space="preserve">Diplom, ku ktorému vedie druhý systém odbornej prípravy v Talianskej republike  ustanovený zákonom č. 409/85, nie je diplom v zubnom lekárstve, ale diplom v základnom lekárstve spojený s diplomom, ktorý potvrdzuje špecializáciu v odbore zubné lekárstvo. Takáto sukcesia diplomov nespĺňa požiadavky smerníc o koordinácii a </w:t>
            </w:r>
            <w:r w:rsidRPr="004F3BD8">
              <w:rPr>
                <w:rFonts w:ascii="Times" w:hAnsi="Times" w:cs="Times"/>
                <w:i/>
                <w:sz w:val="25"/>
                <w:szCs w:val="25"/>
              </w:rPr>
              <w:lastRenderedPageBreak/>
              <w:t>uznávaní, ktoré sa týkajú jednotných diplomov pre zubných lekárov.</w:t>
            </w:r>
          </w:p>
          <w:p w:rsidR="00020B8A" w:rsidRPr="004F3BD8" w:rsidRDefault="00020B8A" w:rsidP="00892FCB">
            <w:pPr>
              <w:pStyle w:val="Odsekzoznamu"/>
              <w:jc w:val="both"/>
              <w:rPr>
                <w:rFonts w:ascii="Times" w:hAnsi="Times" w:cs="Times"/>
                <w:i/>
                <w:sz w:val="25"/>
                <w:szCs w:val="25"/>
              </w:rPr>
            </w:pPr>
            <w:r w:rsidRPr="004F3BD8">
              <w:rPr>
                <w:rFonts w:ascii="Times" w:hAnsi="Times" w:cs="Times"/>
                <w:i/>
                <w:sz w:val="25"/>
                <w:szCs w:val="25"/>
              </w:rPr>
              <w:t xml:space="preserve">Súdny dvor uviedol, že nie je úlohou členských štátov, aby vytvorili kategóriu zubných lekárov, ktorá nepatrí do žiadnej kategórie stanovenej príslušnými smernicami. Na druhej strane v tomto prípade nejde o vytvorenie novej kategórie lekárov, ktorých diplomy sa nemusia uznávať v iných členských štátoch, ale o skutočné dôsledky dočasného režimu pre obmedzenú kategóriu lekárov, </w:t>
            </w:r>
          </w:p>
          <w:p w:rsidR="00020B8A" w:rsidRPr="004F3BD8" w:rsidRDefault="00020B8A" w:rsidP="00892FCB">
            <w:pPr>
              <w:pStyle w:val="Odsekzoznamu"/>
              <w:jc w:val="both"/>
              <w:rPr>
                <w:rFonts w:ascii="Times" w:hAnsi="Times" w:cs="Times"/>
                <w:i/>
                <w:sz w:val="25"/>
                <w:szCs w:val="25"/>
              </w:rPr>
            </w:pPr>
          </w:p>
          <w:p w:rsidR="00020B8A" w:rsidRPr="004F3BD8" w:rsidRDefault="00020B8A" w:rsidP="00892FCB">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vo veci C 491/13 Mohamed </w:t>
            </w:r>
            <w:proofErr w:type="spellStart"/>
            <w:r w:rsidRPr="004F3BD8">
              <w:rPr>
                <w:rFonts w:ascii="Times" w:hAnsi="Times" w:cs="Times"/>
                <w:b/>
                <w:i/>
                <w:sz w:val="25"/>
                <w:szCs w:val="25"/>
              </w:rPr>
              <w:t>Ali</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Ben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Alaya</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Bundesrepublik</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Deutschland</w:t>
            </w:r>
            <w:proofErr w:type="spellEnd"/>
            <w:r w:rsidRPr="004F3BD8">
              <w:rPr>
                <w:rFonts w:ascii="Times" w:hAnsi="Times" w:cs="Times"/>
                <w:i/>
                <w:sz w:val="25"/>
                <w:szCs w:val="25"/>
              </w:rPr>
              <w:t xml:space="preserve"> – „Článok 12 smernice Rady 2004/114/ES z 13. decembra 2004 o podmienkach prijatia štátnych príslušníkov tretích krajín na účely štúdia, výmen žiakov, neplateného odborného vzdelávania alebo dobrovoľnej služby sa má vykladať v tom zmysle, že dotknutý členský štát je povinný prijať na svoje územie štátneho príslušníka tretej krajiny, ktorý sa chce na jeho území zdržiavať dlhšie ako tri mesiace na účely štúdia, pokiaľ tento štátny príslušník spĺňa podmienky prijatia taxatívne stanovené v článkoch 6 a 7 tejto smernice a pokiaľ tento členský štát voči nemu neuplatňuje niektorý z dôvodov výslovne uvedených v danej smernici odôvodňujúcich odmietnutie udeliť povolenie na pobyt.“ (Ú. v. EÚ C 344, 23.11.2013)</w:t>
            </w:r>
          </w:p>
          <w:p w:rsidR="00020B8A" w:rsidRPr="004F3BD8" w:rsidRDefault="00020B8A" w:rsidP="00892FCB">
            <w:pPr>
              <w:pStyle w:val="Odsekzoznamu"/>
              <w:tabs>
                <w:tab w:val="left" w:pos="360"/>
              </w:tabs>
              <w:ind w:left="360"/>
            </w:pPr>
          </w:p>
        </w:tc>
      </w:tr>
      <w:tr w:rsidR="00020B8A" w:rsidRPr="004F3BD8" w:rsidTr="00892FCB">
        <w:tc>
          <w:tcPr>
            <w:tcW w:w="404" w:type="dxa"/>
          </w:tcPr>
          <w:p w:rsidR="00020B8A" w:rsidRPr="004F3BD8" w:rsidRDefault="00020B8A" w:rsidP="00892FCB">
            <w:pPr>
              <w:tabs>
                <w:tab w:val="left" w:pos="360"/>
              </w:tabs>
              <w:rPr>
                <w:b/>
              </w:rPr>
            </w:pPr>
          </w:p>
        </w:tc>
        <w:tc>
          <w:tcPr>
            <w:tcW w:w="9627" w:type="dxa"/>
          </w:tcPr>
          <w:p w:rsidR="00020B8A" w:rsidRPr="004F3BD8" w:rsidRDefault="00020B8A" w:rsidP="00892FCB">
            <w:pPr>
              <w:tabs>
                <w:tab w:val="left" w:pos="360"/>
              </w:tabs>
            </w:pPr>
          </w:p>
        </w:tc>
      </w:tr>
    </w:tbl>
    <w:p w:rsidR="00020B8A" w:rsidRPr="004F3BD8" w:rsidRDefault="00020B8A" w:rsidP="00020B8A">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020B8A" w:rsidRPr="004F3BD8" w:rsidTr="00892FCB">
        <w:trPr>
          <w:jc w:val="center"/>
        </w:trPr>
        <w:tc>
          <w:tcPr>
            <w:tcW w:w="250" w:type="pct"/>
            <w:tcBorders>
              <w:top w:val="nil"/>
              <w:left w:val="nil"/>
              <w:bottom w:val="nil"/>
              <w:right w:val="nil"/>
            </w:tcBorders>
            <w:hideMark/>
          </w:tcPr>
          <w:p w:rsidR="00020B8A" w:rsidRPr="004F3BD8" w:rsidRDefault="00020B8A" w:rsidP="00892FCB">
            <w:pPr>
              <w:rPr>
                <w:rFonts w:ascii="Times" w:hAnsi="Times" w:cs="Times"/>
                <w:b/>
                <w:bCs/>
                <w:sz w:val="25"/>
                <w:szCs w:val="25"/>
              </w:rPr>
            </w:pPr>
            <w:r w:rsidRPr="004F3BD8">
              <w:rPr>
                <w:rFonts w:ascii="Times" w:hAnsi="Times" w:cs="Times"/>
                <w:b/>
                <w:bCs/>
                <w:sz w:val="25"/>
                <w:szCs w:val="25"/>
              </w:rPr>
              <w:t>4.</w:t>
            </w:r>
          </w:p>
        </w:tc>
        <w:tc>
          <w:tcPr>
            <w:tcW w:w="4750" w:type="pct"/>
            <w:gridSpan w:val="2"/>
            <w:tcBorders>
              <w:top w:val="nil"/>
              <w:left w:val="nil"/>
              <w:bottom w:val="nil"/>
              <w:right w:val="nil"/>
            </w:tcBorders>
            <w:vAlign w:val="center"/>
            <w:hideMark/>
          </w:tcPr>
          <w:p w:rsidR="00020B8A" w:rsidRPr="004F3BD8" w:rsidRDefault="00020B8A" w:rsidP="00892FCB">
            <w:pPr>
              <w:spacing w:after="250"/>
              <w:rPr>
                <w:rFonts w:ascii="Times" w:hAnsi="Times" w:cs="Times"/>
                <w:b/>
                <w:bCs/>
                <w:sz w:val="25"/>
                <w:szCs w:val="25"/>
              </w:rPr>
            </w:pPr>
            <w:r w:rsidRPr="004F3BD8">
              <w:rPr>
                <w:rFonts w:ascii="Times" w:hAnsi="Times" w:cs="Times"/>
                <w:b/>
                <w:bCs/>
                <w:sz w:val="25"/>
                <w:szCs w:val="25"/>
              </w:rPr>
              <w:t>Záväzky Slovenskej republiky vo vzťahu k Európskej únii:</w:t>
            </w:r>
          </w:p>
        </w:tc>
      </w:tr>
      <w:tr w:rsidR="00020B8A" w:rsidRPr="004F3BD8" w:rsidTr="00892FCB">
        <w:trPr>
          <w:jc w:val="center"/>
        </w:trPr>
        <w:tc>
          <w:tcPr>
            <w:tcW w:w="0" w:type="auto"/>
            <w:tcBorders>
              <w:top w:val="nil"/>
              <w:left w:val="nil"/>
              <w:bottom w:val="nil"/>
              <w:right w:val="nil"/>
            </w:tcBorders>
            <w:hideMark/>
          </w:tcPr>
          <w:p w:rsidR="00020B8A" w:rsidRPr="004F3BD8" w:rsidRDefault="00020B8A" w:rsidP="00892FCB">
            <w:pPr>
              <w:spacing w:after="250"/>
              <w:rPr>
                <w:rFonts w:ascii="Times" w:hAnsi="Times" w:cs="Times"/>
                <w:b/>
                <w:bCs/>
                <w:sz w:val="25"/>
                <w:szCs w:val="25"/>
              </w:rPr>
            </w:pPr>
          </w:p>
        </w:tc>
        <w:tc>
          <w:tcPr>
            <w:tcW w:w="150" w:type="pct"/>
            <w:tcBorders>
              <w:top w:val="nil"/>
              <w:left w:val="nil"/>
              <w:bottom w:val="nil"/>
              <w:right w:val="nil"/>
            </w:tcBorders>
            <w:hideMark/>
          </w:tcPr>
          <w:p w:rsidR="00020B8A" w:rsidRPr="004F3BD8" w:rsidRDefault="00020B8A" w:rsidP="00892FCB">
            <w:pPr>
              <w:rPr>
                <w:rFonts w:ascii="Times" w:hAnsi="Times" w:cs="Times"/>
                <w:sz w:val="25"/>
                <w:szCs w:val="25"/>
              </w:rPr>
            </w:pPr>
            <w:r w:rsidRPr="004F3BD8">
              <w:rPr>
                <w:rFonts w:ascii="Times" w:hAnsi="Times" w:cs="Times"/>
                <w:sz w:val="25"/>
                <w:szCs w:val="25"/>
              </w:rPr>
              <w:t>a)</w:t>
            </w:r>
          </w:p>
        </w:tc>
        <w:tc>
          <w:tcPr>
            <w:tcW w:w="0" w:type="auto"/>
            <w:tcBorders>
              <w:top w:val="nil"/>
              <w:left w:val="nil"/>
              <w:bottom w:val="nil"/>
              <w:right w:val="nil"/>
            </w:tcBorders>
            <w:vAlign w:val="center"/>
            <w:hideMark/>
          </w:tcPr>
          <w:p w:rsidR="00020B8A" w:rsidRPr="004F3BD8" w:rsidRDefault="00020B8A" w:rsidP="00892FCB">
            <w:pPr>
              <w:spacing w:after="250"/>
              <w:rPr>
                <w:rFonts w:ascii="Times" w:hAnsi="Times" w:cs="Times"/>
                <w:sz w:val="25"/>
                <w:szCs w:val="25"/>
              </w:rPr>
            </w:pPr>
            <w:r w:rsidRPr="004F3BD8">
              <w:rPr>
                <w:rFonts w:ascii="Times" w:hAnsi="Times" w:cs="Times"/>
                <w:sz w:val="25"/>
                <w:szCs w:val="25"/>
              </w:rPr>
              <w:t>lehota na prebranie príslušného právneho aktu Európskej únie, príp. aj osobitná lehotu účinnosti jeho ustanovení</w:t>
            </w:r>
          </w:p>
        </w:tc>
      </w:tr>
      <w:tr w:rsidR="00020B8A" w:rsidRPr="004F3BD8" w:rsidTr="00892FCB">
        <w:trPr>
          <w:jc w:val="center"/>
        </w:trPr>
        <w:tc>
          <w:tcPr>
            <w:tcW w:w="0" w:type="auto"/>
            <w:tcBorders>
              <w:top w:val="nil"/>
              <w:left w:val="nil"/>
              <w:bottom w:val="nil"/>
              <w:right w:val="nil"/>
            </w:tcBorders>
            <w:hideMark/>
          </w:tcPr>
          <w:p w:rsidR="00020B8A" w:rsidRPr="004F3BD8" w:rsidRDefault="00020B8A" w:rsidP="00892FCB">
            <w:pPr>
              <w:spacing w:after="250"/>
              <w:rPr>
                <w:rFonts w:ascii="Times" w:hAnsi="Times" w:cs="Times"/>
                <w:sz w:val="25"/>
                <w:szCs w:val="25"/>
              </w:rPr>
            </w:pPr>
          </w:p>
        </w:tc>
        <w:tc>
          <w:tcPr>
            <w:tcW w:w="0" w:type="auto"/>
            <w:tcBorders>
              <w:top w:val="nil"/>
              <w:left w:val="nil"/>
              <w:bottom w:val="nil"/>
              <w:right w:val="nil"/>
            </w:tcBorders>
            <w:hideMark/>
          </w:tcPr>
          <w:p w:rsidR="00020B8A" w:rsidRPr="004F3BD8" w:rsidRDefault="00020B8A" w:rsidP="00892FCB">
            <w:pPr>
              <w:rPr>
                <w:sz w:val="20"/>
                <w:szCs w:val="20"/>
              </w:rPr>
            </w:pPr>
          </w:p>
        </w:tc>
        <w:tc>
          <w:tcPr>
            <w:tcW w:w="0" w:type="auto"/>
            <w:tcBorders>
              <w:top w:val="nil"/>
              <w:left w:val="nil"/>
              <w:bottom w:val="nil"/>
              <w:right w:val="nil"/>
            </w:tcBorders>
            <w:vAlign w:val="center"/>
            <w:hideMark/>
          </w:tcPr>
          <w:p w:rsidR="00020B8A" w:rsidRPr="004F3BD8" w:rsidRDefault="00020B8A" w:rsidP="00892FCB">
            <w:pPr>
              <w:spacing w:after="250"/>
              <w:jc w:val="both"/>
              <w:rPr>
                <w:rFonts w:ascii="Times" w:hAnsi="Times" w:cs="Times"/>
                <w:i/>
                <w:sz w:val="25"/>
                <w:szCs w:val="25"/>
              </w:rPr>
            </w:pPr>
            <w:r w:rsidRPr="004F3BD8">
              <w:rPr>
                <w:rFonts w:ascii="Times" w:hAnsi="Times" w:cs="Times"/>
                <w:i/>
                <w:sz w:val="25"/>
                <w:szCs w:val="25"/>
              </w:rPr>
              <w:t>Lehota na prebratie smernice Európskeho parlamentu a Rady 2005/36/ES zo 7. septembra 2005 o uznávaní odborných kvalifikácií je do 20. októbra 2007. Lehota na prebratie smernice Európskeho parlamentu a Rady 2013/55/EÚ z 20. novembra 2013, ktorou sa mení smernica 2005/36/ES o uznávaní odborných kvalifikácií a nariadenie (EÚ) č. 1024/2012 o administratívnej spolupráci prostredníctvom informačného systému o vnútornom trhu (nariadenie o IMI) je do 18. januára 2016.</w:t>
            </w:r>
            <w:r w:rsidRPr="004F3BD8">
              <w:rPr>
                <w:rFonts w:ascii="Times" w:hAnsi="Times" w:cs="Times"/>
                <w:i/>
                <w:sz w:val="25"/>
                <w:szCs w:val="25"/>
              </w:rPr>
              <w:br/>
            </w:r>
          </w:p>
        </w:tc>
      </w:tr>
      <w:tr w:rsidR="00020B8A" w:rsidRPr="004F3BD8" w:rsidTr="00892FCB">
        <w:trPr>
          <w:jc w:val="center"/>
        </w:trPr>
        <w:tc>
          <w:tcPr>
            <w:tcW w:w="0" w:type="auto"/>
            <w:tcBorders>
              <w:top w:val="nil"/>
              <w:left w:val="nil"/>
              <w:bottom w:val="nil"/>
              <w:right w:val="nil"/>
            </w:tcBorders>
            <w:hideMark/>
          </w:tcPr>
          <w:p w:rsidR="00020B8A" w:rsidRPr="004F3BD8" w:rsidRDefault="00020B8A" w:rsidP="00892FCB">
            <w:pPr>
              <w:spacing w:after="250"/>
              <w:rPr>
                <w:rFonts w:ascii="Times" w:hAnsi="Times" w:cs="Times"/>
                <w:sz w:val="25"/>
                <w:szCs w:val="25"/>
              </w:rPr>
            </w:pPr>
          </w:p>
        </w:tc>
        <w:tc>
          <w:tcPr>
            <w:tcW w:w="0" w:type="auto"/>
            <w:tcBorders>
              <w:top w:val="nil"/>
              <w:left w:val="nil"/>
              <w:bottom w:val="nil"/>
              <w:right w:val="nil"/>
            </w:tcBorders>
            <w:hideMark/>
          </w:tcPr>
          <w:p w:rsidR="00020B8A" w:rsidRPr="004F3BD8" w:rsidRDefault="00020B8A" w:rsidP="00892FCB">
            <w:pPr>
              <w:rPr>
                <w:rFonts w:ascii="Times" w:hAnsi="Times" w:cs="Times"/>
                <w:sz w:val="25"/>
                <w:szCs w:val="25"/>
              </w:rPr>
            </w:pPr>
            <w:r w:rsidRPr="004F3BD8">
              <w:rPr>
                <w:rFonts w:ascii="Times" w:hAnsi="Times" w:cs="Times"/>
                <w:sz w:val="25"/>
                <w:szCs w:val="25"/>
              </w:rPr>
              <w:t>b)</w:t>
            </w:r>
          </w:p>
        </w:tc>
        <w:tc>
          <w:tcPr>
            <w:tcW w:w="0" w:type="auto"/>
            <w:tcBorders>
              <w:top w:val="nil"/>
              <w:left w:val="nil"/>
              <w:bottom w:val="nil"/>
              <w:right w:val="nil"/>
            </w:tcBorders>
            <w:vAlign w:val="center"/>
            <w:hideMark/>
          </w:tcPr>
          <w:p w:rsidR="00020B8A" w:rsidRPr="004F3BD8" w:rsidRDefault="00020B8A" w:rsidP="00892FCB">
            <w:pPr>
              <w:spacing w:after="250"/>
              <w:jc w:val="both"/>
              <w:rPr>
                <w:rFonts w:ascii="Times" w:hAnsi="Times" w:cs="Times"/>
                <w:sz w:val="25"/>
                <w:szCs w:val="25"/>
              </w:rPr>
            </w:pPr>
            <w:r w:rsidRPr="004F3BD8">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020B8A" w:rsidRPr="00FD1BAC" w:rsidTr="00892FCB">
        <w:trPr>
          <w:trHeight w:val="4404"/>
          <w:jc w:val="center"/>
        </w:trPr>
        <w:tc>
          <w:tcPr>
            <w:tcW w:w="0" w:type="auto"/>
            <w:tcBorders>
              <w:top w:val="nil"/>
              <w:left w:val="nil"/>
              <w:bottom w:val="nil"/>
              <w:right w:val="nil"/>
            </w:tcBorders>
            <w:hideMark/>
          </w:tcPr>
          <w:p w:rsidR="00020B8A" w:rsidRPr="004F3BD8" w:rsidRDefault="00020B8A" w:rsidP="00892FCB">
            <w:pPr>
              <w:spacing w:after="250"/>
              <w:rPr>
                <w:rFonts w:ascii="Times" w:hAnsi="Times" w:cs="Times"/>
                <w:sz w:val="25"/>
                <w:szCs w:val="25"/>
              </w:rPr>
            </w:pPr>
          </w:p>
        </w:tc>
        <w:tc>
          <w:tcPr>
            <w:tcW w:w="0" w:type="auto"/>
            <w:tcBorders>
              <w:top w:val="nil"/>
              <w:left w:val="nil"/>
              <w:bottom w:val="nil"/>
              <w:right w:val="nil"/>
            </w:tcBorders>
            <w:hideMark/>
          </w:tcPr>
          <w:p w:rsidR="00020B8A" w:rsidRPr="004F3BD8" w:rsidRDefault="00020B8A" w:rsidP="00892FCB">
            <w:pPr>
              <w:rPr>
                <w:sz w:val="20"/>
                <w:szCs w:val="20"/>
              </w:rPr>
            </w:pPr>
          </w:p>
        </w:tc>
        <w:tc>
          <w:tcPr>
            <w:tcW w:w="0" w:type="auto"/>
            <w:tcBorders>
              <w:top w:val="nil"/>
              <w:left w:val="nil"/>
              <w:bottom w:val="nil"/>
              <w:right w:val="nil"/>
            </w:tcBorders>
            <w:vAlign w:val="center"/>
            <w:hideMark/>
          </w:tcPr>
          <w:p w:rsidR="00020B8A" w:rsidRPr="00FD1BAC" w:rsidRDefault="00020B8A" w:rsidP="00892FCB">
            <w:pPr>
              <w:spacing w:after="250"/>
              <w:jc w:val="both"/>
              <w:rPr>
                <w:rFonts w:ascii="Times" w:hAnsi="Times" w:cs="Times"/>
                <w:i/>
                <w:sz w:val="25"/>
                <w:szCs w:val="25"/>
              </w:rPr>
            </w:pPr>
            <w:r w:rsidRPr="00FD1BAC">
              <w:rPr>
                <w:rFonts w:ascii="Times" w:hAnsi="Times" w:cs="Times"/>
                <w:i/>
                <w:sz w:val="25"/>
                <w:szCs w:val="25"/>
              </w:rPr>
              <w:t>Ku dňu predloženia návrhu zákona v oblasti jeho právnej úpravy</w:t>
            </w:r>
          </w:p>
          <w:p w:rsidR="00020B8A" w:rsidRPr="00FD1BAC" w:rsidRDefault="00020B8A" w:rsidP="00892FCB">
            <w:pPr>
              <w:numPr>
                <w:ilvl w:val="0"/>
                <w:numId w:val="3"/>
              </w:numPr>
              <w:spacing w:after="250"/>
              <w:jc w:val="both"/>
              <w:rPr>
                <w:rFonts w:ascii="Times" w:hAnsi="Times" w:cs="Times"/>
                <w:i/>
                <w:sz w:val="25"/>
                <w:szCs w:val="25"/>
              </w:rPr>
            </w:pPr>
            <w:r w:rsidRPr="00FD1BAC">
              <w:rPr>
                <w:rFonts w:ascii="Times" w:hAnsi="Times" w:cs="Times"/>
                <w:i/>
                <w:sz w:val="25"/>
                <w:szCs w:val="25"/>
              </w:rPr>
              <w:t>nebolo začaté konanie v rámci „EÚ Pilot“</w:t>
            </w:r>
          </w:p>
          <w:p w:rsidR="00020B8A" w:rsidRPr="00FD1BAC" w:rsidRDefault="00020B8A" w:rsidP="00892FCB">
            <w:pPr>
              <w:numPr>
                <w:ilvl w:val="0"/>
                <w:numId w:val="3"/>
              </w:numPr>
              <w:spacing w:after="250"/>
              <w:jc w:val="both"/>
              <w:rPr>
                <w:rFonts w:ascii="Times" w:hAnsi="Times" w:cs="Times"/>
                <w:i/>
                <w:sz w:val="25"/>
                <w:szCs w:val="25"/>
              </w:rPr>
            </w:pPr>
            <w:r w:rsidRPr="00FD1BAC">
              <w:rPr>
                <w:rFonts w:ascii="Times" w:hAnsi="Times" w:cs="Times"/>
                <w:i/>
                <w:sz w:val="25"/>
                <w:szCs w:val="25"/>
              </w:rPr>
              <w:t>bol začatý postup Európskej komisie podľa čl. 258 a 260 Zmluvy o fungovaní Európskej únie v jej platnom znení</w:t>
            </w:r>
          </w:p>
          <w:p w:rsidR="00020B8A" w:rsidRPr="00FD1BAC" w:rsidRDefault="00020B8A" w:rsidP="00892FCB">
            <w:pPr>
              <w:pStyle w:val="Odsekzoznamu"/>
              <w:numPr>
                <w:ilvl w:val="0"/>
                <w:numId w:val="4"/>
              </w:numPr>
              <w:spacing w:after="250"/>
              <w:ind w:left="1235" w:hanging="425"/>
              <w:jc w:val="both"/>
              <w:rPr>
                <w:rFonts w:ascii="Times" w:hAnsi="Times" w:cs="Times"/>
                <w:i/>
                <w:sz w:val="25"/>
                <w:szCs w:val="25"/>
              </w:rPr>
            </w:pPr>
            <w:r w:rsidRPr="00FD1BAC">
              <w:rPr>
                <w:rFonts w:ascii="Times" w:hAnsi="Times" w:cs="Times"/>
                <w:i/>
                <w:sz w:val="25"/>
                <w:szCs w:val="25"/>
              </w:rPr>
              <w:t xml:space="preserve">porušenie č. 2018/2183 C(2019) 1208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 0</w:t>
            </w:r>
            <w:r>
              <w:rPr>
                <w:rFonts w:ascii="Times" w:hAnsi="Times" w:cs="Times"/>
                <w:i/>
                <w:sz w:val="25"/>
                <w:szCs w:val="25"/>
              </w:rPr>
              <w:t>7</w:t>
            </w:r>
            <w:r w:rsidRPr="00FD1BAC">
              <w:rPr>
                <w:rFonts w:ascii="Times" w:hAnsi="Times" w:cs="Times"/>
                <w:i/>
                <w:sz w:val="25"/>
                <w:szCs w:val="25"/>
              </w:rPr>
              <w:t>. 03. 2019, odôvodnené stanovisko</w:t>
            </w:r>
            <w:r>
              <w:rPr>
                <w:rFonts w:ascii="Times" w:hAnsi="Times" w:cs="Times"/>
                <w:i/>
                <w:sz w:val="25"/>
                <w:szCs w:val="25"/>
              </w:rPr>
              <w:t xml:space="preserve">; </w:t>
            </w:r>
            <w:r w:rsidRPr="0051404E">
              <w:rPr>
                <w:rFonts w:ascii="Times" w:hAnsi="Times" w:cs="Times"/>
                <w:i/>
                <w:sz w:val="25"/>
                <w:szCs w:val="25"/>
              </w:rPr>
              <w:t>nesúlad právnej úpravy SR so smernicou Európskeho parlamentu a Rady 2013/55/EÚ, ktorou sa mení smernica 2005/36/ES o uznávaní odborných kvalifikácií a nariadenie (EÚ) č. 1024/2012 o administratívnej spolupráci prostredníctvom informačného systému o vnútornom trhu (nariadenie o IMI)</w:t>
            </w:r>
            <w:r w:rsidRPr="00FD1BAC">
              <w:rPr>
                <w:rFonts w:ascii="Times" w:hAnsi="Times" w:cs="Times"/>
                <w:i/>
                <w:sz w:val="25"/>
                <w:szCs w:val="25"/>
              </w:rPr>
              <w:t xml:space="preserve">, </w:t>
            </w:r>
          </w:p>
          <w:p w:rsidR="00020B8A" w:rsidRPr="00FD1BAC" w:rsidRDefault="00020B8A" w:rsidP="00892FCB">
            <w:pPr>
              <w:pStyle w:val="Odsekzoznamu"/>
              <w:numPr>
                <w:ilvl w:val="0"/>
                <w:numId w:val="4"/>
              </w:numPr>
              <w:spacing w:after="250"/>
              <w:ind w:left="1235" w:hanging="425"/>
              <w:jc w:val="both"/>
              <w:rPr>
                <w:rFonts w:ascii="Times" w:hAnsi="Times" w:cs="Times"/>
                <w:i/>
                <w:sz w:val="25"/>
                <w:szCs w:val="25"/>
              </w:rPr>
            </w:pPr>
            <w:r w:rsidRPr="00FD1BAC">
              <w:rPr>
                <w:rFonts w:ascii="Times" w:hAnsi="Times" w:cs="Times"/>
                <w:i/>
                <w:sz w:val="25"/>
                <w:szCs w:val="25"/>
              </w:rPr>
              <w:t xml:space="preserve">porušenie č. 2018/2414 C(2019) 4151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zo 0</w:t>
            </w:r>
            <w:r>
              <w:rPr>
                <w:rFonts w:ascii="Times" w:hAnsi="Times" w:cs="Times"/>
                <w:i/>
                <w:sz w:val="25"/>
                <w:szCs w:val="25"/>
              </w:rPr>
              <w:t>6</w:t>
            </w:r>
            <w:r w:rsidRPr="00FD1BAC">
              <w:rPr>
                <w:rFonts w:ascii="Times" w:hAnsi="Times" w:cs="Times"/>
                <w:i/>
                <w:sz w:val="25"/>
                <w:szCs w:val="25"/>
              </w:rPr>
              <w:t>.06.2019, formálna výzva</w:t>
            </w:r>
            <w:r>
              <w:rPr>
                <w:rFonts w:ascii="Times" w:hAnsi="Times" w:cs="Times"/>
                <w:i/>
                <w:sz w:val="25"/>
                <w:szCs w:val="25"/>
              </w:rPr>
              <w:t xml:space="preserve">; </w:t>
            </w:r>
            <w:r w:rsidRPr="0051404E">
              <w:rPr>
                <w:rFonts w:ascii="Times" w:hAnsi="Times" w:cs="Times"/>
                <w:i/>
                <w:sz w:val="25"/>
                <w:szCs w:val="25"/>
              </w:rPr>
              <w:t>nesplnenie povinností SR, ktoré vyplývajú čl. 6 – 8 smernice Európskeho parlamentu a Rady 2006/123 o službách na vnútornom trhu ako aj z čl. 57 ods. 1 a 2 a čl. 57a smernice o uznávaní odborných kvalifikácií</w:t>
            </w:r>
            <w:r>
              <w:rPr>
                <w:rFonts w:ascii="Times" w:hAnsi="Times" w:cs="Times"/>
                <w:i/>
                <w:sz w:val="25"/>
                <w:szCs w:val="25"/>
              </w:rPr>
              <w:t>,</w:t>
            </w:r>
          </w:p>
          <w:p w:rsidR="00020B8A" w:rsidRPr="00753531" w:rsidRDefault="00020B8A" w:rsidP="00892FCB">
            <w:pPr>
              <w:pStyle w:val="Odsekzoznamu"/>
              <w:numPr>
                <w:ilvl w:val="0"/>
                <w:numId w:val="4"/>
              </w:numPr>
              <w:spacing w:after="250"/>
              <w:ind w:left="1235" w:hanging="425"/>
              <w:jc w:val="both"/>
            </w:pPr>
            <w:r w:rsidRPr="00FD1BAC">
              <w:rPr>
                <w:rFonts w:ascii="Times" w:hAnsi="Times" w:cs="Times"/>
                <w:i/>
                <w:sz w:val="25"/>
                <w:szCs w:val="25"/>
              </w:rPr>
              <w:t xml:space="preserve">porušenie č. 2018/2304 C(2019) 8498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 27.11.2019, odôvodnené stanovisko</w:t>
            </w:r>
            <w:r>
              <w:rPr>
                <w:rFonts w:ascii="Times" w:hAnsi="Times" w:cs="Times"/>
                <w:i/>
                <w:sz w:val="25"/>
                <w:szCs w:val="25"/>
              </w:rPr>
              <w:t xml:space="preserve"> (</w:t>
            </w:r>
            <w:r w:rsidRPr="0051404E">
              <w:rPr>
                <w:rFonts w:ascii="Times" w:hAnsi="Times" w:cs="Times"/>
                <w:i/>
                <w:sz w:val="25"/>
                <w:szCs w:val="25"/>
              </w:rPr>
              <w:t xml:space="preserve">20.12.2022 bola podaná žaloba na Súdny dvor Európskej únie </w:t>
            </w:r>
            <w:r>
              <w:rPr>
                <w:rFonts w:ascii="Times" w:hAnsi="Times" w:cs="Times"/>
                <w:i/>
                <w:sz w:val="25"/>
                <w:szCs w:val="25"/>
              </w:rPr>
              <w:t>č.</w:t>
            </w:r>
            <w:r w:rsidRPr="0051404E">
              <w:rPr>
                <w:rFonts w:ascii="Times" w:hAnsi="Times" w:cs="Times"/>
                <w:i/>
                <w:sz w:val="25"/>
                <w:szCs w:val="25"/>
              </w:rPr>
              <w:t xml:space="preserve"> C-773/22)</w:t>
            </w:r>
            <w:r>
              <w:rPr>
                <w:rFonts w:ascii="Times" w:hAnsi="Times" w:cs="Times"/>
                <w:i/>
                <w:sz w:val="25"/>
                <w:szCs w:val="25"/>
              </w:rPr>
              <w:t xml:space="preserve">; </w:t>
            </w:r>
            <w:r w:rsidRPr="0051404E">
              <w:rPr>
                <w:rFonts w:ascii="Times" w:hAnsi="Times" w:cs="Times"/>
                <w:i/>
                <w:sz w:val="25"/>
                <w:szCs w:val="25"/>
              </w:rPr>
              <w:t>nesúlad právnej úpravy SR so smernicou Európskeho parlamentu a Rady 2005/36/ES o uznávaní odborných kvalifikácií a s čl. 45, 49, 56 a 57 Zmluvy o fungovaní Európskej únie</w:t>
            </w:r>
            <w:r w:rsidRPr="00F262FA">
              <w:t>.</w:t>
            </w:r>
          </w:p>
          <w:p w:rsidR="00020B8A" w:rsidRDefault="00020B8A" w:rsidP="00892FCB">
            <w:pPr>
              <w:numPr>
                <w:ilvl w:val="0"/>
                <w:numId w:val="3"/>
              </w:numPr>
              <w:spacing w:after="250"/>
              <w:jc w:val="both"/>
              <w:rPr>
                <w:rFonts w:ascii="Times" w:hAnsi="Times" w:cs="Times"/>
                <w:i/>
                <w:sz w:val="25"/>
                <w:szCs w:val="25"/>
              </w:rPr>
            </w:pPr>
            <w:r w:rsidRPr="00FD1BAC">
              <w:rPr>
                <w:rFonts w:ascii="Times" w:hAnsi="Times" w:cs="Times"/>
                <w:i/>
                <w:sz w:val="25"/>
                <w:szCs w:val="25"/>
              </w:rPr>
              <w:t xml:space="preserve">bolo začaté konanie Súdneho dvora Európskej únie proti Slovenskej republike </w:t>
            </w:r>
          </w:p>
          <w:p w:rsidR="00020B8A" w:rsidRPr="00151F01" w:rsidRDefault="00020B8A" w:rsidP="00892FCB">
            <w:pPr>
              <w:pStyle w:val="Odsekzoznamu"/>
              <w:numPr>
                <w:ilvl w:val="0"/>
                <w:numId w:val="5"/>
              </w:numPr>
              <w:spacing w:after="250"/>
              <w:ind w:left="1235" w:hanging="425"/>
              <w:jc w:val="both"/>
              <w:rPr>
                <w:rFonts w:ascii="Times" w:hAnsi="Times" w:cs="Times"/>
                <w:i/>
                <w:sz w:val="25"/>
                <w:szCs w:val="25"/>
              </w:rPr>
            </w:pPr>
            <w:r>
              <w:rPr>
                <w:rFonts w:ascii="Times" w:hAnsi="Times" w:cs="Times"/>
                <w:i/>
                <w:sz w:val="25"/>
                <w:szCs w:val="25"/>
              </w:rPr>
              <w:t xml:space="preserve">Žaloba Európskej komisie proti Slovenskej republike č. </w:t>
            </w:r>
            <w:r w:rsidRPr="00513755">
              <w:rPr>
                <w:rFonts w:ascii="Times" w:hAnsi="Times" w:cs="Times"/>
                <w:i/>
                <w:sz w:val="25"/>
                <w:szCs w:val="25"/>
              </w:rPr>
              <w:t>C-773/22</w:t>
            </w:r>
            <w:r>
              <w:rPr>
                <w:rFonts w:ascii="Times" w:hAnsi="Times" w:cs="Times"/>
                <w:i/>
                <w:sz w:val="25"/>
                <w:szCs w:val="25"/>
              </w:rPr>
              <w:t xml:space="preserve"> z 20. 12. 2022.</w:t>
            </w:r>
          </w:p>
          <w:p w:rsidR="00020B8A" w:rsidRPr="00FD1BAC" w:rsidRDefault="00020B8A" w:rsidP="00892FCB">
            <w:pPr>
              <w:spacing w:after="250"/>
              <w:jc w:val="both"/>
              <w:rPr>
                <w:rFonts w:ascii="Times" w:hAnsi="Times" w:cs="Times"/>
                <w:i/>
                <w:sz w:val="25"/>
                <w:szCs w:val="25"/>
              </w:rPr>
            </w:pPr>
          </w:p>
        </w:tc>
      </w:tr>
      <w:tr w:rsidR="00020B8A" w:rsidRPr="004F3BD8" w:rsidTr="00892FCB">
        <w:trPr>
          <w:jc w:val="center"/>
        </w:trPr>
        <w:tc>
          <w:tcPr>
            <w:tcW w:w="0" w:type="auto"/>
            <w:tcBorders>
              <w:top w:val="nil"/>
              <w:left w:val="nil"/>
              <w:bottom w:val="nil"/>
              <w:right w:val="nil"/>
            </w:tcBorders>
            <w:hideMark/>
          </w:tcPr>
          <w:p w:rsidR="00020B8A" w:rsidRPr="004F3BD8" w:rsidRDefault="00020B8A" w:rsidP="00892FCB">
            <w:pPr>
              <w:spacing w:after="250"/>
              <w:rPr>
                <w:rFonts w:ascii="Times" w:hAnsi="Times" w:cs="Times"/>
                <w:sz w:val="25"/>
                <w:szCs w:val="25"/>
              </w:rPr>
            </w:pPr>
          </w:p>
        </w:tc>
        <w:tc>
          <w:tcPr>
            <w:tcW w:w="0" w:type="auto"/>
            <w:tcBorders>
              <w:top w:val="nil"/>
              <w:left w:val="nil"/>
              <w:bottom w:val="nil"/>
              <w:right w:val="nil"/>
            </w:tcBorders>
            <w:hideMark/>
          </w:tcPr>
          <w:p w:rsidR="00020B8A" w:rsidRPr="004F3BD8" w:rsidRDefault="00020B8A" w:rsidP="00892FCB">
            <w:pPr>
              <w:rPr>
                <w:rFonts w:ascii="Times" w:hAnsi="Times" w:cs="Times"/>
                <w:sz w:val="25"/>
                <w:szCs w:val="25"/>
              </w:rPr>
            </w:pPr>
            <w:r w:rsidRPr="004F3BD8">
              <w:rPr>
                <w:rFonts w:ascii="Times" w:hAnsi="Times" w:cs="Times"/>
                <w:sz w:val="25"/>
                <w:szCs w:val="25"/>
              </w:rPr>
              <w:t>c)</w:t>
            </w:r>
          </w:p>
        </w:tc>
        <w:tc>
          <w:tcPr>
            <w:tcW w:w="0" w:type="auto"/>
            <w:tcBorders>
              <w:top w:val="nil"/>
              <w:left w:val="nil"/>
              <w:bottom w:val="nil"/>
              <w:right w:val="nil"/>
            </w:tcBorders>
            <w:vAlign w:val="center"/>
            <w:hideMark/>
          </w:tcPr>
          <w:p w:rsidR="00020B8A" w:rsidRPr="004F3BD8" w:rsidRDefault="00020B8A" w:rsidP="00892FCB">
            <w:pPr>
              <w:spacing w:after="250"/>
              <w:rPr>
                <w:rFonts w:ascii="Times" w:hAnsi="Times" w:cs="Times"/>
                <w:sz w:val="25"/>
                <w:szCs w:val="25"/>
              </w:rPr>
            </w:pPr>
            <w:r w:rsidRPr="004F3BD8">
              <w:rPr>
                <w:rFonts w:ascii="Times" w:hAnsi="Times" w:cs="Times"/>
                <w:sz w:val="25"/>
                <w:szCs w:val="25"/>
              </w:rPr>
              <w:t>informácia o právnych predpisoch, v ktorých sú uvádzané právne akty Európskej únie už prebrané, spolu s uvedením rozsahu ich prebrania, príp. potreby prijatia ďalších úprav</w:t>
            </w:r>
          </w:p>
        </w:tc>
      </w:tr>
      <w:tr w:rsidR="00020B8A" w:rsidRPr="004F3BD8" w:rsidTr="00892FCB">
        <w:trPr>
          <w:jc w:val="center"/>
        </w:trPr>
        <w:tc>
          <w:tcPr>
            <w:tcW w:w="0" w:type="auto"/>
            <w:tcBorders>
              <w:top w:val="nil"/>
              <w:left w:val="nil"/>
              <w:bottom w:val="nil"/>
              <w:right w:val="nil"/>
            </w:tcBorders>
            <w:hideMark/>
          </w:tcPr>
          <w:p w:rsidR="00020B8A" w:rsidRPr="004F3BD8" w:rsidRDefault="00020B8A" w:rsidP="00892FCB">
            <w:pPr>
              <w:spacing w:after="250"/>
              <w:rPr>
                <w:rFonts w:ascii="Times" w:hAnsi="Times" w:cs="Times"/>
                <w:sz w:val="25"/>
                <w:szCs w:val="25"/>
              </w:rPr>
            </w:pPr>
          </w:p>
        </w:tc>
        <w:tc>
          <w:tcPr>
            <w:tcW w:w="0" w:type="auto"/>
            <w:tcBorders>
              <w:top w:val="nil"/>
              <w:left w:val="nil"/>
              <w:bottom w:val="nil"/>
              <w:right w:val="nil"/>
            </w:tcBorders>
            <w:hideMark/>
          </w:tcPr>
          <w:p w:rsidR="00020B8A" w:rsidRPr="004F3BD8" w:rsidRDefault="00020B8A" w:rsidP="00892FCB">
            <w:pPr>
              <w:rPr>
                <w:sz w:val="20"/>
                <w:szCs w:val="20"/>
              </w:rPr>
            </w:pPr>
          </w:p>
        </w:tc>
        <w:tc>
          <w:tcPr>
            <w:tcW w:w="0" w:type="auto"/>
            <w:tcBorders>
              <w:top w:val="nil"/>
              <w:left w:val="nil"/>
              <w:bottom w:val="nil"/>
              <w:right w:val="nil"/>
            </w:tcBorders>
            <w:vAlign w:val="center"/>
            <w:hideMark/>
          </w:tcPr>
          <w:p w:rsidR="00020B8A" w:rsidRPr="004F3BD8" w:rsidRDefault="00020B8A" w:rsidP="00892FCB">
            <w:pPr>
              <w:spacing w:after="250"/>
              <w:jc w:val="both"/>
              <w:rPr>
                <w:rFonts w:ascii="Times" w:hAnsi="Times" w:cs="Times"/>
                <w:b/>
                <w:i/>
                <w:sz w:val="25"/>
                <w:szCs w:val="25"/>
              </w:rPr>
            </w:pPr>
            <w:r w:rsidRPr="004F3BD8">
              <w:rPr>
                <w:rFonts w:ascii="Times" w:hAnsi="Times" w:cs="Times"/>
                <w:b/>
                <w:i/>
                <w:sz w:val="25"/>
                <w:szCs w:val="25"/>
              </w:rPr>
              <w:t>Smernica Európskeho parlamentu a Rady 2005/36/ES bola prebratá do</w:t>
            </w:r>
          </w:p>
          <w:p w:rsidR="00020B8A" w:rsidRDefault="00020B8A" w:rsidP="00892FCB">
            <w:pPr>
              <w:spacing w:after="250"/>
              <w:jc w:val="both"/>
              <w:rPr>
                <w:rFonts w:ascii="Times" w:hAnsi="Times" w:cs="Times"/>
                <w:i/>
                <w:sz w:val="25"/>
                <w:szCs w:val="25"/>
              </w:rPr>
            </w:pPr>
            <w:r>
              <w:rPr>
                <w:rFonts w:ascii="Times" w:hAnsi="Times" w:cs="Times"/>
                <w:i/>
                <w:sz w:val="25"/>
                <w:szCs w:val="25"/>
              </w:rPr>
              <w:t xml:space="preserve">- zákona č. 455/1991 Zb. </w:t>
            </w:r>
            <w:r w:rsidRPr="008D4418">
              <w:rPr>
                <w:rFonts w:ascii="Times" w:hAnsi="Times" w:cs="Times"/>
                <w:i/>
                <w:sz w:val="25"/>
                <w:szCs w:val="25"/>
              </w:rPr>
              <w:t>o živnostenskom podnikaní</w:t>
            </w:r>
            <w:r>
              <w:rPr>
                <w:rFonts w:ascii="Times" w:hAnsi="Times" w:cs="Times"/>
                <w:i/>
                <w:sz w:val="25"/>
                <w:szCs w:val="25"/>
              </w:rPr>
              <w:t xml:space="preserve"> </w:t>
            </w:r>
            <w:r w:rsidRPr="008D4418">
              <w:rPr>
                <w:rFonts w:ascii="Times" w:hAnsi="Times" w:cs="Times"/>
                <w:i/>
                <w:sz w:val="25"/>
                <w:szCs w:val="25"/>
              </w:rPr>
              <w:t>(živnostenský zákon)</w:t>
            </w:r>
            <w:r>
              <w:rPr>
                <w:rFonts w:ascii="Times" w:hAnsi="Times" w:cs="Times"/>
                <w:i/>
                <w:sz w:val="25"/>
                <w:szCs w:val="25"/>
              </w:rPr>
              <w:t xml:space="preserve"> v znení neskorších predpisov, </w:t>
            </w:r>
          </w:p>
          <w:p w:rsidR="00020B8A" w:rsidRDefault="00020B8A" w:rsidP="00892FCB">
            <w:pPr>
              <w:spacing w:after="250"/>
              <w:jc w:val="both"/>
              <w:rPr>
                <w:rFonts w:ascii="Times" w:hAnsi="Times" w:cs="Times"/>
                <w:i/>
                <w:sz w:val="25"/>
                <w:szCs w:val="25"/>
              </w:rPr>
            </w:pPr>
            <w:r>
              <w:rPr>
                <w:rFonts w:ascii="Times" w:hAnsi="Times" w:cs="Times"/>
                <w:i/>
                <w:sz w:val="25"/>
                <w:szCs w:val="25"/>
              </w:rPr>
              <w:t xml:space="preserve">- zákona č. 78/1992 Zb. </w:t>
            </w:r>
            <w:r w:rsidRPr="008D4418">
              <w:rPr>
                <w:rFonts w:ascii="Times" w:hAnsi="Times" w:cs="Times"/>
                <w:i/>
                <w:sz w:val="25"/>
                <w:szCs w:val="25"/>
              </w:rPr>
              <w:t>o daňových poradcoch a Slovenskej komore daňových poradcov</w:t>
            </w:r>
            <w:r>
              <w:rPr>
                <w:rFonts w:ascii="Times" w:hAnsi="Times" w:cs="Times"/>
                <w:i/>
                <w:sz w:val="25"/>
                <w:szCs w:val="25"/>
              </w:rPr>
              <w:t xml:space="preserve"> v znení neskorších predpisov,</w:t>
            </w:r>
          </w:p>
          <w:p w:rsidR="00020B8A" w:rsidRDefault="00020B8A" w:rsidP="00892FCB">
            <w:pPr>
              <w:spacing w:after="250"/>
              <w:jc w:val="both"/>
              <w:rPr>
                <w:rFonts w:ascii="Times" w:hAnsi="Times" w:cs="Times"/>
                <w:i/>
                <w:sz w:val="25"/>
                <w:szCs w:val="25"/>
              </w:rPr>
            </w:pPr>
            <w:r w:rsidRPr="004F3BD8">
              <w:rPr>
                <w:rFonts w:ascii="Times" w:hAnsi="Times" w:cs="Times"/>
                <w:i/>
                <w:sz w:val="25"/>
                <w:szCs w:val="25"/>
              </w:rPr>
              <w:t>- zákona č. 138/1992 Zb. o autorizovaných architektoch a autorizovaných stavebných inžinieroch v znení neskorších predpisov</w:t>
            </w:r>
            <w:r>
              <w:rPr>
                <w:rFonts w:ascii="Times" w:hAnsi="Times" w:cs="Times"/>
                <w:i/>
                <w:sz w:val="25"/>
                <w:szCs w:val="25"/>
              </w:rPr>
              <w:t xml:space="preserve">, </w:t>
            </w:r>
          </w:p>
          <w:p w:rsidR="00020B8A" w:rsidRDefault="00020B8A" w:rsidP="00892FCB">
            <w:pPr>
              <w:spacing w:after="250"/>
              <w:jc w:val="both"/>
              <w:rPr>
                <w:rFonts w:ascii="Times" w:hAnsi="Times" w:cs="Times"/>
                <w:i/>
                <w:sz w:val="25"/>
                <w:szCs w:val="25"/>
              </w:rPr>
            </w:pPr>
            <w:r>
              <w:rPr>
                <w:rFonts w:ascii="Times" w:hAnsi="Times" w:cs="Times"/>
                <w:i/>
                <w:sz w:val="25"/>
                <w:szCs w:val="25"/>
              </w:rPr>
              <w:t xml:space="preserve">- zákona č. 586/2003 Z. z. </w:t>
            </w:r>
            <w:r w:rsidRPr="008D4418">
              <w:rPr>
                <w:rFonts w:ascii="Times" w:hAnsi="Times" w:cs="Times"/>
                <w:i/>
                <w:sz w:val="25"/>
                <w:szCs w:val="25"/>
              </w:rPr>
              <w:t>o advokácii a o zmene a doplnení zákona č. 455/1991 Zb. o živnostenskom podnikaní (živnostenský zákon) v znení neskorších predpisov</w:t>
            </w:r>
            <w:r>
              <w:rPr>
                <w:rFonts w:ascii="Times" w:hAnsi="Times" w:cs="Times"/>
                <w:i/>
                <w:sz w:val="25"/>
                <w:szCs w:val="25"/>
              </w:rPr>
              <w:t xml:space="preserve"> v znení </w:t>
            </w:r>
            <w:r>
              <w:rPr>
                <w:rFonts w:ascii="Times" w:hAnsi="Times" w:cs="Times"/>
                <w:i/>
                <w:sz w:val="25"/>
                <w:szCs w:val="25"/>
              </w:rPr>
              <w:lastRenderedPageBreak/>
              <w:t>neskorších predpisov,</w:t>
            </w:r>
          </w:p>
          <w:p w:rsidR="00020B8A" w:rsidRDefault="00020B8A" w:rsidP="00892FCB">
            <w:pPr>
              <w:spacing w:after="250"/>
              <w:jc w:val="both"/>
              <w:rPr>
                <w:rFonts w:ascii="Times" w:hAnsi="Times" w:cs="Times"/>
                <w:i/>
                <w:sz w:val="25"/>
                <w:szCs w:val="25"/>
              </w:rPr>
            </w:pPr>
            <w:r>
              <w:rPr>
                <w:rFonts w:ascii="Times" w:hAnsi="Times" w:cs="Times"/>
                <w:i/>
                <w:sz w:val="25"/>
                <w:szCs w:val="25"/>
              </w:rPr>
              <w:t xml:space="preserve">- zákona č. 442/2004 Z. z. </w:t>
            </w:r>
            <w:r w:rsidRPr="008D4418">
              <w:rPr>
                <w:rFonts w:ascii="Times" w:hAnsi="Times" w:cs="Times"/>
                <w:i/>
                <w:sz w:val="25"/>
                <w:szCs w:val="25"/>
              </w:rPr>
              <w:t>o súkromných veterinárnych lekároch, o Komore veterinárnych lekárov Slovenskej republiky a o zmene a doplnení zákona č. 488/2002 Z.</w:t>
            </w:r>
            <w:r>
              <w:rPr>
                <w:rFonts w:ascii="Times" w:hAnsi="Times" w:cs="Times"/>
                <w:i/>
                <w:sz w:val="25"/>
                <w:szCs w:val="25"/>
              </w:rPr>
              <w:t xml:space="preserve"> </w:t>
            </w:r>
            <w:r w:rsidRPr="008D4418">
              <w:rPr>
                <w:rFonts w:ascii="Times" w:hAnsi="Times" w:cs="Times"/>
                <w:i/>
                <w:sz w:val="25"/>
                <w:szCs w:val="25"/>
              </w:rPr>
              <w:t>z. o veterinárnej starostlivosti a o zmene niektorých zákonov v znení neskorších predpisov</w:t>
            </w:r>
            <w:r>
              <w:rPr>
                <w:rFonts w:ascii="Times" w:hAnsi="Times" w:cs="Times"/>
                <w:i/>
                <w:sz w:val="25"/>
                <w:szCs w:val="25"/>
              </w:rPr>
              <w:t xml:space="preserve"> v znení neskorších predpisov,</w:t>
            </w:r>
          </w:p>
          <w:p w:rsidR="00020B8A" w:rsidRPr="004F3BD8" w:rsidRDefault="00020B8A" w:rsidP="00892FCB">
            <w:pPr>
              <w:spacing w:after="250"/>
              <w:jc w:val="both"/>
              <w:rPr>
                <w:rFonts w:ascii="Times" w:hAnsi="Times" w:cs="Times"/>
                <w:i/>
                <w:sz w:val="25"/>
                <w:szCs w:val="25"/>
              </w:rPr>
            </w:pPr>
            <w:r w:rsidRPr="004F3BD8">
              <w:rPr>
                <w:rFonts w:ascii="Times" w:hAnsi="Times" w:cs="Times"/>
                <w:i/>
                <w:sz w:val="25"/>
                <w:szCs w:val="25"/>
              </w:rPr>
              <w:t xml:space="preserve">- zákona č. 576/2004 Z. z. o zdravotnej starostlivosti, službách súvisiacich s poskytovaním zdravotnej starostlivosti a o zmene a doplnení niektorých zákonov v znení neskorších predpisov, </w:t>
            </w:r>
          </w:p>
          <w:p w:rsidR="00020B8A" w:rsidRPr="004F3BD8" w:rsidRDefault="00020B8A" w:rsidP="00892FCB">
            <w:pPr>
              <w:spacing w:after="250"/>
              <w:jc w:val="both"/>
              <w:rPr>
                <w:rFonts w:ascii="Times" w:hAnsi="Times" w:cs="Times"/>
                <w:i/>
                <w:sz w:val="25"/>
                <w:szCs w:val="25"/>
              </w:rPr>
            </w:pPr>
            <w:r w:rsidRPr="004F3BD8">
              <w:rPr>
                <w:rFonts w:ascii="Times" w:hAnsi="Times" w:cs="Times"/>
                <w:i/>
                <w:sz w:val="25"/>
                <w:szCs w:val="25"/>
              </w:rPr>
              <w:t xml:space="preserve">- zákona č. 578/2004 Z. z. o poskytovateľoch zdravotnej starostlivosti, zdravotníckych pracovníkoch, stavovských organizáciách v zdravotníctve a o zmene a doplnení niektorých zákonov v znení neskorších predpisov, </w:t>
            </w:r>
          </w:p>
          <w:p w:rsidR="00020B8A" w:rsidRDefault="00020B8A" w:rsidP="00892FCB">
            <w:pPr>
              <w:spacing w:after="250"/>
              <w:jc w:val="both"/>
              <w:rPr>
                <w:rFonts w:ascii="Times" w:hAnsi="Times" w:cs="Times"/>
                <w:i/>
                <w:sz w:val="25"/>
                <w:szCs w:val="25"/>
              </w:rPr>
            </w:pPr>
            <w:r>
              <w:rPr>
                <w:rFonts w:ascii="Times" w:hAnsi="Times" w:cs="Times"/>
                <w:i/>
                <w:sz w:val="25"/>
                <w:szCs w:val="25"/>
              </w:rPr>
              <w:t xml:space="preserve">- zákona č. 39/2007 Z. z. </w:t>
            </w:r>
            <w:r w:rsidRPr="008D4418">
              <w:rPr>
                <w:rFonts w:ascii="Times" w:hAnsi="Times" w:cs="Times"/>
                <w:i/>
                <w:sz w:val="25"/>
                <w:szCs w:val="25"/>
              </w:rPr>
              <w:t>o veterinárnej starostlivosti</w:t>
            </w:r>
            <w:r>
              <w:rPr>
                <w:rFonts w:ascii="Times" w:hAnsi="Times" w:cs="Times"/>
                <w:i/>
                <w:sz w:val="25"/>
                <w:szCs w:val="25"/>
              </w:rPr>
              <w:t xml:space="preserve"> v znení neskorších predpisov,</w:t>
            </w:r>
          </w:p>
          <w:p w:rsidR="00020B8A" w:rsidRDefault="00020B8A" w:rsidP="00892FCB">
            <w:pPr>
              <w:spacing w:after="250"/>
              <w:jc w:val="both"/>
              <w:rPr>
                <w:rFonts w:ascii="Times" w:hAnsi="Times" w:cs="Times"/>
                <w:i/>
                <w:sz w:val="25"/>
                <w:szCs w:val="25"/>
              </w:rPr>
            </w:pPr>
            <w:r>
              <w:rPr>
                <w:rFonts w:ascii="Times" w:hAnsi="Times" w:cs="Times"/>
                <w:i/>
                <w:sz w:val="25"/>
                <w:szCs w:val="25"/>
              </w:rPr>
              <w:t xml:space="preserve">- zákona č. 569/2007 Z. z. </w:t>
            </w:r>
            <w:r w:rsidRPr="008D4418">
              <w:rPr>
                <w:rFonts w:ascii="Times" w:hAnsi="Times" w:cs="Times"/>
                <w:i/>
                <w:sz w:val="25"/>
                <w:szCs w:val="25"/>
              </w:rPr>
              <w:t>o geologických prácach (geologický zákon)</w:t>
            </w:r>
            <w:r>
              <w:rPr>
                <w:rFonts w:ascii="Times" w:hAnsi="Times" w:cs="Times"/>
                <w:i/>
                <w:sz w:val="25"/>
                <w:szCs w:val="25"/>
              </w:rPr>
              <w:t xml:space="preserve"> v znení neskorších predpisov,</w:t>
            </w:r>
          </w:p>
          <w:p w:rsidR="00020B8A" w:rsidRPr="004F3BD8" w:rsidRDefault="00020B8A" w:rsidP="00892FCB">
            <w:pPr>
              <w:spacing w:after="250"/>
              <w:jc w:val="both"/>
              <w:rPr>
                <w:rFonts w:ascii="Times" w:hAnsi="Times" w:cs="Times"/>
                <w:i/>
                <w:sz w:val="25"/>
                <w:szCs w:val="25"/>
              </w:rPr>
            </w:pPr>
            <w:r w:rsidRPr="004F3BD8">
              <w:rPr>
                <w:rFonts w:ascii="Times" w:hAnsi="Times" w:cs="Times"/>
                <w:i/>
                <w:sz w:val="25"/>
                <w:szCs w:val="25"/>
              </w:rPr>
              <w:t>- zákona č. 422/2015 Z. z. o uznávaní dokladov o vzdelaní a o uznávaní odborných kvalifikácii a o zmene a doplnení niektorých zákonov</w:t>
            </w:r>
            <w:r>
              <w:rPr>
                <w:rFonts w:ascii="Times" w:hAnsi="Times" w:cs="Times"/>
                <w:i/>
                <w:sz w:val="25"/>
                <w:szCs w:val="25"/>
              </w:rPr>
              <w:t xml:space="preserve"> v znení neskorších predpisov</w:t>
            </w:r>
            <w:r w:rsidRPr="004F3BD8">
              <w:rPr>
                <w:rFonts w:ascii="Times" w:hAnsi="Times" w:cs="Times"/>
                <w:i/>
                <w:sz w:val="25"/>
                <w:szCs w:val="25"/>
              </w:rPr>
              <w:t xml:space="preserve">, </w:t>
            </w:r>
          </w:p>
          <w:p w:rsidR="00020B8A" w:rsidRDefault="00020B8A" w:rsidP="00892FCB">
            <w:pPr>
              <w:spacing w:after="250"/>
              <w:jc w:val="both"/>
              <w:rPr>
                <w:rFonts w:ascii="Times" w:hAnsi="Times" w:cs="Times"/>
                <w:i/>
                <w:sz w:val="25"/>
                <w:szCs w:val="25"/>
              </w:rPr>
            </w:pPr>
            <w:r>
              <w:rPr>
                <w:rFonts w:ascii="Times" w:hAnsi="Times" w:cs="Times"/>
                <w:i/>
                <w:sz w:val="25"/>
                <w:szCs w:val="25"/>
              </w:rPr>
              <w:t xml:space="preserve">- nariadenia vlády Slovenskej republiky č. 296/2010 Z. z. </w:t>
            </w:r>
            <w:r w:rsidRPr="00671BE2">
              <w:rPr>
                <w:rFonts w:ascii="Times" w:hAnsi="Times" w:cs="Times"/>
                <w:i/>
                <w:sz w:val="25"/>
                <w:szCs w:val="25"/>
              </w:rPr>
              <w:t>o odbornej spôsobilosti na výkon zdravotníckeho povolania, spôsobe ďalšieho vzdelávania zdravotníckych pracovníkov, sústave špecializačných odborov a sústave certifikovaných pracovných činností</w:t>
            </w:r>
            <w:r>
              <w:rPr>
                <w:rFonts w:ascii="Times" w:hAnsi="Times" w:cs="Times"/>
                <w:i/>
                <w:sz w:val="25"/>
                <w:szCs w:val="25"/>
              </w:rPr>
              <w:t xml:space="preserve"> v znení neskorších predpisov,</w:t>
            </w:r>
          </w:p>
          <w:p w:rsidR="00020B8A" w:rsidRDefault="00020B8A" w:rsidP="00892FCB">
            <w:pPr>
              <w:spacing w:after="250"/>
              <w:jc w:val="both"/>
              <w:rPr>
                <w:rFonts w:ascii="Times" w:hAnsi="Times" w:cs="Times"/>
                <w:i/>
                <w:sz w:val="25"/>
                <w:szCs w:val="25"/>
              </w:rPr>
            </w:pPr>
            <w:r>
              <w:rPr>
                <w:rFonts w:ascii="Times" w:hAnsi="Times" w:cs="Times"/>
                <w:i/>
                <w:sz w:val="25"/>
                <w:szCs w:val="25"/>
              </w:rPr>
              <w:t xml:space="preserve">- vyhlášky Ministerstva školstva, vedy, výskumu a športu Slovenskej republiky č. 16/2016 Z. z. </w:t>
            </w:r>
            <w:r w:rsidRPr="008D4418">
              <w:rPr>
                <w:rFonts w:ascii="Times" w:hAnsi="Times" w:cs="Times"/>
                <w:i/>
                <w:sz w:val="25"/>
                <w:szCs w:val="25"/>
              </w:rPr>
              <w:t>ktorou sa ustanovujú profesijné organizácie, ktorých členovia vykonávajú regulované povolanie s právom používať profesijné tituly a regulované povolania s koordináciou vzdelania</w:t>
            </w:r>
            <w:r>
              <w:rPr>
                <w:rFonts w:ascii="Times" w:hAnsi="Times" w:cs="Times"/>
                <w:i/>
                <w:sz w:val="25"/>
                <w:szCs w:val="25"/>
              </w:rPr>
              <w:t xml:space="preserve"> v znení vyhlášky č. 359/2016 Z. z. </w:t>
            </w:r>
            <w:r w:rsidRPr="008D4418">
              <w:rPr>
                <w:rFonts w:ascii="Times" w:hAnsi="Times" w:cs="Times"/>
                <w:i/>
                <w:sz w:val="25"/>
                <w:szCs w:val="25"/>
              </w:rPr>
              <w:t>ktorou sa mení a dopĺňa vyhláška Ministerstva školstva, vedy, výskumu a športu Slovenskej republiky č. 16/2016 Z.</w:t>
            </w:r>
            <w:r>
              <w:rPr>
                <w:rFonts w:ascii="Times" w:hAnsi="Times" w:cs="Times"/>
                <w:i/>
                <w:sz w:val="25"/>
                <w:szCs w:val="25"/>
              </w:rPr>
              <w:t xml:space="preserve"> </w:t>
            </w:r>
            <w:r w:rsidRPr="008D4418">
              <w:rPr>
                <w:rFonts w:ascii="Times" w:hAnsi="Times" w:cs="Times"/>
                <w:i/>
                <w:sz w:val="25"/>
                <w:szCs w:val="25"/>
              </w:rPr>
              <w:t>z., ktorou sa ustanovujú profesijné organizácie, ktorých členovia vykonávajú regulované povolanie s právom používať profesijné tituly a regulované povolania s koordináciou vzdelania</w:t>
            </w:r>
            <w:r>
              <w:rPr>
                <w:rFonts w:ascii="Times" w:hAnsi="Times" w:cs="Times"/>
                <w:i/>
                <w:sz w:val="25"/>
                <w:szCs w:val="25"/>
              </w:rPr>
              <w:t>.</w:t>
            </w:r>
          </w:p>
          <w:p w:rsidR="00020B8A" w:rsidRPr="004F3BD8" w:rsidRDefault="00020B8A" w:rsidP="00892FCB">
            <w:pPr>
              <w:spacing w:after="250"/>
              <w:jc w:val="both"/>
              <w:rPr>
                <w:rFonts w:ascii="Times" w:hAnsi="Times" w:cs="Times"/>
                <w:i/>
                <w:sz w:val="25"/>
                <w:szCs w:val="25"/>
              </w:rPr>
            </w:pPr>
          </w:p>
        </w:tc>
      </w:tr>
      <w:tr w:rsidR="00020B8A" w:rsidRPr="004F3BD8" w:rsidTr="00892FCB">
        <w:trPr>
          <w:jc w:val="center"/>
        </w:trPr>
        <w:tc>
          <w:tcPr>
            <w:tcW w:w="0" w:type="auto"/>
            <w:tcBorders>
              <w:top w:val="nil"/>
              <w:left w:val="nil"/>
              <w:bottom w:val="nil"/>
              <w:right w:val="nil"/>
            </w:tcBorders>
            <w:hideMark/>
          </w:tcPr>
          <w:p w:rsidR="00020B8A" w:rsidRPr="004F3BD8" w:rsidRDefault="00020B8A" w:rsidP="00892FCB">
            <w:pPr>
              <w:rPr>
                <w:rFonts w:ascii="Times" w:hAnsi="Times" w:cs="Times"/>
                <w:b/>
                <w:bCs/>
                <w:sz w:val="25"/>
                <w:szCs w:val="25"/>
              </w:rPr>
            </w:pPr>
            <w:r w:rsidRPr="004F3BD8">
              <w:rPr>
                <w:rFonts w:ascii="Times" w:hAnsi="Times" w:cs="Times"/>
                <w:b/>
                <w:bCs/>
                <w:sz w:val="25"/>
                <w:szCs w:val="25"/>
              </w:rPr>
              <w:lastRenderedPageBreak/>
              <w:t>5.</w:t>
            </w:r>
          </w:p>
        </w:tc>
        <w:tc>
          <w:tcPr>
            <w:tcW w:w="0" w:type="auto"/>
            <w:gridSpan w:val="2"/>
            <w:tcBorders>
              <w:top w:val="nil"/>
              <w:left w:val="nil"/>
              <w:bottom w:val="nil"/>
              <w:right w:val="nil"/>
            </w:tcBorders>
            <w:hideMark/>
          </w:tcPr>
          <w:p w:rsidR="00020B8A" w:rsidRPr="004F3BD8" w:rsidRDefault="00020B8A" w:rsidP="00892FCB">
            <w:pPr>
              <w:rPr>
                <w:rFonts w:ascii="Times" w:hAnsi="Times" w:cs="Times"/>
                <w:b/>
                <w:bCs/>
                <w:sz w:val="25"/>
                <w:szCs w:val="25"/>
              </w:rPr>
            </w:pPr>
            <w:r w:rsidRPr="004F3BD8">
              <w:rPr>
                <w:rFonts w:ascii="Times" w:hAnsi="Times" w:cs="Times"/>
                <w:b/>
                <w:bCs/>
                <w:sz w:val="25"/>
                <w:szCs w:val="25"/>
              </w:rPr>
              <w:t>Návrh zákona je zlučiteľný s právom Európskej únie</w:t>
            </w:r>
          </w:p>
          <w:p w:rsidR="00020B8A" w:rsidRPr="004F3BD8" w:rsidRDefault="00020B8A" w:rsidP="00892FCB">
            <w:pPr>
              <w:rPr>
                <w:rFonts w:ascii="Times" w:hAnsi="Times" w:cs="Times"/>
                <w:b/>
                <w:bCs/>
                <w:sz w:val="25"/>
                <w:szCs w:val="25"/>
              </w:rPr>
            </w:pPr>
          </w:p>
        </w:tc>
      </w:tr>
      <w:tr w:rsidR="00020B8A" w:rsidRPr="004F3BD8" w:rsidTr="00892FCB">
        <w:trPr>
          <w:jc w:val="center"/>
        </w:trPr>
        <w:tc>
          <w:tcPr>
            <w:tcW w:w="0" w:type="auto"/>
            <w:tcBorders>
              <w:top w:val="nil"/>
              <w:left w:val="nil"/>
              <w:bottom w:val="nil"/>
              <w:right w:val="nil"/>
            </w:tcBorders>
            <w:hideMark/>
          </w:tcPr>
          <w:p w:rsidR="00020B8A" w:rsidRPr="004F3BD8" w:rsidRDefault="00020B8A" w:rsidP="00892FCB">
            <w:pPr>
              <w:spacing w:after="250"/>
              <w:rPr>
                <w:rFonts w:ascii="Times" w:hAnsi="Times" w:cs="Times"/>
                <w:b/>
                <w:bCs/>
                <w:sz w:val="25"/>
                <w:szCs w:val="25"/>
              </w:rPr>
            </w:pPr>
          </w:p>
        </w:tc>
        <w:tc>
          <w:tcPr>
            <w:tcW w:w="0" w:type="auto"/>
            <w:tcBorders>
              <w:top w:val="nil"/>
              <w:left w:val="nil"/>
              <w:bottom w:val="nil"/>
              <w:right w:val="nil"/>
            </w:tcBorders>
            <w:hideMark/>
          </w:tcPr>
          <w:p w:rsidR="00020B8A" w:rsidRPr="004F3BD8" w:rsidRDefault="00020B8A" w:rsidP="00892FCB">
            <w:pPr>
              <w:rPr>
                <w:sz w:val="20"/>
                <w:szCs w:val="20"/>
              </w:rPr>
            </w:pPr>
          </w:p>
        </w:tc>
        <w:tc>
          <w:tcPr>
            <w:tcW w:w="0" w:type="auto"/>
            <w:tcBorders>
              <w:top w:val="nil"/>
              <w:left w:val="nil"/>
              <w:bottom w:val="nil"/>
              <w:right w:val="nil"/>
            </w:tcBorders>
            <w:vAlign w:val="center"/>
            <w:hideMark/>
          </w:tcPr>
          <w:p w:rsidR="00020B8A" w:rsidRDefault="00020B8A" w:rsidP="00892FCB">
            <w:pPr>
              <w:rPr>
                <w:rFonts w:ascii="Times" w:hAnsi="Times" w:cs="Times"/>
                <w:sz w:val="25"/>
                <w:szCs w:val="25"/>
              </w:rPr>
            </w:pPr>
            <w:r w:rsidRPr="004F3BD8">
              <w:rPr>
                <w:rFonts w:ascii="Times" w:hAnsi="Times" w:cs="Times"/>
                <w:sz w:val="25"/>
                <w:szCs w:val="25"/>
              </w:rPr>
              <w:t>Čiastočne</w:t>
            </w:r>
          </w:p>
          <w:p w:rsidR="00020B8A" w:rsidRPr="004F3BD8" w:rsidRDefault="00020B8A" w:rsidP="00892FCB">
            <w:pPr>
              <w:rPr>
                <w:rFonts w:ascii="Times" w:hAnsi="Times" w:cs="Times"/>
                <w:sz w:val="25"/>
                <w:szCs w:val="25"/>
              </w:rPr>
            </w:pPr>
            <w:r>
              <w:rPr>
                <w:rFonts w:ascii="Times" w:hAnsi="Times" w:cs="Times"/>
                <w:sz w:val="25"/>
                <w:szCs w:val="25"/>
              </w:rPr>
              <w:t xml:space="preserve">Vzhľadom na to, že </w:t>
            </w:r>
            <w:r w:rsidRPr="00615A42">
              <w:rPr>
                <w:rFonts w:ascii="Times" w:hAnsi="Times" w:cs="Times"/>
                <w:sz w:val="25"/>
                <w:szCs w:val="25"/>
              </w:rPr>
              <w:t>Smernica Európskeho parlamentu a Rady 2005/36/ES</w:t>
            </w:r>
            <w:r>
              <w:rPr>
                <w:rFonts w:ascii="Times" w:hAnsi="Times" w:cs="Times"/>
                <w:sz w:val="25"/>
                <w:szCs w:val="25"/>
              </w:rPr>
              <w:t xml:space="preserve"> v platnom znení je transponovaná do viacerých právnych predpisov, úplná zlučiteľnosť s právom Európskej únie bude možné preukázať až po zmene uvedených predpisov.   </w:t>
            </w:r>
          </w:p>
        </w:tc>
      </w:tr>
    </w:tbl>
    <w:p w:rsidR="00020B8A" w:rsidRPr="004F3BD8" w:rsidRDefault="00020B8A" w:rsidP="00020B8A">
      <w:pPr>
        <w:tabs>
          <w:tab w:val="left" w:pos="360"/>
        </w:tabs>
        <w:jc w:val="both"/>
      </w:pPr>
    </w:p>
    <w:p w:rsidR="00020B8A" w:rsidRDefault="00020B8A" w:rsidP="00020B8A"/>
    <w:p w:rsidR="00020B8A" w:rsidRDefault="00020B8A" w:rsidP="00020B8A"/>
    <w:p w:rsidR="004606CD" w:rsidRDefault="004606CD">
      <w:bookmarkStart w:id="0" w:name="_GoBack"/>
      <w:bookmarkEnd w:id="0"/>
    </w:p>
    <w:sectPr w:rsidR="004606C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7A8"/>
    <w:multiLevelType w:val="hybridMultilevel"/>
    <w:tmpl w:val="7EF4C2B2"/>
    <w:lvl w:ilvl="0" w:tplc="42CE38B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9E7AD8"/>
    <w:multiLevelType w:val="hybridMultilevel"/>
    <w:tmpl w:val="5224B340"/>
    <w:lvl w:ilvl="0" w:tplc="71F06B6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B521BCC"/>
    <w:multiLevelType w:val="hybridMultilevel"/>
    <w:tmpl w:val="10C48E3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D321D37"/>
    <w:multiLevelType w:val="hybridMultilevel"/>
    <w:tmpl w:val="FFE6CE1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9DF5967"/>
    <w:multiLevelType w:val="hybridMultilevel"/>
    <w:tmpl w:val="DDF82F0E"/>
    <w:lvl w:ilvl="0" w:tplc="222C5A9E">
      <w:start w:val="1"/>
      <w:numFmt w:val="lowerLetter"/>
      <w:lvlText w:val="%1)"/>
      <w:lvlJc w:val="left"/>
      <w:pPr>
        <w:ind w:left="720" w:hanging="360"/>
      </w:pPr>
      <w:rPr>
        <w:rFonts w:ascii="Times" w:hAnsi="Times" w:cs="Times" w:hint="default"/>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8A"/>
    <w:rsid w:val="00020B8A"/>
    <w:rsid w:val="004606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14AFF-E113-4EB1-BB39-2860140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20B8A"/>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20B8A"/>
    <w:pPr>
      <w:ind w:left="720"/>
      <w:contextualSpacing/>
    </w:pPr>
  </w:style>
  <w:style w:type="table" w:styleId="Mriekatabuky">
    <w:name w:val="Table Grid"/>
    <w:basedOn w:val="Normlnatabuka"/>
    <w:uiPriority w:val="99"/>
    <w:unhideWhenUsed/>
    <w:rsid w:val="00020B8A"/>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1874</Words>
  <Characters>10687</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1</cp:revision>
  <dcterms:created xsi:type="dcterms:W3CDTF">2023-06-07T12:05:00Z</dcterms:created>
  <dcterms:modified xsi:type="dcterms:W3CDTF">2023-06-07T12:06:00Z</dcterms:modified>
</cp:coreProperties>
</file>