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B27EE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7F5B0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148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9A3C1A" w:rsidRPr="0066606D" w:rsidP="0066606D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F146B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903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7F5B06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AD3B5D" w:rsidP="00C11EEC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A46215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468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F157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n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ávrh</w:t>
      </w:r>
      <w:r w:rsidR="0065312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u</w:t>
      </w:r>
      <w:r w:rsidRPr="007E7D4C" w:rsidR="007E7D4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F146B3" w:rsidR="00F146B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Karola GALEKA na vydanie zákona, ktorým sa mení a dopĺňa zákon č. 250/2012 Z. z. o regulácii v sieťových odvetviach v znení neskorších predpisov a ktorým sa mení a dopĺňa zákon č. 251/2012 Z. z. o energetike a o zmene a doplnení niektorých zákonov v znení </w:t>
      </w:r>
      <w:r w:rsidR="00F146B3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neskorších </w:t>
      </w:r>
      <w:r w:rsidRPr="00F146B3" w:rsidR="00F146B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predpisov (tlač 1606</w:t>
      </w:r>
      <w:r w:rsidRPr="00F146B3" w:rsidR="00726D8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 w:rsidRPr="00F146B3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AD3B5D" w:rsidRPr="00A1790A" w:rsidP="00AD3B5D">
      <w:pPr>
        <w:framePr w:wrap="auto"/>
        <w:widowControl/>
        <w:autoSpaceDE/>
        <w:autoSpaceDN/>
        <w:bidi w:val="0"/>
        <w:adjustRightInd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5242C8" w:rsidRPr="00DD3EEE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AT*Toronto" w:eastAsia="Times New Roman" w:hAnsi="AT*Toronto" w:cs="Arial" w:hint="cs"/>
          <w:color w:val="auto"/>
          <w:szCs w:val="20"/>
          <w:rtl w:val="0"/>
          <w:cs w:val="0"/>
          <w:lang w:val="cs-CZ" w:eastAsia="sk-SK" w:bidi="ar-SA"/>
        </w:rPr>
      </w:pPr>
      <w:r w:rsidRPr="00A2629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A26293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ávrh</w:t>
      </w:r>
      <w:r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om</w:t>
      </w:r>
      <w:r w:rsidRPr="00AE043B" w:rsidR="00AE043B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Karola GALEKA na vydanie zákona, ktorým sa mení a dop</w:t>
      </w:r>
      <w:r w:rsidRPr="0088194A" w:rsidR="0088194A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88194A" w:rsidR="0088194A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250/2012 Z. z. o regulácii v sie</w:t>
      </w:r>
      <w:r w:rsidRPr="0088194A" w:rsidR="0088194A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ť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ových odvetviach v znení neskorších predpisov a ktorým sa mení a dop</w:t>
      </w:r>
      <w:r w:rsidRPr="0088194A" w:rsidR="0088194A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88194A" w:rsidR="0088194A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8194A" w:rsidR="0088194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251/2012 Z. z. o energetike a o zmene a doplnení niektorých zákonov v znení neskorších predpisov </w:t>
      </w:r>
      <w:r w:rsidRPr="0088194A" w:rsidR="0088194A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88194A" w:rsidR="0088194A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88194A" w:rsidR="0088194A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1606)</w:t>
      </w:r>
      <w:r w:rsidRPr="0088194A" w:rsidR="00B70D4C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5242C8" w:rsidRPr="00A47C78" w:rsidP="00A47C7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n</w:t>
      </w:r>
      <w:r w:rsidRPr="00BC4E9A" w:rsidR="00BC4E9A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ávrh 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poslanca Národnej rady Slovenskej republiky Karola GALEKA na vydanie zákona, ktorým sa mení a dop</w:t>
      </w:r>
      <w:r w:rsidRPr="00123A39" w:rsidR="00123A39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123A39" w:rsidR="00123A39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. 250/2012 Z. z. o regulácii v sie</w:t>
      </w:r>
      <w:r w:rsidRPr="00123A39" w:rsidR="00123A39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ť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ových odvetviach v znení neskorších predpisov a ktorým sa mení a dop</w:t>
      </w:r>
      <w:r w:rsidRPr="00123A39" w:rsidR="00123A39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ĺň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a zákon </w:t>
      </w:r>
      <w:r w:rsidRPr="00123A39" w:rsidR="00123A39">
        <w:rPr>
          <w:rFonts w:ascii="AT*Toronto CE" w:eastAsia="Times New Roman" w:hAnsi="AT*Toronto CE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23A39" w:rsidR="00123A39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. 251/2012 Z. z. o energetike a o zmene a doplnení niektorých zákonov v znení neskorších predpisov </w:t>
      </w:r>
      <w:r w:rsidRPr="00123A39" w:rsidR="00123A39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</w:t>
      </w:r>
      <w:r w:rsidRPr="00123A39" w:rsidR="00123A39">
        <w:rPr>
          <w:rFonts w:ascii="AT*Toronto CE" w:eastAsia="Times New Roman" w:hAnsi="AT*Toronto CE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č</w:t>
      </w:r>
      <w:r w:rsidRPr="00123A39" w:rsidR="00123A39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 xml:space="preserve"> 1606)</w:t>
      </w:r>
      <w:r w:rsidRPr="00123A39" w:rsidR="002D08F6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CB156B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CB156B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231802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200292" w:rsidR="00B625F8">
        <w:rPr>
          <w:rFonts w:ascii="AT*Toronto CE" w:eastAsia="Times New Roman" w:hAnsi="AT*Toronto CE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s pozmeňujúcimi a doplňujúcimi návrhmi uvedenými v prílohe</w:t>
      </w:r>
      <w:r w:rsidRPr="00200292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;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AD3B5D" w:rsidRPr="00F95756" w:rsidP="00A47C7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júna </w:t>
      </w:r>
      <w:r w:rsidR="00ED505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833F2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726D8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Vonsa,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850C30" w:rsidP="00EC4A57">
      <w:pPr>
        <w:framePr w:wrap="auto"/>
        <w:widowControl/>
        <w:autoSpaceDE/>
        <w:autoSpaceDN/>
        <w:bidi w:val="0"/>
        <w:adjustRightInd/>
        <w:spacing w:line="240" w:lineRule="atLeast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Peter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predseda výboru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</w:p>
    <w:p w:rsidR="00833F2B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46517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</w:p>
    <w:p w:rsidR="00DE08D9" w:rsidP="00DE08D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i/>
          <w:i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</w:r>
      <w:r w:rsidR="00881011"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</w:t>
      </w:r>
      <w:r>
        <w:rPr>
          <w:rFonts w:ascii="Times New Roman" w:eastAsia="Times New Roman" w:hAnsi="Times New Roman" w:cs="Times New Roman" w:hint="cs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</w:t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DE08D9" w:rsidP="00DE08D9">
      <w:pPr>
        <w:framePr w:wrap="auto"/>
        <w:widowControl/>
        <w:autoSpaceDE/>
        <w:autoSpaceDN/>
        <w:bidi w:val="0"/>
        <w:adjustRightInd/>
        <w:ind w:left="5672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9170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</w:t>
      </w:r>
      <w:r w:rsidR="00EC4A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48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 schôdza výboru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</w:t>
        <w:tab/>
        <w:tab/>
        <w:t xml:space="preserve"> </w:t>
      </w:r>
      <w:r w:rsidRPr="00A46215" w:rsidR="000D293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Príloha k uzneseniu č.</w:t>
      </w:r>
      <w:r w:rsidRPr="00A46215" w:rsidR="00A4621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468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 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DE08D9" w:rsidP="00DE08D9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4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Z m e n y  a  d o p l n k y</w:t>
      </w:r>
    </w:p>
    <w:p w:rsidR="00DE08D9" w:rsidP="00DE08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0808" w:rsidP="007811A9">
      <w:pPr>
        <w:framePr w:wrap="auto"/>
        <w:widowControl/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811705" w:rsidR="00DE08D9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</w:t>
      </w:r>
      <w:r w:rsidR="00DE08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ávrh</w:t>
      </w:r>
      <w:r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u</w:t>
      </w:r>
      <w:r w:rsidRPr="00A47C78" w:rsidR="00A47C7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8842DA" w:rsidR="008842D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poslanca Národnej rady Slovenskej republiky Karola GALEKA na vydanie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1606)</w:t>
      </w:r>
    </w:p>
    <w:p w:rsidR="007811A9" w:rsidP="007811A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7811A9" w:rsidP="007811A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7811A9" w:rsidRPr="004B711C" w:rsidP="007811A9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 bode 1 § 9 ods. 1 písm. c) v šiestom bode poznámka pod čiarou k odkazu 14a znie:</w:t>
      </w:r>
    </w:p>
    <w:p w:rsidR="007811A9" w:rsidRPr="004B711C" w:rsidP="007811A9">
      <w:pPr>
        <w:framePr w:wrap="auto"/>
        <w:widowControl/>
        <w:autoSpaceDE/>
        <w:autoSpaceDN/>
        <w:bidi w:val="0"/>
        <w:adjustRightInd/>
        <w:spacing w:line="360" w:lineRule="auto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„</w:t>
      </w:r>
      <w:r w:rsidRPr="004B711C">
        <w:rPr>
          <w:rFonts w:ascii="Times New Roman" w:eastAsia="Times New Roman" w:hAnsi="Times New Roman" w:cs="Times New Roman" w:hint="cs"/>
          <w:sz w:val="24"/>
          <w:szCs w:val="24"/>
          <w:vertAlign w:val="superscript"/>
          <w:rtl w:val="0"/>
          <w:cs w:val="0"/>
          <w:lang w:val="sk-SK" w:eastAsia="sk-SK" w:bidi="ar-SA"/>
        </w:rPr>
        <w:t>14a</w:t>
      </w:r>
      <w:r w:rsidRPr="004B7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) Čl. 3a nariadenia (ES) č. 715/2009 v platnom znení.“.</w:t>
      </w:r>
    </w:p>
    <w:p w:rsidR="007811A9" w:rsidRPr="004B711C" w:rsidP="007811A9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Legislatívno-technická úprava, ktorou sa opravuje citácia právne záväzného aktu Európskej únie na nariadenie Európskeho parlamentu a Rady (ES) č. 715/2009 z 13. júla 2009 o podmienkach prístupu do prepravných sietí pre zemný plyn, ktorým sa zrušuje nariadenie (ES) č. 1775/2005, ktoré v čl. 3a upravuje certifikáciu prevádzkovateľov zásobníkov; nariadenie Európskeho parlamentu a Rady (EÚ) 2022/1032 z 29. júna 2022, novelizuje dve nariadenia a to: nariadenie (EÚ) 2017/1938 (neupravuje certifikáciu zásobníkov plynu) a nariadenie (ES) č. 715/2009, ktoré upravuje problematiku certifikácie zásobníkov.</w:t>
      </w:r>
    </w:p>
    <w:p w:rsidR="007811A9" w:rsidRPr="004B711C" w:rsidP="007811A9">
      <w:pPr>
        <w:framePr w:wrap="auto"/>
        <w:widowControl/>
        <w:autoSpaceDE/>
        <w:autoSpaceDN/>
        <w:bidi w:val="0"/>
        <w:adjustRightInd/>
        <w:spacing w:after="160"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00292" w:rsidRPr="00200292" w:rsidP="00200292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264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i/>
          <w:iCs/>
          <w:noProof/>
          <w:highlight w:val="yellow"/>
          <w:rtl w:val="0"/>
          <w:cs w:val="0"/>
          <w:lang w:val="sk-SK" w:eastAsia="sk-SK" w:bidi="ar-SA"/>
        </w:rPr>
      </w:pPr>
      <w:r w:rsidRPr="00DB4D5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 čl. II sa vypúšťa </w:t>
      </w:r>
      <w:r w:rsidRPr="00200292">
        <w:rPr>
          <w:rFonts w:ascii="Times New Roman" w:eastAsia="Times New Roman" w:hAnsi="Times New Roman" w:cs="Times New Roman" w:hint="cs"/>
          <w:noProof/>
          <w:sz w:val="24"/>
          <w:szCs w:val="24"/>
          <w:highlight w:val="yellow"/>
          <w:rtl w:val="0"/>
          <w:cs w:val="0"/>
          <w:lang w:val="sk-SK" w:eastAsia="sk-SK" w:bidi="ar-SA"/>
        </w:rPr>
        <w:t>bod 6.</w:t>
      </w:r>
    </w:p>
    <w:p w:rsidR="00200292" w:rsidP="00200292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00292" w:rsidP="00200292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200292" w:rsidP="00200292">
      <w:pPr>
        <w:framePr w:wrap="auto"/>
        <w:widowControl/>
        <w:autoSpaceDE/>
        <w:autoSpaceDN/>
        <w:bidi w:val="0"/>
        <w:adjustRightInd/>
        <w:ind w:left="567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00292" w:rsidRPr="00200292" w:rsidP="00200292">
      <w:pPr>
        <w:framePr w:wrap="auto"/>
        <w:widowControl/>
        <w:autoSpaceDE/>
        <w:autoSpaceDN/>
        <w:bidi w:val="0"/>
        <w:adjustRightInd/>
        <w:ind w:left="3545" w:right="0"/>
        <w:jc w:val="both"/>
        <w:textAlignment w:val="auto"/>
        <w:rPr>
          <w:rFonts w:ascii="Times New Roman" w:eastAsia="Times New Roman" w:hAnsi="Times New Roman" w:cs="Times New Roman" w:hint="cs"/>
          <w:iCs/>
          <w:noProof/>
          <w:rtl w:val="0"/>
          <w:cs w:val="0"/>
          <w:lang w:val="sk-SK" w:eastAsia="sk-SK" w:bidi="ar-SA"/>
        </w:rPr>
      </w:pPr>
      <w:r w:rsidRPr="00200292">
        <w:rPr>
          <w:rFonts w:ascii="Times New Roman" w:eastAsia="Times New Roman" w:hAnsi="Times New Roman" w:cs="Times New Roman" w:hint="cs"/>
          <w:iCs/>
          <w:noProof/>
          <w:sz w:val="24"/>
          <w:szCs w:val="24"/>
          <w:rtl w:val="0"/>
          <w:cs w:val="0"/>
          <w:lang w:val="sk-SK" w:eastAsia="sk-SK" w:bidi="ar-SA"/>
        </w:rPr>
        <w:t>Legislatívno- technická úprava v nadväznosti na kolíziu s návrhom zákona, ktorým sa mení a dopĺňa zákon č. 250/2012 Z. z. o regulácii v sieťových odvetviach v znení neskorších predpisov a ktorým sa mení a dopĺňa zákon č. 251/2012 Z. z. o energetike a o zmene a doplnení niektorých zákonov v znení neskorších predpisov (tlač 1637) v čl. II bode 10.</w:t>
      </w:r>
    </w:p>
    <w:p w:rsidR="00200292" w:rsidP="00200292">
      <w:pPr>
        <w:framePr w:wrap="auto"/>
        <w:widowControl/>
        <w:autoSpaceDE/>
        <w:autoSpaceDN/>
        <w:bidi w:val="0"/>
        <w:adjustRightInd/>
        <w:spacing w:line="360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00292" w:rsidP="00200292">
      <w:pPr>
        <w:framePr w:wrap="auto"/>
        <w:widowControl/>
        <w:autoSpaceDE/>
        <w:autoSpaceDN/>
        <w:bidi w:val="0"/>
        <w:adjustRightInd/>
        <w:spacing w:line="360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00292" w:rsidP="00200292">
      <w:pPr>
        <w:framePr w:wrap="auto"/>
        <w:widowControl/>
        <w:autoSpaceDE/>
        <w:autoSpaceDN/>
        <w:bidi w:val="0"/>
        <w:adjustRightInd/>
        <w:spacing w:line="360" w:lineRule="auto"/>
        <w:ind w:left="720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7811A9" w:rsidRPr="004B711C" w:rsidP="007811A9">
      <w:pPr>
        <w:framePr w:wrap="auto"/>
        <w:widowControl/>
        <w:numPr>
          <w:numId w:val="32"/>
        </w:numPr>
        <w:autoSpaceDE/>
        <w:autoSpaceDN/>
        <w:bidi w:val="0"/>
        <w:adjustRightInd/>
        <w:spacing w:line="360" w:lineRule="auto"/>
        <w:ind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 čl. II v bode 11.  sa slová „§ 96l“ nahrádzajú slovami „§ 96m“ a slová „§ 96m“ sa nahrádzajú slovami „§ 96n“. </w:t>
      </w:r>
    </w:p>
    <w:p w:rsidR="007811A9" w:rsidRPr="004B711C" w:rsidP="007811A9">
      <w:pPr>
        <w:framePr w:wrap="auto"/>
        <w:widowControl/>
        <w:autoSpaceDE/>
        <w:autoSpaceDN/>
        <w:bidi w:val="0"/>
        <w:adjustRightInd/>
        <w:spacing w:line="360" w:lineRule="auto"/>
        <w:ind w:left="708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</w:p>
    <w:p w:rsidR="007811A9" w:rsidRPr="004B711C" w:rsidP="007811A9">
      <w:pPr>
        <w:framePr w:wrap="auto"/>
        <w:widowControl/>
        <w:autoSpaceDE/>
        <w:autoSpaceDN/>
        <w:bidi w:val="0"/>
        <w:adjustRightInd/>
        <w:ind w:left="354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4B711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Preznačenie prechodného ustanovenia v nadväznosti na zákon </w:t>
      </w:r>
      <w:r w:rsidRPr="004B711C">
        <w:rPr>
          <w:rFonts w:ascii="Times New Roman" w:eastAsia="Times New Roman" w:hAnsi="Times New Roman" w:cs="Times New Roman" w:hint="cs"/>
          <w:bCs/>
          <w:noProof/>
          <w:sz w:val="24"/>
          <w:szCs w:val="24"/>
          <w:rtl w:val="0"/>
          <w:cs w:val="0"/>
          <w:lang w:val="sk-SK" w:eastAsia="sk-SK" w:bidi="ar-SA"/>
        </w:rPr>
        <w:t>o zmene a doplnení niektorých zákonov v súvislosti s reformou stavebnej legislatívy</w:t>
      </w:r>
      <w:r w:rsidRPr="004B711C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, ktorý bol pod tlačou 1498 schválený Národnou radou SR dňa 9. mája 2023 a podpísaný prezidentkou SR 26. mája 2023 a ktorým sa v čl. LI 12. bode vkladá nový § 96m.</w:t>
      </w:r>
    </w:p>
    <w:p w:rsidR="007811A9" w:rsidP="007811A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00292" w:rsidP="007811A9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charset w:val="00"/>
    <w:family w:val="auto"/>
    <w:pitch w:val="variable"/>
  </w:font>
  <w:font w:name="Cambria">
    <w:panose1 w:val="00000000000000000000"/>
    <w:charset w:val="EE"/>
    <w:family w:val="roman"/>
    <w:pitch w:val="variable"/>
  </w:font>
  <w:font w:name="@SimSun">
    <w:panose1 w:val="00000000000000000000"/>
    <w:charset w:val="86"/>
    <w:family w:val="auto"/>
    <w:pitch w:val="variable"/>
  </w:font>
  <w:font w:name="Lucida Sans">
    <w:panose1 w:val="00000000000000000000"/>
    <w:charset w:val="00"/>
    <w:family w:val="swiss"/>
    <w:pitch w:val="variable"/>
  </w:font>
  <w:font w:name="@MS Gothic">
    <w:panose1 w:val="00000000000000000000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AT*Toronto CE">
    <w:altName w:val="Times New Roman"/>
    <w:charset w:val="EE"/>
    <w:family w:val="auto"/>
    <w:pitch w:val="variable"/>
  </w:font>
  <w:font w:name="AT*Toronto Tur">
    <w:altName w:val="Times New Roman"/>
    <w:charset w:val="A2"/>
    <w:family w:val="auto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200292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8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DEE6D4A"/>
    <w:multiLevelType w:val="hybridMultilevel"/>
    <w:tmpl w:val="9376B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7517F9"/>
    <w:multiLevelType w:val="hybridMultilevel"/>
    <w:tmpl w:val="B248FA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5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37B30831"/>
    <w:multiLevelType w:val="hybridMultilevel"/>
    <w:tmpl w:val="C02866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bCs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0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2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4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0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1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4"/>
  </w:num>
  <w:num w:numId="2">
    <w:abstractNumId w:val="2"/>
  </w:num>
  <w:num w:numId="3">
    <w:abstractNumId w:val="28"/>
  </w:num>
  <w:num w:numId="4">
    <w:abstractNumId w:val="27"/>
  </w:num>
  <w:num w:numId="5">
    <w:abstractNumId w:val="22"/>
  </w:num>
  <w:num w:numId="6">
    <w:abstractNumId w:val="2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9"/>
  </w:num>
  <w:num w:numId="10">
    <w:abstractNumId w:val="2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"/>
  </w:num>
  <w:num w:numId="16">
    <w:abstractNumId w:val="7"/>
  </w:num>
  <w:num w:numId="17">
    <w:abstractNumId w:val="23"/>
  </w:num>
  <w:num w:numId="18">
    <w:abstractNumId w:val="21"/>
  </w:num>
  <w:num w:numId="19">
    <w:abstractNumId w:val="13"/>
  </w:num>
  <w:num w:numId="20">
    <w:abstractNumId w:val="30"/>
  </w:num>
  <w:num w:numId="21">
    <w:abstractNumId w:val="8"/>
  </w:num>
  <w:num w:numId="22">
    <w:abstractNumId w:val="17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3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50</TotalTime>
  <Pages>3</Pages>
  <Words>715</Words>
  <Characters>4080</Characters>
  <Application>Microsoft Office Word</Application>
  <DocSecurity>0</DocSecurity>
  <Lines>0</Lines>
  <Paragraphs>0</Paragraphs>
  <ScaleCrop>false</ScaleCrop>
  <Company>Kancelaria NR SR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57</cp:revision>
  <cp:lastPrinted>2022-03-09T13:28:00Z</cp:lastPrinted>
  <dcterms:created xsi:type="dcterms:W3CDTF">2022-04-06T10:10:00Z</dcterms:created>
  <dcterms:modified xsi:type="dcterms:W3CDTF">2023-06-12T10:06:00Z</dcterms:modified>
</cp:coreProperties>
</file>