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1E1D87CA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6DEF0907" w14:textId="77777777" w:rsidR="00AA6411" w:rsidRPr="003B1AA7" w:rsidRDefault="00AA6411" w:rsidP="00BC1C98">
      <w:pPr>
        <w:rPr>
          <w:b/>
        </w:rPr>
      </w:pPr>
    </w:p>
    <w:p w14:paraId="330249B0" w14:textId="072E9547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05279">
        <w:t>5</w:t>
      </w:r>
      <w:r w:rsidRPr="003B1AA7">
        <w:t>. schôdza</w:t>
      </w:r>
    </w:p>
    <w:p w14:paraId="79D1A885" w14:textId="068513B4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036654">
        <w:t>9</w:t>
      </w:r>
      <w:r w:rsidR="00C2002B">
        <w:t>7</w:t>
      </w:r>
      <w:r w:rsidR="00305574">
        <w:t>3</w:t>
      </w:r>
      <w:r w:rsidRPr="003B1AA7">
        <w:t>/202</w:t>
      </w:r>
      <w:r>
        <w:t>3</w:t>
      </w:r>
    </w:p>
    <w:p w14:paraId="7B3AF05F" w14:textId="558A677D" w:rsidR="00BC1C98" w:rsidRDefault="00BC1C98" w:rsidP="00BC1C98">
      <w:pPr>
        <w:pStyle w:val="Bezriadkovania"/>
      </w:pPr>
    </w:p>
    <w:p w14:paraId="63932B95" w14:textId="1FFBE8C5" w:rsidR="00AA6411" w:rsidRPr="003B1AA7" w:rsidRDefault="00AA6411" w:rsidP="00BC1C98">
      <w:pPr>
        <w:pStyle w:val="Bezriadkovania"/>
      </w:pPr>
    </w:p>
    <w:p w14:paraId="77F947E1" w14:textId="51F5EA93" w:rsidR="00212AB6" w:rsidRPr="00E22843" w:rsidRDefault="0038468D" w:rsidP="00BC1C98">
      <w:pPr>
        <w:jc w:val="center"/>
        <w:rPr>
          <w:sz w:val="36"/>
          <w:szCs w:val="36"/>
        </w:rPr>
      </w:pPr>
      <w:bookmarkStart w:id="1" w:name="_GoBack"/>
      <w:bookmarkEnd w:id="1"/>
      <w:r>
        <w:rPr>
          <w:sz w:val="36"/>
          <w:szCs w:val="36"/>
        </w:rPr>
        <w:t>793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65421643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 </w:t>
      </w:r>
      <w:r w:rsidR="00A72E20">
        <w:rPr>
          <w:b/>
        </w:rPr>
        <w:t>8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566D0B15" w14:textId="64621249" w:rsidR="00305574" w:rsidRPr="00145CB7" w:rsidRDefault="002A0165" w:rsidP="00305574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C2002B">
        <w:t>v</w:t>
      </w:r>
      <w:r w:rsidR="00C2002B" w:rsidRPr="007E0020">
        <w:t>ládn</w:t>
      </w:r>
      <w:r w:rsidR="00C2002B">
        <w:t>emu</w:t>
      </w:r>
      <w:r w:rsidR="00C2002B" w:rsidRPr="007E0020">
        <w:t xml:space="preserve"> návrh</w:t>
      </w:r>
      <w:r w:rsidR="00C2002B">
        <w:t>u</w:t>
      </w:r>
      <w:r w:rsidR="00C2002B" w:rsidRPr="007E0020">
        <w:t xml:space="preserve"> zákona, </w:t>
      </w:r>
      <w:r w:rsidR="00305574" w:rsidRPr="00145CB7">
        <w:t xml:space="preserve">ktorým sa mení a dopĺňa </w:t>
      </w:r>
      <w:r w:rsidR="00305574" w:rsidRPr="00D96197">
        <w:rPr>
          <w:b/>
        </w:rPr>
        <w:t>zákon č. 539/2008 Z. z. o podpore regionálneho rozvoja</w:t>
      </w:r>
      <w:r w:rsidR="00305574" w:rsidRPr="00145CB7">
        <w:t xml:space="preserve"> v znení neskorších predpisov</w:t>
      </w:r>
      <w:r w:rsidR="00305574">
        <w:t xml:space="preserve"> (tlač 1562)</w:t>
      </w:r>
    </w:p>
    <w:p w14:paraId="5B413946" w14:textId="77777777" w:rsidR="00305574" w:rsidRDefault="00305574" w:rsidP="00C2002B">
      <w:pPr>
        <w:tabs>
          <w:tab w:val="left" w:pos="284"/>
          <w:tab w:val="left" w:pos="3402"/>
          <w:tab w:val="left" w:pos="3828"/>
        </w:tabs>
        <w:jc w:val="both"/>
      </w:pPr>
    </w:p>
    <w:p w14:paraId="1E20270E" w14:textId="2756887E" w:rsidR="001B3AED" w:rsidRDefault="001B3AED" w:rsidP="00BC1C98">
      <w:pPr>
        <w:pStyle w:val="Bezriadkovania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162321CB" w14:textId="2FC0CB3E" w:rsidR="006A24CA" w:rsidRPr="006A24CA" w:rsidRDefault="00BC1C98" w:rsidP="006A24CA">
      <w:pPr>
        <w:tabs>
          <w:tab w:val="left" w:pos="1276"/>
        </w:tabs>
        <w:jc w:val="both"/>
      </w:pPr>
      <w:r w:rsidRPr="006A24CA">
        <w:tab/>
        <w:t>s</w:t>
      </w:r>
      <w:r w:rsidR="00C2002B" w:rsidRPr="006A24CA">
        <w:t xml:space="preserve"> vládnym </w:t>
      </w:r>
      <w:r w:rsidRPr="006A24CA">
        <w:t>návrhom</w:t>
      </w:r>
      <w:r w:rsidR="00C2002B" w:rsidRPr="006A24CA">
        <w:t xml:space="preserve"> zákona, </w:t>
      </w:r>
      <w:r w:rsidR="006A24CA" w:rsidRPr="006A24CA">
        <w:t>ktorým sa mení a dopĺňa zákon č. 539/2</w:t>
      </w:r>
      <w:r w:rsidR="006A24CA">
        <w:t xml:space="preserve">008 Z. z. </w:t>
      </w:r>
      <w:r w:rsidR="006A24CA" w:rsidRPr="006A24CA">
        <w:t xml:space="preserve">o </w:t>
      </w:r>
      <w:r w:rsidR="006A24CA">
        <w:t> </w:t>
      </w:r>
      <w:r w:rsidR="006A24CA" w:rsidRPr="006A24CA">
        <w:t>podpore regionálneho rozvoja v znení neskorších predpisov (tlač 1562)</w:t>
      </w:r>
      <w:r w:rsidR="006A24CA">
        <w:t>;</w:t>
      </w:r>
    </w:p>
    <w:p w14:paraId="06E64218" w14:textId="33E33DA6" w:rsidR="00BC1C98" w:rsidRPr="003B1AA7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D81F0EF" w:rsidR="00BC1C98" w:rsidRPr="002A0165" w:rsidRDefault="00BC1C98" w:rsidP="00226881">
      <w:pPr>
        <w:tabs>
          <w:tab w:val="left" w:pos="1276"/>
        </w:tabs>
        <w:jc w:val="both"/>
        <w:rPr>
          <w:rFonts w:cs="Arial"/>
          <w:noProof/>
        </w:rPr>
      </w:pPr>
      <w:r w:rsidRPr="006A24CA">
        <w:rPr>
          <w:rFonts w:cs="Arial"/>
          <w:noProof/>
        </w:rPr>
        <w:tab/>
      </w:r>
      <w:r w:rsidR="00101E28" w:rsidRPr="006A24CA">
        <w:rPr>
          <w:rFonts w:cs="Arial"/>
          <w:noProof/>
        </w:rPr>
        <w:t xml:space="preserve">vládny </w:t>
      </w:r>
      <w:r w:rsidR="002A0165" w:rsidRPr="006A24CA">
        <w:rPr>
          <w:rFonts w:cs="Arial"/>
          <w:noProof/>
        </w:rPr>
        <w:t xml:space="preserve">návrh </w:t>
      </w:r>
      <w:r w:rsidR="00101E28" w:rsidRPr="006A24CA">
        <w:t xml:space="preserve">zákona, </w:t>
      </w:r>
      <w:r w:rsidR="006A24CA" w:rsidRPr="006A24CA">
        <w:t>ktorým sa mení a dopĺňa zákon č. 539/2008 Z. z. o podpore regionálneho rozvoja v znení neskorších predpisov (tlač 1562)</w:t>
      </w:r>
      <w:r w:rsidR="00226881">
        <w:t xml:space="preserve"> </w:t>
      </w:r>
      <w:r w:rsidRPr="00BC1C98">
        <w:rPr>
          <w:b/>
          <w:bCs/>
        </w:rPr>
        <w:t xml:space="preserve">schváliť </w:t>
      </w:r>
      <w:r w:rsidR="006A24CA">
        <w:rPr>
          <w:bCs/>
        </w:rPr>
        <w:t xml:space="preserve">so zmenami </w:t>
      </w:r>
      <w:r w:rsidR="002A0165" w:rsidRPr="002A0165">
        <w:rPr>
          <w:bCs/>
        </w:rPr>
        <w:t xml:space="preserve">a </w:t>
      </w:r>
      <w:r w:rsidR="006A24CA">
        <w:rPr>
          <w:bCs/>
        </w:rPr>
        <w:t> </w:t>
      </w:r>
      <w:r w:rsidR="002A0165" w:rsidRPr="002A0165">
        <w:rPr>
          <w:bCs/>
        </w:rPr>
        <w:t xml:space="preserve">doplnkami uvedenými v prílohe tohto uznesenia; </w:t>
      </w:r>
    </w:p>
    <w:p w14:paraId="40E001F9" w14:textId="77777777" w:rsidR="002A0165" w:rsidRPr="00BC1C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E81B2FB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00BC2A51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791B8950" w14:textId="3A6C0D71" w:rsidR="007933D3" w:rsidRPr="007933D3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</w:t>
      </w:r>
      <w:r w:rsidRPr="007933D3">
        <w:t xml:space="preserve">Výboru Národnej rady Slovenskej republiky </w:t>
      </w:r>
      <w:r w:rsidR="002A0165" w:rsidRPr="007933D3">
        <w:t xml:space="preserve">pre </w:t>
      </w:r>
      <w:r w:rsidR="007933D3" w:rsidRPr="007933D3">
        <w:t>verejnú správu a regionálny rozvoj.</w:t>
      </w:r>
    </w:p>
    <w:p w14:paraId="798412E5" w14:textId="5E4C77A0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36960B38" w14:textId="4F480111" w:rsidR="007933D3" w:rsidRDefault="007933D3" w:rsidP="00BC1C98">
      <w:pPr>
        <w:pStyle w:val="Zkladntext"/>
        <w:tabs>
          <w:tab w:val="left" w:pos="1134"/>
          <w:tab w:val="left" w:pos="1276"/>
        </w:tabs>
      </w:pPr>
    </w:p>
    <w:p w14:paraId="185DD394" w14:textId="063A37AD" w:rsidR="00D11248" w:rsidRDefault="00D11248" w:rsidP="00BC1C98">
      <w:pPr>
        <w:pStyle w:val="Zkladntext"/>
        <w:tabs>
          <w:tab w:val="left" w:pos="1134"/>
          <w:tab w:val="left" w:pos="1276"/>
        </w:tabs>
      </w:pPr>
    </w:p>
    <w:p w14:paraId="02768B25" w14:textId="77777777" w:rsidR="00AA6411" w:rsidRDefault="00AA6411" w:rsidP="00BC1C98">
      <w:pPr>
        <w:pStyle w:val="Zkladntext"/>
        <w:tabs>
          <w:tab w:val="left" w:pos="1134"/>
          <w:tab w:val="left" w:pos="1276"/>
        </w:tabs>
      </w:pPr>
    </w:p>
    <w:p w14:paraId="773208D9" w14:textId="77777777" w:rsidR="00D11248" w:rsidRDefault="00D11248" w:rsidP="00BC1C98">
      <w:pPr>
        <w:pStyle w:val="Zkladntext"/>
        <w:tabs>
          <w:tab w:val="left" w:pos="1134"/>
          <w:tab w:val="left" w:pos="1276"/>
        </w:tabs>
      </w:pPr>
    </w:p>
    <w:p w14:paraId="6E3AF946" w14:textId="77777777" w:rsidR="007933D3" w:rsidRDefault="007933D3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5A5F52CC" w14:textId="71123BE7" w:rsidR="00BC1C9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p w14:paraId="286E2423" w14:textId="06F3986E" w:rsidR="002A0165" w:rsidRDefault="002A0165" w:rsidP="00BC1C98">
      <w:pPr>
        <w:tabs>
          <w:tab w:val="left" w:pos="1021"/>
        </w:tabs>
        <w:jc w:val="both"/>
      </w:pPr>
    </w:p>
    <w:p w14:paraId="47D1D70D" w14:textId="18C4ACC3" w:rsidR="007933D3" w:rsidRDefault="007933D3" w:rsidP="00BC1C98">
      <w:pPr>
        <w:tabs>
          <w:tab w:val="left" w:pos="1021"/>
        </w:tabs>
        <w:jc w:val="both"/>
      </w:pP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lastRenderedPageBreak/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38A2E610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550A0E">
        <w:rPr>
          <w:b/>
        </w:rPr>
        <w:t>793</w:t>
      </w:r>
    </w:p>
    <w:p w14:paraId="041DEB44" w14:textId="730D653E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550A0E">
        <w:rPr>
          <w:b/>
        </w:rPr>
        <w:t>8</w:t>
      </w:r>
      <w:r>
        <w:rPr>
          <w:b/>
        </w:rPr>
        <w:t xml:space="preserve">. júna </w:t>
      </w:r>
      <w:r w:rsidRPr="003B1AA7">
        <w:rPr>
          <w:b/>
        </w:rPr>
        <w:t>202</w:t>
      </w:r>
      <w:r>
        <w:rPr>
          <w:b/>
        </w:rPr>
        <w:t>3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055449A" w14:textId="77777777" w:rsidR="002A0165" w:rsidRPr="003B1AA7" w:rsidRDefault="002A0165" w:rsidP="002A0165">
      <w:pPr>
        <w:jc w:val="center"/>
        <w:rPr>
          <w:lang w:eastAsia="en-US"/>
        </w:rPr>
      </w:pPr>
    </w:p>
    <w:p w14:paraId="35E0F58D" w14:textId="77777777" w:rsidR="002A0165" w:rsidRPr="003B1AA7" w:rsidRDefault="002A0165" w:rsidP="002A0165">
      <w:pPr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3B1AA7" w:rsidRDefault="002A0165" w:rsidP="002A0165">
      <w:pPr>
        <w:jc w:val="center"/>
      </w:pPr>
    </w:p>
    <w:p w14:paraId="35DA9B02" w14:textId="34DC6AA2" w:rsidR="006A24CA" w:rsidRPr="006A24CA" w:rsidRDefault="002A0165" w:rsidP="006A24CA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6A24CA">
        <w:rPr>
          <w:b/>
        </w:rPr>
        <w:t>k </w:t>
      </w:r>
      <w:r w:rsidR="007933D3" w:rsidRPr="006A24CA">
        <w:rPr>
          <w:b/>
        </w:rPr>
        <w:t xml:space="preserve">vládnemu návrhu zákona, </w:t>
      </w:r>
      <w:r w:rsidR="006A24CA" w:rsidRPr="006A24CA">
        <w:rPr>
          <w:b/>
        </w:rPr>
        <w:t>ktorým sa mení a dopĺňa zákon č. 539/2008 Z. z. o podpore regionálneho rozvoja v znení neskorších predpisov (tlač 1562)</w:t>
      </w:r>
    </w:p>
    <w:p w14:paraId="2BDB020B" w14:textId="316AF937" w:rsidR="002A0165" w:rsidRPr="007933D3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7933D3">
        <w:rPr>
          <w:b/>
          <w:bCs/>
        </w:rPr>
        <w:t>___________________________________________________________________________</w:t>
      </w:r>
    </w:p>
    <w:p w14:paraId="0BEA38F1" w14:textId="77777777" w:rsidR="002A0165" w:rsidRPr="003B1AA7" w:rsidRDefault="002A0165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C8849D5" w14:textId="77777777" w:rsidR="00816276" w:rsidRPr="00172AF5" w:rsidRDefault="00816276" w:rsidP="00816276">
      <w:pPr>
        <w:pStyle w:val="Odsekzoznamu"/>
        <w:spacing w:after="0" w:line="240" w:lineRule="auto"/>
        <w:ind w:left="4394"/>
        <w:rPr>
          <w:rFonts w:ascii="Times New Roman" w:hAnsi="Times New Roman"/>
          <w:sz w:val="24"/>
          <w:szCs w:val="24"/>
        </w:rPr>
      </w:pPr>
    </w:p>
    <w:p w14:paraId="438558FB" w14:textId="77777777" w:rsidR="00816276" w:rsidRPr="00172AF5" w:rsidRDefault="00816276" w:rsidP="00816276">
      <w:pPr>
        <w:pStyle w:val="Odsekzoznamu"/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72AF5">
        <w:rPr>
          <w:rFonts w:ascii="Times New Roman" w:hAnsi="Times New Roman"/>
          <w:sz w:val="24"/>
          <w:szCs w:val="24"/>
        </w:rPr>
        <w:t>V čl. I, 14. bode [§ 7 ods. 4 písm. c)] sa vypúšťa slovo „vykonávanými“.</w:t>
      </w:r>
    </w:p>
    <w:p w14:paraId="6DB35E89" w14:textId="77777777" w:rsidR="00816276" w:rsidRPr="00172AF5" w:rsidRDefault="00816276" w:rsidP="00816276"/>
    <w:p w14:paraId="153EA74E" w14:textId="77777777" w:rsidR="00816276" w:rsidRPr="00172AF5" w:rsidRDefault="00816276" w:rsidP="00816276">
      <w:pPr>
        <w:ind w:firstLine="4395"/>
      </w:pPr>
      <w:r w:rsidRPr="00172AF5">
        <w:t xml:space="preserve">Pozmeňujúci návrh vypúšťa nadbytočné slovo. </w:t>
      </w:r>
    </w:p>
    <w:p w14:paraId="1FA526CB" w14:textId="77777777" w:rsidR="00816276" w:rsidRPr="00172AF5" w:rsidRDefault="00816276" w:rsidP="00816276">
      <w:pPr>
        <w:pStyle w:val="Odsekzoznamu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DCDE9DA" w14:textId="77777777" w:rsidR="00816276" w:rsidRPr="00172AF5" w:rsidRDefault="00816276" w:rsidP="00816276">
      <w:pPr>
        <w:pStyle w:val="Odsekzoznamu"/>
        <w:spacing w:after="0" w:line="240" w:lineRule="auto"/>
        <w:ind w:left="4395"/>
        <w:rPr>
          <w:rFonts w:ascii="Times New Roman" w:hAnsi="Times New Roman"/>
          <w:sz w:val="24"/>
          <w:szCs w:val="24"/>
          <w:highlight w:val="yellow"/>
        </w:rPr>
      </w:pPr>
    </w:p>
    <w:p w14:paraId="7F911B32" w14:textId="77777777" w:rsidR="00816276" w:rsidRPr="00172AF5" w:rsidRDefault="00816276" w:rsidP="00816276">
      <w:pPr>
        <w:pStyle w:val="Odsekzoznamu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2AF5">
        <w:rPr>
          <w:rFonts w:ascii="Times New Roman" w:hAnsi="Times New Roman"/>
          <w:sz w:val="24"/>
          <w:szCs w:val="24"/>
        </w:rPr>
        <w:t>V čl. I, 21. bode (§ 8a ods. 4) sa slová „zdrojov Európskej únie“ nahrádzajú slovami „zdrojov fondov Európskej únie“.</w:t>
      </w:r>
    </w:p>
    <w:p w14:paraId="6A184C96" w14:textId="77777777" w:rsidR="00816276" w:rsidRPr="00172AF5" w:rsidRDefault="00816276" w:rsidP="00816276">
      <w:pPr>
        <w:ind w:left="4395"/>
        <w:jc w:val="both"/>
      </w:pPr>
      <w:r w:rsidRPr="00172AF5">
        <w:t>Pozmeňujúci návrh pojmovo precizuje a zároveň zjednocuje ustanovenia návrhu zákona, konkrétne s čl. I, 13. bodom.</w:t>
      </w:r>
    </w:p>
    <w:p w14:paraId="413F0DB4" w14:textId="77777777" w:rsidR="00816276" w:rsidRPr="00172AF5" w:rsidRDefault="00816276" w:rsidP="00816276">
      <w:pPr>
        <w:pStyle w:val="Odsekzoznamu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2AFD8BDB" w14:textId="6962B085" w:rsidR="00816276" w:rsidRPr="00172AF5" w:rsidRDefault="00816276" w:rsidP="00816276">
      <w:pPr>
        <w:pStyle w:val="Odsekzoznamu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2AF5">
        <w:rPr>
          <w:rFonts w:ascii="Times New Roman" w:hAnsi="Times New Roman"/>
          <w:sz w:val="24"/>
          <w:szCs w:val="24"/>
        </w:rPr>
        <w:t>V čl. I, 21. bode (§ 8a ods. 6) sa slovo „schvaľu</w:t>
      </w:r>
      <w:r>
        <w:rPr>
          <w:rFonts w:ascii="Times New Roman" w:hAnsi="Times New Roman"/>
          <w:sz w:val="24"/>
          <w:szCs w:val="24"/>
        </w:rPr>
        <w:t xml:space="preserve">je“ nahrádza slovami „prerokúva </w:t>
      </w:r>
      <w:r w:rsidRPr="00172AF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 </w:t>
      </w:r>
      <w:r w:rsidRPr="00172AF5">
        <w:rPr>
          <w:rFonts w:ascii="Times New Roman" w:hAnsi="Times New Roman"/>
          <w:sz w:val="24"/>
          <w:szCs w:val="24"/>
        </w:rPr>
        <w:t>schvaľuje“.</w:t>
      </w:r>
    </w:p>
    <w:p w14:paraId="671424BE" w14:textId="77777777" w:rsidR="00816276" w:rsidRPr="00172AF5" w:rsidRDefault="00816276" w:rsidP="00816276">
      <w:pPr>
        <w:pStyle w:val="Odsekzoznamu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172AF5">
        <w:rPr>
          <w:rFonts w:ascii="Times New Roman" w:hAnsi="Times New Roman"/>
          <w:sz w:val="24"/>
          <w:szCs w:val="24"/>
        </w:rPr>
        <w:t xml:space="preserve">Pozmeňujúci návrh pojmovo precizuje a zároveň zjednocuje ustanovenia návrhu zákona, konkrétne s čl. I, 15. bodom. </w:t>
      </w:r>
    </w:p>
    <w:p w14:paraId="0AD27FBE" w14:textId="77777777" w:rsidR="00816276" w:rsidRPr="00172AF5" w:rsidRDefault="00816276" w:rsidP="00816276">
      <w:pPr>
        <w:pStyle w:val="Odsekzoznamu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487B5305" w14:textId="77777777" w:rsidR="00816276" w:rsidRPr="00172AF5" w:rsidRDefault="00816276" w:rsidP="00816276">
      <w:pPr>
        <w:pStyle w:val="Odsekzoznamu"/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72AF5">
        <w:rPr>
          <w:rFonts w:ascii="Times New Roman" w:hAnsi="Times New Roman"/>
          <w:sz w:val="24"/>
          <w:szCs w:val="24"/>
        </w:rPr>
        <w:t>V čl. II sa slová „15. júla“ nahrádzajú slovami „1. septembra“.</w:t>
      </w:r>
    </w:p>
    <w:p w14:paraId="3E2CCD18" w14:textId="77777777" w:rsidR="00816276" w:rsidRPr="00172AF5" w:rsidRDefault="00816276" w:rsidP="00816276">
      <w:pPr>
        <w:overflowPunct w:val="0"/>
        <w:ind w:left="4394"/>
        <w:jc w:val="both"/>
      </w:pPr>
    </w:p>
    <w:p w14:paraId="57C4E93C" w14:textId="53E0685F" w:rsidR="00816276" w:rsidRPr="00172AF5" w:rsidRDefault="00816276" w:rsidP="00816276">
      <w:pPr>
        <w:overflowPunct w:val="0"/>
        <w:ind w:left="4394"/>
        <w:jc w:val="both"/>
      </w:pPr>
      <w:r w:rsidRPr="00172AF5">
        <w:t>Pozmeňujúci návrh zabezpečuje posunutie ú</w:t>
      </w:r>
      <w:r>
        <w:t xml:space="preserve">činnosti návrhu zákona vzhľadom </w:t>
      </w:r>
      <w:r w:rsidRPr="00172AF5">
        <w:t xml:space="preserve">na </w:t>
      </w:r>
      <w:r>
        <w:t> </w:t>
      </w:r>
      <w:r w:rsidRPr="00172AF5">
        <w:t>predpok</w:t>
      </w:r>
      <w:r>
        <w:t xml:space="preserve">ladaný termín jeho prerokovania </w:t>
      </w:r>
      <w:r w:rsidRPr="00172AF5">
        <w:t xml:space="preserve">na </w:t>
      </w:r>
      <w:r>
        <w:t> </w:t>
      </w:r>
      <w:r w:rsidRPr="00172AF5">
        <w:t>schôdzi Národnej rady Slovenskej republiky so začiatkom 13. júna 2023, ako aj potrebu dodržania lehoty podľa čl. 102 ods. 1 písm. o) Ústavy Slovenskej republiky.</w:t>
      </w:r>
    </w:p>
    <w:p w14:paraId="383482A2" w14:textId="77777777" w:rsidR="00816276" w:rsidRPr="00172AF5" w:rsidRDefault="00816276" w:rsidP="00816276">
      <w:pPr>
        <w:pStyle w:val="Odsekzoznamu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184408A" w14:textId="77777777" w:rsidR="00816276" w:rsidRDefault="00816276" w:rsidP="0081627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CD71B" w14:textId="77777777" w:rsidR="00816276" w:rsidRDefault="00816276" w:rsidP="0081627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4E16B" w14:textId="77777777" w:rsidR="002A0165" w:rsidRDefault="002A0165" w:rsidP="00BC1C98">
      <w:pPr>
        <w:tabs>
          <w:tab w:val="left" w:pos="1021"/>
        </w:tabs>
        <w:jc w:val="both"/>
      </w:pPr>
    </w:p>
    <w:sectPr w:rsidR="002A01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A0D469F6"/>
    <w:lvl w:ilvl="0" w:tplc="E3E2E634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0B24DC"/>
    <w:multiLevelType w:val="hybridMultilevel"/>
    <w:tmpl w:val="C5722E4E"/>
    <w:lvl w:ilvl="0" w:tplc="E0BC193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101E28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2CF3"/>
    <w:rsid w:val="00226881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3028AD"/>
    <w:rsid w:val="00305574"/>
    <w:rsid w:val="0038468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0A0E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A24CA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33D3"/>
    <w:rsid w:val="007C23A2"/>
    <w:rsid w:val="007D0E04"/>
    <w:rsid w:val="007D2BE9"/>
    <w:rsid w:val="007E610C"/>
    <w:rsid w:val="00801592"/>
    <w:rsid w:val="00816276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2E20"/>
    <w:rsid w:val="00A755AD"/>
    <w:rsid w:val="00A851D3"/>
    <w:rsid w:val="00AA3E6B"/>
    <w:rsid w:val="00AA6411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2002B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11248"/>
    <w:rsid w:val="00D21A79"/>
    <w:rsid w:val="00D24ED8"/>
    <w:rsid w:val="00D26C98"/>
    <w:rsid w:val="00D3302C"/>
    <w:rsid w:val="00D371D4"/>
    <w:rsid w:val="00D44137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28A2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40</cp:revision>
  <cp:lastPrinted>2023-06-09T08:08:00Z</cp:lastPrinted>
  <dcterms:created xsi:type="dcterms:W3CDTF">2023-03-28T09:22:00Z</dcterms:created>
  <dcterms:modified xsi:type="dcterms:W3CDTF">2023-06-09T08:09:00Z</dcterms:modified>
</cp:coreProperties>
</file>