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05" w:rsidRPr="00603AF1" w:rsidRDefault="00AF6205" w:rsidP="00157D5B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03AF1">
        <w:rPr>
          <w:rFonts w:ascii="Times New Roman" w:hAnsi="Times New Roman" w:cs="Times New Roman"/>
          <w:b/>
          <w:bCs/>
          <w:sz w:val="28"/>
          <w:szCs w:val="24"/>
        </w:rPr>
        <w:t>Predkladacia správa</w:t>
      </w:r>
    </w:p>
    <w:p w:rsidR="00343C5D" w:rsidRDefault="00343C5D" w:rsidP="00B55FC0">
      <w:pPr>
        <w:jc w:val="both"/>
        <w:rPr>
          <w:lang w:eastAsia="cs-CZ"/>
        </w:rPr>
      </w:pPr>
    </w:p>
    <w:p w:rsidR="007F48CD" w:rsidRDefault="001E2276" w:rsidP="00B55FC0">
      <w:pPr>
        <w:ind w:firstLine="708"/>
        <w:jc w:val="both"/>
      </w:pPr>
      <w:r w:rsidRPr="00855A49">
        <w:t>Dňa 16. mája 2005 bol vo Varšave prijatý</w:t>
      </w:r>
      <w:r w:rsidRPr="00855A49">
        <w:rPr>
          <w:i/>
        </w:rPr>
        <w:t xml:space="preserve"> </w:t>
      </w:r>
      <w:r w:rsidRPr="003824EA">
        <w:t>„Dohovor Rady Európy o praní špinavých peňazí, vyhľadávaní, zaistení a konfiškácii ziskov z trestnej činnosti a o financovaní terorizmu“</w:t>
      </w:r>
      <w:r w:rsidRPr="00855A49">
        <w:t xml:space="preserve"> (ďalej len „</w:t>
      </w:r>
      <w:r w:rsidR="00F65231">
        <w:t>D</w:t>
      </w:r>
      <w:r w:rsidRPr="003824EA">
        <w:t>ohovor</w:t>
      </w:r>
      <w:r w:rsidRPr="00855A49">
        <w:t>“). Náro</w:t>
      </w:r>
      <w:r w:rsidR="002348D0">
        <w:t xml:space="preserve">dná rada Slovenskej republiky s </w:t>
      </w:r>
      <w:r w:rsidRPr="00855A49">
        <w:t>Dohovorom vysl</w:t>
      </w:r>
      <w:r w:rsidR="002348D0">
        <w:t xml:space="preserve">ovila súhlas uznesením č. 862 z </w:t>
      </w:r>
      <w:r w:rsidRPr="00855A49">
        <w:t xml:space="preserve">21. mája 2008. </w:t>
      </w:r>
      <w:r w:rsidR="00B51A04">
        <w:t xml:space="preserve">Prezident Slovenskej republiky Dohovor podpísal 18.  augusta 2008. </w:t>
      </w:r>
      <w:r w:rsidRPr="00855A49">
        <w:t>Pre Slovenskú repub</w:t>
      </w:r>
      <w:r w:rsidR="00B55FC0">
        <w:t xml:space="preserve">liku Dohovor nadobudol platnosť </w:t>
      </w:r>
      <w:r w:rsidRPr="00855A49">
        <w:t>1. januára 2009 v súlade s článkom 49 ods. 4 a</w:t>
      </w:r>
      <w:r w:rsidR="001D4F01">
        <w:t xml:space="preserve"> </w:t>
      </w:r>
      <w:r w:rsidRPr="00855A49">
        <w:t xml:space="preserve">bol </w:t>
      </w:r>
      <w:r w:rsidR="00B51A04">
        <w:t>vyhlásený</w:t>
      </w:r>
      <w:r w:rsidRPr="00855A49">
        <w:t xml:space="preserve"> v Zbierke zákonov Slovenskej republiky oznámením č. 91/2009 Z. z.</w:t>
      </w:r>
    </w:p>
    <w:p w:rsidR="007F48CD" w:rsidRDefault="007F48CD" w:rsidP="00B55FC0">
      <w:pPr>
        <w:ind w:firstLine="708"/>
        <w:jc w:val="both"/>
      </w:pPr>
    </w:p>
    <w:p w:rsidR="00855A49" w:rsidRDefault="002C1201" w:rsidP="00B55FC0">
      <w:pPr>
        <w:ind w:firstLine="708"/>
        <w:jc w:val="both"/>
      </w:pPr>
      <w:r w:rsidRPr="00855A49">
        <w:t>V</w:t>
      </w:r>
      <w:r w:rsidR="002348D0">
        <w:t> súlade s článkom</w:t>
      </w:r>
      <w:r w:rsidR="00226FB3" w:rsidRPr="00855A49">
        <w:t xml:space="preserve"> 53 ods. 2 </w:t>
      </w:r>
      <w:r w:rsidRPr="00855A49">
        <w:t xml:space="preserve">Dohovoru si Slovenská republika </w:t>
      </w:r>
      <w:r w:rsidR="00226FB3" w:rsidRPr="00855A49">
        <w:t>vyhradila právo v plnom rozsa</w:t>
      </w:r>
      <w:r w:rsidR="00630A7E" w:rsidRPr="00855A49">
        <w:t>hu neuplatňovať postup podľa článku</w:t>
      </w:r>
      <w:r w:rsidR="00226FB3" w:rsidRPr="00855A49">
        <w:t xml:space="preserve"> 7 ods. 2 písm. c) </w:t>
      </w:r>
      <w:r w:rsidRPr="00855A49">
        <w:t>D</w:t>
      </w:r>
      <w:r w:rsidR="00226FB3" w:rsidRPr="00855A49">
        <w:t>ohovoru „</w:t>
      </w:r>
      <w:r w:rsidR="00226FB3" w:rsidRPr="003824EA">
        <w:t>monitorovať počas určeného obdobia bankové transakcie, ktoré sa vykonávajú prostredníctvom jedného alebo viacerých identifikovaných účtov</w:t>
      </w:r>
      <w:r w:rsidR="00226FB3" w:rsidRPr="00855A49">
        <w:rPr>
          <w:i/>
        </w:rPr>
        <w:t>.</w:t>
      </w:r>
      <w:r w:rsidR="00226FB3" w:rsidRPr="00855A49">
        <w:t>“</w:t>
      </w:r>
    </w:p>
    <w:p w:rsidR="00855A49" w:rsidRDefault="00855A49" w:rsidP="00B55FC0">
      <w:pPr>
        <w:jc w:val="both"/>
      </w:pPr>
    </w:p>
    <w:p w:rsidR="00920B74" w:rsidRDefault="00920B74" w:rsidP="00B55FC0">
      <w:pPr>
        <w:ind w:firstLine="708"/>
        <w:jc w:val="both"/>
      </w:pPr>
      <w:r>
        <w:t>Na aplikovanie článku 7 ods. 2 písm. c) Dohovoru má Slovenská republika podľa platnej legislatívy dostatočné zákonné možnosti, na základe ktorých je možné riadne vykonávať požadované monitorovanie</w:t>
      </w:r>
      <w:r w:rsidR="007416A1">
        <w:t xml:space="preserve"> a nie je </w:t>
      </w:r>
      <w:r w:rsidR="007416A1">
        <w:rPr>
          <w:lang w:eastAsia="cs-CZ"/>
        </w:rPr>
        <w:t>potrebné</w:t>
      </w:r>
      <w:r w:rsidR="007416A1" w:rsidRPr="00855A49">
        <w:rPr>
          <w:lang w:eastAsia="cs-CZ"/>
        </w:rPr>
        <w:t xml:space="preserve"> meniť aktuálnu právnu úpravu</w:t>
      </w:r>
      <w:r>
        <w:t xml:space="preserve">. </w:t>
      </w:r>
    </w:p>
    <w:p w:rsidR="007416A1" w:rsidRDefault="007416A1" w:rsidP="00B55FC0">
      <w:pPr>
        <w:ind w:firstLine="708"/>
        <w:jc w:val="both"/>
      </w:pPr>
    </w:p>
    <w:p w:rsidR="00920B74" w:rsidRDefault="00F67876" w:rsidP="00B55FC0">
      <w:pPr>
        <w:ind w:firstLine="708"/>
        <w:jc w:val="both"/>
      </w:pPr>
      <w:r>
        <w:t>V zmysle</w:t>
      </w:r>
      <w:r w:rsidR="00920B74">
        <w:t xml:space="preserve"> ustanovenia § 21 ods. 5 zákona č. 297/2008 Z.</w:t>
      </w:r>
      <w:r>
        <w:t xml:space="preserve"> </w:t>
      </w:r>
      <w:r w:rsidR="00920B74">
        <w:t>z. o ochrane pred legalizáciou príjmov z trestnej činnosti a o ochrane pred financovaním terorizmu a o zmene a doplnení niektorých zákonov majú povinné osoby (vrátane bánk a</w:t>
      </w:r>
      <w:r w:rsidR="00B55FC0">
        <w:t xml:space="preserve"> </w:t>
      </w:r>
      <w:r w:rsidR="00920B74">
        <w:t>pobočiek zahraničných bánk) povinnosť vo svojich pobočkách alebo dcérskych spoločnostiach, ktoré sa nachádzajú na území tretieho štátu, vykonávať opatrenia rovnocenné k</w:t>
      </w:r>
      <w:r w:rsidR="00C73FC4">
        <w:t xml:space="preserve"> </w:t>
      </w:r>
      <w:r w:rsidR="00920B74">
        <w:t xml:space="preserve">vykonávaniu starostlivosti vo vzťahu </w:t>
      </w:r>
      <w:r w:rsidR="00B55FC0">
        <w:t xml:space="preserve">                      </w:t>
      </w:r>
      <w:r w:rsidR="00920B74">
        <w:t xml:space="preserve">ku klientovi upravenej v ustanoveniach § 10, 11 a 12 tohto zákona. Základná starostlivosť </w:t>
      </w:r>
      <w:r w:rsidR="00B55FC0">
        <w:t xml:space="preserve">                     </w:t>
      </w:r>
      <w:r w:rsidR="00920B74">
        <w:t>vo vzťahu ku klientovi mimo iného zahŕňa aj vykonávanie priebežného podrobného monitorovania obchodného vzťahu vrátane preskúmania konkrétnych obchodov vykonaných počas trvania obchodného vzťahu za účelom zistenia, či vykonávané obchody sú v súlade s poznatkami povinnej osoby o klientovi, jeho obchodnom profile, pre</w:t>
      </w:r>
      <w:r w:rsidR="00B55FC0">
        <w:t xml:space="preserve">hľade možných rizík spojených s </w:t>
      </w:r>
      <w:r w:rsidR="00920B74">
        <w:t>klientom a</w:t>
      </w:r>
      <w:r w:rsidR="00B55FC0">
        <w:t xml:space="preserve"> </w:t>
      </w:r>
      <w:r w:rsidR="00920B74">
        <w:t>so zdrojom finančných prostriedkov a</w:t>
      </w:r>
      <w:r w:rsidR="00B55FC0">
        <w:t xml:space="preserve"> </w:t>
      </w:r>
      <w:r w:rsidR="00920B74">
        <w:t xml:space="preserve">majetku použitých </w:t>
      </w:r>
      <w:r w:rsidR="00B55FC0">
        <w:t xml:space="preserve">                                     </w:t>
      </w:r>
      <w:r w:rsidR="00920B74">
        <w:t xml:space="preserve">pri obchodnom vzťahu alebo obchode, a zabezpečenie aktualizácie dokumentov, údajov alebo informácií, ktoré má povinná osoba k dispozícii o danom klientovi. </w:t>
      </w:r>
    </w:p>
    <w:p w:rsidR="00920B74" w:rsidRDefault="00920B74" w:rsidP="00B55FC0">
      <w:pPr>
        <w:ind w:firstLine="708"/>
        <w:jc w:val="both"/>
      </w:pPr>
    </w:p>
    <w:p w:rsidR="007416A1" w:rsidRDefault="00920B74" w:rsidP="00B55FC0">
      <w:pPr>
        <w:ind w:firstLine="708"/>
        <w:jc w:val="both"/>
      </w:pPr>
      <w:r>
        <w:t>Finančná spravodajská jednotka</w:t>
      </w:r>
      <w:r w:rsidRPr="00855A49">
        <w:t xml:space="preserve"> Prezídia Policajného zboru</w:t>
      </w:r>
      <w:r>
        <w:t xml:space="preserve"> je oprávnená podľa § </w:t>
      </w:r>
      <w:r w:rsidR="00F36C31">
        <w:t xml:space="preserve">29a ods. 4 zákona č. 171/1993 Z. </w:t>
      </w:r>
      <w:r>
        <w:t>z. o Polic</w:t>
      </w:r>
      <w:r w:rsidR="00B55FC0">
        <w:t xml:space="preserve">ajnom zbore požadovať od bánk a </w:t>
      </w:r>
      <w:r>
        <w:t xml:space="preserve">pobočiek zahraničných bánk správy týkajúce sa jej klientov aj napriek tomu, že tieto informácie podliehajú bankovému tajomstvu. Bankové inštitúcie v Slovenskej republike na základe takejto žiadosti dokážu zabezpečiť vykonanie technických opatrení na monitorovanie konkrétnych bankových účtov, vrátane transakcií na predmetných účtoch. </w:t>
      </w:r>
    </w:p>
    <w:p w:rsidR="000E13F0" w:rsidRDefault="000E13F0" w:rsidP="00B55FC0">
      <w:pPr>
        <w:ind w:firstLine="708"/>
        <w:jc w:val="both"/>
        <w:rPr>
          <w:bCs/>
        </w:rPr>
      </w:pPr>
    </w:p>
    <w:p w:rsidR="000E13F0" w:rsidRDefault="007416A1" w:rsidP="00B55FC0">
      <w:pPr>
        <w:ind w:firstLine="708"/>
        <w:jc w:val="both"/>
        <w:rPr>
          <w:lang w:eastAsia="cs-CZ"/>
        </w:rPr>
      </w:pPr>
      <w:r>
        <w:t>Zároveň</w:t>
      </w:r>
      <w:r w:rsidRPr="00855A49">
        <w:rPr>
          <w:lang w:eastAsia="cs-CZ"/>
        </w:rPr>
        <w:t xml:space="preserve"> </w:t>
      </w:r>
      <w:r w:rsidR="00F67876">
        <w:rPr>
          <w:lang w:eastAsia="cs-CZ"/>
        </w:rPr>
        <w:t>je potrebné poukázať</w:t>
      </w:r>
      <w:r w:rsidR="00CF77CB">
        <w:rPr>
          <w:lang w:eastAsia="cs-CZ"/>
        </w:rPr>
        <w:t xml:space="preserve"> na </w:t>
      </w:r>
      <w:r w:rsidR="00F67876">
        <w:rPr>
          <w:lang w:eastAsia="cs-CZ"/>
        </w:rPr>
        <w:t>zákonnú možnosť požiadať o</w:t>
      </w:r>
      <w:r w:rsidR="00B55FC0">
        <w:rPr>
          <w:lang w:eastAsia="cs-CZ"/>
        </w:rPr>
        <w:t xml:space="preserve"> </w:t>
      </w:r>
      <w:r w:rsidR="00F67876">
        <w:rPr>
          <w:lang w:eastAsia="cs-CZ"/>
        </w:rPr>
        <w:t xml:space="preserve">monitorovanie </w:t>
      </w:r>
      <w:r w:rsidR="00CF77CB">
        <w:rPr>
          <w:lang w:eastAsia="cs-CZ"/>
        </w:rPr>
        <w:t xml:space="preserve">bankových transakcií </w:t>
      </w:r>
      <w:r w:rsidR="000E13F0">
        <w:rPr>
          <w:lang w:eastAsia="cs-CZ"/>
        </w:rPr>
        <w:t xml:space="preserve">aj </w:t>
      </w:r>
      <w:r w:rsidR="00F67876">
        <w:rPr>
          <w:lang w:eastAsia="cs-CZ"/>
        </w:rPr>
        <w:t xml:space="preserve">podľa </w:t>
      </w:r>
      <w:r w:rsidRPr="00855A49">
        <w:rPr>
          <w:lang w:eastAsia="cs-CZ"/>
        </w:rPr>
        <w:t>ustanovenia §</w:t>
      </w:r>
      <w:r w:rsidR="007F48CD">
        <w:rPr>
          <w:lang w:eastAsia="cs-CZ"/>
        </w:rPr>
        <w:t xml:space="preserve"> </w:t>
      </w:r>
      <w:r w:rsidRPr="00855A49">
        <w:rPr>
          <w:lang w:eastAsia="cs-CZ"/>
        </w:rPr>
        <w:t xml:space="preserve">3 ods. 5 </w:t>
      </w:r>
      <w:r w:rsidR="00F67876">
        <w:rPr>
          <w:lang w:eastAsia="cs-CZ"/>
        </w:rPr>
        <w:t xml:space="preserve">zákona č. 301/2005 Z. z. </w:t>
      </w:r>
      <w:r w:rsidRPr="00855A49">
        <w:rPr>
          <w:lang w:eastAsia="cs-CZ"/>
        </w:rPr>
        <w:t>Trestného poriadku</w:t>
      </w:r>
      <w:r w:rsidR="000E13F0">
        <w:rPr>
          <w:lang w:eastAsia="cs-CZ"/>
        </w:rPr>
        <w:t xml:space="preserve"> a na fungujúcu aplikačnú prax s uplatňovaním tohto ustanovenia, najmä v procese online monitorovania bankových transakcií. </w:t>
      </w:r>
    </w:p>
    <w:p w:rsidR="000E13F0" w:rsidRDefault="000E13F0" w:rsidP="00B55FC0">
      <w:pPr>
        <w:ind w:firstLine="708"/>
        <w:jc w:val="both"/>
        <w:rPr>
          <w:lang w:eastAsia="cs-CZ"/>
        </w:rPr>
      </w:pPr>
    </w:p>
    <w:p w:rsidR="000E13F0" w:rsidRPr="000E13F0" w:rsidRDefault="000E13F0" w:rsidP="00B55FC0">
      <w:pPr>
        <w:ind w:firstLine="708"/>
        <w:jc w:val="both"/>
      </w:pPr>
      <w:r>
        <w:rPr>
          <w:lang w:eastAsia="cs-CZ"/>
        </w:rPr>
        <w:t xml:space="preserve">Taktiež je v platnosti </w:t>
      </w:r>
      <w:r>
        <w:t>zákon č. 123/2022 Z. z. o centrálnom registri účtov, ktorý v kontexte s obsahom predmetného článku 7 ods. 2 písm. c) Dohovoru dopĺňa potrebnú aplikačnú prax v</w:t>
      </w:r>
      <w:r w:rsidR="00D515A6">
        <w:t xml:space="preserve"> </w:t>
      </w:r>
      <w:bookmarkStart w:id="0" w:name="_GoBack"/>
      <w:bookmarkEnd w:id="0"/>
      <w:r>
        <w:t xml:space="preserve">podmienkach Slovenskej republiky. </w:t>
      </w:r>
      <w:r w:rsidRPr="000E13F0">
        <w:rPr>
          <w:bCs/>
        </w:rPr>
        <w:t>Vzhľadom na tieto skutočnosti môže Slovenská republika riadne vykonávať postup podľa článku 7 ods. 2 písm. c) Dohovoru.</w:t>
      </w:r>
    </w:p>
    <w:p w:rsidR="001E2276" w:rsidRPr="00855A49" w:rsidRDefault="001E2276" w:rsidP="00B55FC0">
      <w:pPr>
        <w:tabs>
          <w:tab w:val="left" w:pos="4820"/>
        </w:tabs>
        <w:jc w:val="both"/>
      </w:pPr>
    </w:p>
    <w:p w:rsidR="001F2B2D" w:rsidRDefault="001E2276" w:rsidP="00B55FC0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5C1F">
        <w:rPr>
          <w:rFonts w:ascii="Times New Roman" w:hAnsi="Times New Roman"/>
          <w:sz w:val="24"/>
          <w:szCs w:val="24"/>
        </w:rPr>
        <w:lastRenderedPageBreak/>
        <w:t>Dohovor má z hľadiska vnútroštátneho právneho poriadku charakter prezidentskej medzinárodnej zmluvy</w:t>
      </w:r>
      <w:r w:rsidR="00CC5C1F" w:rsidRPr="00CC5C1F">
        <w:rPr>
          <w:rFonts w:ascii="Times New Roman" w:hAnsi="Times New Roman"/>
          <w:sz w:val="24"/>
          <w:szCs w:val="24"/>
        </w:rPr>
        <w:t xml:space="preserve"> podľa článku 7 ods. 4 Ústavy Slovenskej republiky, na ktorej vykonanie je potrebný zákon a v súlade s článkom 86 písm. d) Ústavy Slovenskej republiky podlieha vysloveniu súhlasu Národnej rady Slovenskej republiky.</w:t>
      </w:r>
    </w:p>
    <w:p w:rsidR="00CC5C1F" w:rsidRPr="00CC5C1F" w:rsidRDefault="00CC5C1F" w:rsidP="00B55FC0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7502E" w:rsidRPr="00855A49" w:rsidRDefault="00343C5D" w:rsidP="00B55FC0">
      <w:pPr>
        <w:pStyle w:val="Normlnywebov"/>
        <w:spacing w:before="0" w:beforeAutospacing="0" w:after="0" w:afterAutospacing="0"/>
        <w:ind w:firstLine="708"/>
        <w:jc w:val="both"/>
      </w:pPr>
      <w:r w:rsidRPr="00855A49">
        <w:t>Predkladaný materiál</w:t>
      </w:r>
      <w:r w:rsidR="00630FF4" w:rsidRPr="00855A49">
        <w:t xml:space="preserve"> nemá </w:t>
      </w:r>
      <w:r w:rsidR="00FA74BA" w:rsidRPr="00855A49">
        <w:t>vplyv</w:t>
      </w:r>
      <w:r w:rsidR="00757C3A">
        <w:t>y</w:t>
      </w:r>
      <w:r w:rsidR="00FA74BA" w:rsidRPr="00855A49">
        <w:t xml:space="preserve"> na rozpočet verejnej správy, </w:t>
      </w:r>
      <w:r w:rsidR="00630FF4" w:rsidRPr="00855A49">
        <w:t>na podnikateľské prostredie, sociálne vplyvy, vplyvy na životné prostredie</w:t>
      </w:r>
      <w:r w:rsidRPr="00855A49">
        <w:t>, na informatizáciu spoločnosti</w:t>
      </w:r>
      <w:r w:rsidR="0086009B" w:rsidRPr="00855A49">
        <w:t xml:space="preserve"> </w:t>
      </w:r>
      <w:r w:rsidR="00630FF4" w:rsidRPr="00855A49">
        <w:t>ani vplyvy</w:t>
      </w:r>
      <w:r w:rsidR="00DF23CC" w:rsidRPr="00855A49">
        <w:t xml:space="preserve"> </w:t>
      </w:r>
      <w:r w:rsidR="00630FF4" w:rsidRPr="00855A49">
        <w:t>na sl</w:t>
      </w:r>
      <w:r w:rsidR="0086009B" w:rsidRPr="00855A49">
        <w:t>užby verejnej správy pre občana a ani vplyvy na manželstvo, rodičovstvo a rodinu.</w:t>
      </w:r>
    </w:p>
    <w:p w:rsidR="00897935" w:rsidRDefault="00897935" w:rsidP="00B55FC0">
      <w:pPr>
        <w:ind w:right="-1" w:firstLine="708"/>
        <w:jc w:val="right"/>
      </w:pPr>
    </w:p>
    <w:p w:rsidR="00897935" w:rsidRDefault="00897935" w:rsidP="00B55FC0">
      <w:pPr>
        <w:jc w:val="both"/>
      </w:pPr>
    </w:p>
    <w:sectPr w:rsidR="00897935" w:rsidSect="0037502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5E" w:rsidRDefault="00E0485E" w:rsidP="00F65231">
      <w:r>
        <w:separator/>
      </w:r>
    </w:p>
  </w:endnote>
  <w:endnote w:type="continuationSeparator" w:id="0">
    <w:p w:rsidR="00E0485E" w:rsidRDefault="00E0485E" w:rsidP="00F6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205174"/>
      <w:docPartObj>
        <w:docPartGallery w:val="Page Numbers (Bottom of Page)"/>
        <w:docPartUnique/>
      </w:docPartObj>
    </w:sdtPr>
    <w:sdtEndPr/>
    <w:sdtContent>
      <w:p w:rsidR="00F65231" w:rsidRDefault="00F6523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A6">
          <w:rPr>
            <w:noProof/>
          </w:rPr>
          <w:t>2</w:t>
        </w:r>
        <w:r>
          <w:fldChar w:fldCharType="end"/>
        </w:r>
      </w:p>
    </w:sdtContent>
  </w:sdt>
  <w:p w:rsidR="00F65231" w:rsidRDefault="00F652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5E" w:rsidRDefault="00E0485E" w:rsidP="00F65231">
      <w:r>
        <w:separator/>
      </w:r>
    </w:p>
  </w:footnote>
  <w:footnote w:type="continuationSeparator" w:id="0">
    <w:p w:rsidR="00E0485E" w:rsidRDefault="00E0485E" w:rsidP="00F6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7F72"/>
    <w:multiLevelType w:val="hybridMultilevel"/>
    <w:tmpl w:val="2CE242D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1C1"/>
    <w:multiLevelType w:val="hybridMultilevel"/>
    <w:tmpl w:val="D99485E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05"/>
    <w:rsid w:val="00014223"/>
    <w:rsid w:val="00032993"/>
    <w:rsid w:val="00034C96"/>
    <w:rsid w:val="0003678D"/>
    <w:rsid w:val="000404C1"/>
    <w:rsid w:val="0004358D"/>
    <w:rsid w:val="0005103E"/>
    <w:rsid w:val="00064425"/>
    <w:rsid w:val="000703B7"/>
    <w:rsid w:val="00071600"/>
    <w:rsid w:val="0008764F"/>
    <w:rsid w:val="000B3029"/>
    <w:rsid w:val="000D22C1"/>
    <w:rsid w:val="000E13F0"/>
    <w:rsid w:val="0011258B"/>
    <w:rsid w:val="00123323"/>
    <w:rsid w:val="001276D2"/>
    <w:rsid w:val="00157D5B"/>
    <w:rsid w:val="0016714F"/>
    <w:rsid w:val="00181E39"/>
    <w:rsid w:val="00183F34"/>
    <w:rsid w:val="00196CAD"/>
    <w:rsid w:val="001A13A8"/>
    <w:rsid w:val="001A5463"/>
    <w:rsid w:val="001B5716"/>
    <w:rsid w:val="001C53A8"/>
    <w:rsid w:val="001D34CA"/>
    <w:rsid w:val="001D4F01"/>
    <w:rsid w:val="001E2276"/>
    <w:rsid w:val="001E3746"/>
    <w:rsid w:val="001E74A0"/>
    <w:rsid w:val="001F2B2D"/>
    <w:rsid w:val="0020372B"/>
    <w:rsid w:val="00223638"/>
    <w:rsid w:val="00226FB3"/>
    <w:rsid w:val="00227FDF"/>
    <w:rsid w:val="002348D0"/>
    <w:rsid w:val="00282428"/>
    <w:rsid w:val="002945A5"/>
    <w:rsid w:val="002A30CD"/>
    <w:rsid w:val="002A3738"/>
    <w:rsid w:val="002B6F35"/>
    <w:rsid w:val="002C1201"/>
    <w:rsid w:val="002C2627"/>
    <w:rsid w:val="00302FF1"/>
    <w:rsid w:val="00321685"/>
    <w:rsid w:val="00337D63"/>
    <w:rsid w:val="00343C5D"/>
    <w:rsid w:val="003446AE"/>
    <w:rsid w:val="00347AA5"/>
    <w:rsid w:val="00357CF2"/>
    <w:rsid w:val="00361A27"/>
    <w:rsid w:val="00363DAB"/>
    <w:rsid w:val="0037502E"/>
    <w:rsid w:val="003824EA"/>
    <w:rsid w:val="003954EB"/>
    <w:rsid w:val="003A056D"/>
    <w:rsid w:val="003A3D4C"/>
    <w:rsid w:val="003A60BE"/>
    <w:rsid w:val="003B1CBC"/>
    <w:rsid w:val="003C2067"/>
    <w:rsid w:val="003C5426"/>
    <w:rsid w:val="003D7C1C"/>
    <w:rsid w:val="00407A8B"/>
    <w:rsid w:val="00415D83"/>
    <w:rsid w:val="004371AF"/>
    <w:rsid w:val="00464121"/>
    <w:rsid w:val="0047461B"/>
    <w:rsid w:val="00485B57"/>
    <w:rsid w:val="00493BCF"/>
    <w:rsid w:val="004A383E"/>
    <w:rsid w:val="004C5900"/>
    <w:rsid w:val="004C6988"/>
    <w:rsid w:val="004D531D"/>
    <w:rsid w:val="004E07A6"/>
    <w:rsid w:val="004E48F5"/>
    <w:rsid w:val="004E4FAF"/>
    <w:rsid w:val="004F22A0"/>
    <w:rsid w:val="004F29AD"/>
    <w:rsid w:val="0052066D"/>
    <w:rsid w:val="00525067"/>
    <w:rsid w:val="00541DFE"/>
    <w:rsid w:val="00552ECF"/>
    <w:rsid w:val="005613AD"/>
    <w:rsid w:val="00573FA8"/>
    <w:rsid w:val="00583378"/>
    <w:rsid w:val="005847FE"/>
    <w:rsid w:val="00592F17"/>
    <w:rsid w:val="005A08C2"/>
    <w:rsid w:val="005B2497"/>
    <w:rsid w:val="005E7A82"/>
    <w:rsid w:val="005F4FE8"/>
    <w:rsid w:val="005F723F"/>
    <w:rsid w:val="00603AF1"/>
    <w:rsid w:val="00616066"/>
    <w:rsid w:val="00630A7E"/>
    <w:rsid w:val="00630FF4"/>
    <w:rsid w:val="0063322D"/>
    <w:rsid w:val="006457DC"/>
    <w:rsid w:val="006479FF"/>
    <w:rsid w:val="0065353E"/>
    <w:rsid w:val="006751FD"/>
    <w:rsid w:val="006A017D"/>
    <w:rsid w:val="006D672A"/>
    <w:rsid w:val="006E5B83"/>
    <w:rsid w:val="006E7014"/>
    <w:rsid w:val="006F0149"/>
    <w:rsid w:val="00732FE7"/>
    <w:rsid w:val="007416A1"/>
    <w:rsid w:val="00750C1E"/>
    <w:rsid w:val="00757C3A"/>
    <w:rsid w:val="0076102D"/>
    <w:rsid w:val="007712A0"/>
    <w:rsid w:val="00771767"/>
    <w:rsid w:val="007736D3"/>
    <w:rsid w:val="00773FE6"/>
    <w:rsid w:val="00783274"/>
    <w:rsid w:val="00786C20"/>
    <w:rsid w:val="00792F13"/>
    <w:rsid w:val="00796A0F"/>
    <w:rsid w:val="007C163C"/>
    <w:rsid w:val="007F48CD"/>
    <w:rsid w:val="007F7DD1"/>
    <w:rsid w:val="00816859"/>
    <w:rsid w:val="00817D27"/>
    <w:rsid w:val="008269AD"/>
    <w:rsid w:val="008531BA"/>
    <w:rsid w:val="00855A49"/>
    <w:rsid w:val="0086009B"/>
    <w:rsid w:val="008714C9"/>
    <w:rsid w:val="008833B9"/>
    <w:rsid w:val="008869D7"/>
    <w:rsid w:val="00897935"/>
    <w:rsid w:val="008A3E75"/>
    <w:rsid w:val="008A6F2F"/>
    <w:rsid w:val="008A7376"/>
    <w:rsid w:val="008D49BA"/>
    <w:rsid w:val="008E1879"/>
    <w:rsid w:val="008E3A19"/>
    <w:rsid w:val="008E46FB"/>
    <w:rsid w:val="009028D6"/>
    <w:rsid w:val="009113E3"/>
    <w:rsid w:val="00911D07"/>
    <w:rsid w:val="00920B74"/>
    <w:rsid w:val="00936E62"/>
    <w:rsid w:val="00943780"/>
    <w:rsid w:val="009609C4"/>
    <w:rsid w:val="00970DC3"/>
    <w:rsid w:val="00971DB9"/>
    <w:rsid w:val="00991051"/>
    <w:rsid w:val="00995E59"/>
    <w:rsid w:val="009A17EB"/>
    <w:rsid w:val="009A779D"/>
    <w:rsid w:val="009B57D5"/>
    <w:rsid w:val="009C1BFE"/>
    <w:rsid w:val="009C4709"/>
    <w:rsid w:val="009C6A83"/>
    <w:rsid w:val="00A03038"/>
    <w:rsid w:val="00A0406D"/>
    <w:rsid w:val="00A040D0"/>
    <w:rsid w:val="00A04196"/>
    <w:rsid w:val="00A10374"/>
    <w:rsid w:val="00A178D5"/>
    <w:rsid w:val="00A26403"/>
    <w:rsid w:val="00A2722F"/>
    <w:rsid w:val="00A313D4"/>
    <w:rsid w:val="00A47D5E"/>
    <w:rsid w:val="00A53A82"/>
    <w:rsid w:val="00A6245D"/>
    <w:rsid w:val="00A802B4"/>
    <w:rsid w:val="00A812D9"/>
    <w:rsid w:val="00A872B7"/>
    <w:rsid w:val="00AB719B"/>
    <w:rsid w:val="00AC1650"/>
    <w:rsid w:val="00AC53E3"/>
    <w:rsid w:val="00AE03AB"/>
    <w:rsid w:val="00AE4B58"/>
    <w:rsid w:val="00AF0C73"/>
    <w:rsid w:val="00AF6205"/>
    <w:rsid w:val="00AF68AC"/>
    <w:rsid w:val="00B00139"/>
    <w:rsid w:val="00B00CF0"/>
    <w:rsid w:val="00B00F5D"/>
    <w:rsid w:val="00B045F5"/>
    <w:rsid w:val="00B1566D"/>
    <w:rsid w:val="00B50CD9"/>
    <w:rsid w:val="00B51A04"/>
    <w:rsid w:val="00B54673"/>
    <w:rsid w:val="00B549CA"/>
    <w:rsid w:val="00B55FC0"/>
    <w:rsid w:val="00B6274A"/>
    <w:rsid w:val="00B63FAD"/>
    <w:rsid w:val="00BA281E"/>
    <w:rsid w:val="00BA7CF6"/>
    <w:rsid w:val="00BB357B"/>
    <w:rsid w:val="00BB4F19"/>
    <w:rsid w:val="00BC2438"/>
    <w:rsid w:val="00BC58B6"/>
    <w:rsid w:val="00BD13EE"/>
    <w:rsid w:val="00BE640F"/>
    <w:rsid w:val="00C10DC9"/>
    <w:rsid w:val="00C161AB"/>
    <w:rsid w:val="00C228FF"/>
    <w:rsid w:val="00C30E5B"/>
    <w:rsid w:val="00C35FC2"/>
    <w:rsid w:val="00C36705"/>
    <w:rsid w:val="00C479EB"/>
    <w:rsid w:val="00C73FC4"/>
    <w:rsid w:val="00C77869"/>
    <w:rsid w:val="00C8179A"/>
    <w:rsid w:val="00C95528"/>
    <w:rsid w:val="00CA1C1D"/>
    <w:rsid w:val="00CA2080"/>
    <w:rsid w:val="00CB5B64"/>
    <w:rsid w:val="00CC4C24"/>
    <w:rsid w:val="00CC5C1F"/>
    <w:rsid w:val="00CE3058"/>
    <w:rsid w:val="00CF1BD7"/>
    <w:rsid w:val="00CF77CB"/>
    <w:rsid w:val="00D00294"/>
    <w:rsid w:val="00D02A68"/>
    <w:rsid w:val="00D1385F"/>
    <w:rsid w:val="00D162B8"/>
    <w:rsid w:val="00D423B9"/>
    <w:rsid w:val="00D515A6"/>
    <w:rsid w:val="00D56174"/>
    <w:rsid w:val="00D616E0"/>
    <w:rsid w:val="00D75D94"/>
    <w:rsid w:val="00D7750B"/>
    <w:rsid w:val="00D902BB"/>
    <w:rsid w:val="00D91B52"/>
    <w:rsid w:val="00DA09A5"/>
    <w:rsid w:val="00DB4FD6"/>
    <w:rsid w:val="00DB5414"/>
    <w:rsid w:val="00DC13A2"/>
    <w:rsid w:val="00DC3C92"/>
    <w:rsid w:val="00DC6AE6"/>
    <w:rsid w:val="00DD40B8"/>
    <w:rsid w:val="00DF23CC"/>
    <w:rsid w:val="00E03AA4"/>
    <w:rsid w:val="00E0485E"/>
    <w:rsid w:val="00E12192"/>
    <w:rsid w:val="00E4288C"/>
    <w:rsid w:val="00E433E1"/>
    <w:rsid w:val="00E543F6"/>
    <w:rsid w:val="00E72985"/>
    <w:rsid w:val="00E8117B"/>
    <w:rsid w:val="00EA47F9"/>
    <w:rsid w:val="00EB1ED3"/>
    <w:rsid w:val="00EB2D3B"/>
    <w:rsid w:val="00EB2FE7"/>
    <w:rsid w:val="00EE1C8F"/>
    <w:rsid w:val="00EF75D5"/>
    <w:rsid w:val="00F07F7E"/>
    <w:rsid w:val="00F1629F"/>
    <w:rsid w:val="00F24191"/>
    <w:rsid w:val="00F24393"/>
    <w:rsid w:val="00F36C31"/>
    <w:rsid w:val="00F567B6"/>
    <w:rsid w:val="00F6066B"/>
    <w:rsid w:val="00F65231"/>
    <w:rsid w:val="00F67876"/>
    <w:rsid w:val="00F721FC"/>
    <w:rsid w:val="00F80EB1"/>
    <w:rsid w:val="00F96BCB"/>
    <w:rsid w:val="00FA74BA"/>
    <w:rsid w:val="00FB0F55"/>
    <w:rsid w:val="00FD29F4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8DFA"/>
  <w14:defaultImageDpi w14:val="0"/>
  <w15:docId w15:val="{76C61B31-C3D9-4BE5-89D1-3CAABFA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widowControl w:val="0"/>
      <w:tabs>
        <w:tab w:val="center" w:pos="4536"/>
        <w:tab w:val="right" w:pos="9072"/>
      </w:tabs>
    </w:pPr>
    <w:rPr>
      <w:rFonts w:ascii="Arial" w:hAnsi="Arial" w:cs="Arial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widowControl w:val="0"/>
      <w:ind w:firstLine="708"/>
      <w:jc w:val="both"/>
    </w:pPr>
    <w:rPr>
      <w:rFonts w:ascii="Arial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widowControl w:val="0"/>
      <w:ind w:firstLine="708"/>
      <w:jc w:val="both"/>
    </w:pPr>
    <w:rPr>
      <w:rFonts w:ascii="Arial" w:hAnsi="Arial" w:cs="Arial"/>
      <w:b/>
      <w:bCs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708"/>
      <w:jc w:val="both"/>
    </w:pPr>
    <w:rPr>
      <w:sz w:val="28"/>
      <w:szCs w:val="28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rsid w:val="001276D2"/>
    <w:pPr>
      <w:spacing w:before="100" w:beforeAutospacing="1" w:after="100" w:afterAutospacing="1"/>
    </w:pPr>
  </w:style>
  <w:style w:type="table" w:customStyle="1" w:styleId="Mriekatabuky1">
    <w:name w:val="Mriežka tabuľky1"/>
    <w:basedOn w:val="Normlnatabuka"/>
    <w:next w:val="Mriekatabuky"/>
    <w:uiPriority w:val="59"/>
    <w:rsid w:val="001E227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E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C5C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F652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523B-D2F9-4B71-BA8A-8427591B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Odôvodnenie:</vt:lpstr>
    </vt:vector>
  </TitlesOfParts>
  <Company>KÚ Košice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Odôvodnenie:</dc:title>
  <dc:subject/>
  <dc:creator>Rus František</dc:creator>
  <cp:keywords/>
  <dc:description/>
  <cp:lastModifiedBy>Katarína Almásiová</cp:lastModifiedBy>
  <cp:revision>8</cp:revision>
  <cp:lastPrinted>2023-06-01T08:12:00Z</cp:lastPrinted>
  <dcterms:created xsi:type="dcterms:W3CDTF">2023-05-30T08:14:00Z</dcterms:created>
  <dcterms:modified xsi:type="dcterms:W3CDTF">2023-06-01T08:20:00Z</dcterms:modified>
</cp:coreProperties>
</file>