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6.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7.xml" ContentType="application/vnd.openxmlformats-officedocument.themeOverrid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2.xml" ContentType="application/vnd.openxmlformats-officedocument.drawingml.chartshapes+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8.xml" ContentType="application/vnd.openxmlformats-officedocument.themeOverride+xml"/>
  <Override PartName="/word/drawings/drawing3.xml" ContentType="application/vnd.openxmlformats-officedocument.drawingml.chartshap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09720558"/>
        <w:placeholder>
          <w:docPart w:val="4CFA9320A03148E98EF733F7A917AECF"/>
        </w:placeholder>
      </w:sdtPr>
      <w:sdtEndPr/>
      <w:sdtContent>
        <w:p w14:paraId="03C2C803" w14:textId="288C0E72" w:rsidR="00196D31" w:rsidRDefault="002F055E" w:rsidP="00FF5DA3">
          <w:pPr>
            <w:pStyle w:val="Nzov"/>
            <w:spacing w:before="4800"/>
          </w:pPr>
          <w:r>
            <w:t xml:space="preserve">STANOVISKO </w:t>
          </w:r>
          <w:r>
            <w:br/>
            <w:t>najvyššieho kontrolného úradu sr k návrhu štátneho záverečného účtu sr za rok 202</w:t>
          </w:r>
          <w:r w:rsidR="00A703DD">
            <w:t>2</w:t>
          </w:r>
        </w:p>
      </w:sdtContent>
    </w:sdt>
    <w:p w14:paraId="627FE08C" w14:textId="77777777" w:rsidR="00F539EB" w:rsidRPr="00645BE6" w:rsidRDefault="00F539EB" w:rsidP="00FF5DA3">
      <w:pPr>
        <w:pStyle w:val="Podtitul"/>
        <w:spacing w:after="1200"/>
      </w:pPr>
    </w:p>
    <w:p w14:paraId="5ED6434F" w14:textId="062371DE" w:rsidR="00FF5DA3" w:rsidRDefault="00054EA8" w:rsidP="00FF5DA3">
      <w:pPr>
        <w:jc w:val="center"/>
        <w:rPr>
          <w:b/>
          <w:color w:val="314364" w:themeColor="text2"/>
          <w:sz w:val="32"/>
          <w:szCs w:val="32"/>
        </w:rPr>
      </w:pPr>
      <w:r>
        <w:rPr>
          <w:b/>
          <w:color w:val="314364" w:themeColor="text2"/>
          <w:sz w:val="32"/>
          <w:szCs w:val="32"/>
        </w:rPr>
        <w:t>Máj</w:t>
      </w:r>
      <w:r w:rsidR="00FF5DA3" w:rsidRPr="00FF5DA3">
        <w:rPr>
          <w:b/>
          <w:color w:val="314364" w:themeColor="text2"/>
          <w:sz w:val="32"/>
          <w:szCs w:val="32"/>
        </w:rPr>
        <w:t xml:space="preserve"> </w:t>
      </w:r>
      <w:r w:rsidR="00FF5DA3">
        <w:rPr>
          <w:b/>
          <w:color w:val="314364" w:themeColor="text2"/>
          <w:sz w:val="32"/>
          <w:szCs w:val="32"/>
        </w:rPr>
        <w:t>202</w:t>
      </w:r>
      <w:r w:rsidR="00A703DD">
        <w:rPr>
          <w:b/>
          <w:color w:val="314364" w:themeColor="text2"/>
          <w:sz w:val="32"/>
          <w:szCs w:val="32"/>
        </w:rPr>
        <w:t>3</w:t>
      </w:r>
    </w:p>
    <w:p w14:paraId="62382217" w14:textId="586FA35A" w:rsidR="005C61DD" w:rsidRDefault="005C61DD" w:rsidP="00FF5DA3">
      <w:pPr>
        <w:jc w:val="center"/>
        <w:rPr>
          <w:b/>
          <w:color w:val="314364" w:themeColor="text2"/>
          <w:sz w:val="32"/>
          <w:szCs w:val="32"/>
        </w:rPr>
      </w:pPr>
    </w:p>
    <w:p w14:paraId="4DDA93D4" w14:textId="2E4D8CFB" w:rsidR="005C61DD" w:rsidRDefault="005C61DD" w:rsidP="00FF5DA3">
      <w:pPr>
        <w:jc w:val="center"/>
        <w:rPr>
          <w:b/>
          <w:color w:val="314364" w:themeColor="text2"/>
          <w:sz w:val="32"/>
          <w:szCs w:val="32"/>
        </w:rPr>
      </w:pPr>
    </w:p>
    <w:p w14:paraId="70263799" w14:textId="47AF91E0" w:rsidR="005C61DD" w:rsidRDefault="005C61DD" w:rsidP="00FF5DA3">
      <w:pPr>
        <w:jc w:val="center"/>
        <w:rPr>
          <w:b/>
          <w:color w:val="314364" w:themeColor="text2"/>
          <w:sz w:val="32"/>
          <w:szCs w:val="32"/>
        </w:rPr>
      </w:pPr>
    </w:p>
    <w:p w14:paraId="357C2B2C" w14:textId="5905B708" w:rsidR="005C61DD" w:rsidRDefault="005C61DD" w:rsidP="00FF5DA3">
      <w:pPr>
        <w:jc w:val="center"/>
        <w:rPr>
          <w:b/>
          <w:color w:val="314364" w:themeColor="text2"/>
          <w:sz w:val="32"/>
          <w:szCs w:val="32"/>
        </w:rPr>
      </w:pPr>
    </w:p>
    <w:p w14:paraId="4B4B9D19" w14:textId="66A64108" w:rsidR="005C61DD" w:rsidRDefault="005C61DD" w:rsidP="00FF5DA3">
      <w:pPr>
        <w:jc w:val="center"/>
        <w:rPr>
          <w:b/>
          <w:color w:val="314364" w:themeColor="text2"/>
          <w:sz w:val="32"/>
          <w:szCs w:val="32"/>
        </w:rPr>
      </w:pPr>
    </w:p>
    <w:p w14:paraId="1319CFD0" w14:textId="77777777" w:rsidR="005C61DD" w:rsidRDefault="005C61DD" w:rsidP="00FF5DA3">
      <w:pPr>
        <w:jc w:val="center"/>
        <w:rPr>
          <w:b/>
          <w:color w:val="314364" w:themeColor="text2"/>
          <w:sz w:val="32"/>
          <w:szCs w:val="32"/>
        </w:rPr>
        <w:sectPr w:rsidR="005C61DD" w:rsidSect="00A4647C">
          <w:headerReference w:type="default" r:id="rId8"/>
          <w:pgSz w:w="11906" w:h="16838"/>
          <w:pgMar w:top="1985" w:right="1418" w:bottom="1134" w:left="1418" w:header="0" w:footer="283" w:gutter="0"/>
          <w:cols w:space="708"/>
          <w:docGrid w:linePitch="360"/>
        </w:sectPr>
      </w:pPr>
    </w:p>
    <w:sdt>
      <w:sdtPr>
        <w:rPr>
          <w:rFonts w:eastAsiaTheme="minorHAnsi" w:cstheme="minorBidi"/>
          <w:color w:val="auto"/>
          <w:sz w:val="20"/>
          <w:szCs w:val="22"/>
          <w:lang w:eastAsia="en-US"/>
        </w:rPr>
        <w:id w:val="-1546975290"/>
        <w:docPartObj>
          <w:docPartGallery w:val="Table of Contents"/>
          <w:docPartUnique/>
        </w:docPartObj>
      </w:sdtPr>
      <w:sdtEndPr>
        <w:rPr>
          <w:b/>
          <w:bCs/>
        </w:rPr>
      </w:sdtEndPr>
      <w:sdtContent>
        <w:p w14:paraId="5CE10F7B" w14:textId="77777777" w:rsidR="00004033" w:rsidRDefault="00004033" w:rsidP="002C027A">
          <w:pPr>
            <w:pStyle w:val="Hlavikaobsahu"/>
          </w:pPr>
          <w:r>
            <w:t>Obsah</w:t>
          </w:r>
        </w:p>
        <w:p w14:paraId="513B8D06" w14:textId="3489A935" w:rsidR="00642FF1" w:rsidRDefault="00A4647C">
          <w:pPr>
            <w:pStyle w:val="Obsah1"/>
            <w:rPr>
              <w:rFonts w:eastAsiaTheme="minorEastAsia"/>
              <w:b w:val="0"/>
              <w:bCs w:val="0"/>
              <w:caps w:val="0"/>
              <w:color w:val="auto"/>
              <w:sz w:val="22"/>
              <w:szCs w:val="22"/>
              <w:lang w:eastAsia="sk-SK"/>
            </w:rPr>
          </w:pPr>
          <w:r>
            <w:fldChar w:fldCharType="begin"/>
          </w:r>
          <w:r>
            <w:instrText xml:space="preserve"> TOC \o "1-3" \h \z \u </w:instrText>
          </w:r>
          <w:r>
            <w:fldChar w:fldCharType="separate"/>
          </w:r>
          <w:hyperlink w:anchor="_Toc136418383" w:history="1">
            <w:r w:rsidR="00642FF1" w:rsidRPr="00136682">
              <w:rPr>
                <w:rStyle w:val="Hypertextovprepojenie"/>
              </w:rPr>
              <w:t>Zhrnutie</w:t>
            </w:r>
            <w:r w:rsidR="00642FF1">
              <w:rPr>
                <w:webHidden/>
              </w:rPr>
              <w:tab/>
            </w:r>
            <w:r w:rsidR="00642FF1">
              <w:rPr>
                <w:webHidden/>
              </w:rPr>
              <w:fldChar w:fldCharType="begin"/>
            </w:r>
            <w:r w:rsidR="00642FF1">
              <w:rPr>
                <w:webHidden/>
              </w:rPr>
              <w:instrText xml:space="preserve"> PAGEREF _Toc136418383 \h </w:instrText>
            </w:r>
            <w:r w:rsidR="00642FF1">
              <w:rPr>
                <w:webHidden/>
              </w:rPr>
            </w:r>
            <w:r w:rsidR="00642FF1">
              <w:rPr>
                <w:webHidden/>
              </w:rPr>
              <w:fldChar w:fldCharType="separate"/>
            </w:r>
            <w:r w:rsidR="005C3034">
              <w:rPr>
                <w:webHidden/>
              </w:rPr>
              <w:t>4</w:t>
            </w:r>
            <w:r w:rsidR="00642FF1">
              <w:rPr>
                <w:webHidden/>
              </w:rPr>
              <w:fldChar w:fldCharType="end"/>
            </w:r>
          </w:hyperlink>
        </w:p>
        <w:p w14:paraId="749DF08D" w14:textId="7B11B225" w:rsidR="00642FF1" w:rsidRDefault="009A3EC9">
          <w:pPr>
            <w:pStyle w:val="Obsah1"/>
            <w:rPr>
              <w:rFonts w:eastAsiaTheme="minorEastAsia"/>
              <w:b w:val="0"/>
              <w:bCs w:val="0"/>
              <w:caps w:val="0"/>
              <w:color w:val="auto"/>
              <w:sz w:val="22"/>
              <w:szCs w:val="22"/>
              <w:lang w:eastAsia="sk-SK"/>
            </w:rPr>
          </w:pPr>
          <w:hyperlink w:anchor="_Toc136418384" w:history="1">
            <w:r w:rsidR="00642FF1" w:rsidRPr="00136682">
              <w:rPr>
                <w:rStyle w:val="Hypertextovprepojenie"/>
              </w:rPr>
              <w:t>1</w:t>
            </w:r>
            <w:r w:rsidR="00642FF1">
              <w:rPr>
                <w:rFonts w:eastAsiaTheme="minorEastAsia"/>
                <w:b w:val="0"/>
                <w:bCs w:val="0"/>
                <w:caps w:val="0"/>
                <w:color w:val="auto"/>
                <w:sz w:val="22"/>
                <w:szCs w:val="22"/>
                <w:lang w:eastAsia="sk-SK"/>
              </w:rPr>
              <w:tab/>
            </w:r>
            <w:r w:rsidR="00642FF1" w:rsidRPr="00136682">
              <w:rPr>
                <w:rStyle w:val="Hypertextovprepojenie"/>
              </w:rPr>
              <w:t>Ekonomický rámec rozpočtového hospodárenia SR</w:t>
            </w:r>
            <w:r w:rsidR="00642FF1">
              <w:rPr>
                <w:webHidden/>
              </w:rPr>
              <w:tab/>
            </w:r>
            <w:r w:rsidR="00642FF1">
              <w:rPr>
                <w:webHidden/>
              </w:rPr>
              <w:fldChar w:fldCharType="begin"/>
            </w:r>
            <w:r w:rsidR="00642FF1">
              <w:rPr>
                <w:webHidden/>
              </w:rPr>
              <w:instrText xml:space="preserve"> PAGEREF _Toc136418384 \h </w:instrText>
            </w:r>
            <w:r w:rsidR="00642FF1">
              <w:rPr>
                <w:webHidden/>
              </w:rPr>
            </w:r>
            <w:r w:rsidR="00642FF1">
              <w:rPr>
                <w:webHidden/>
              </w:rPr>
              <w:fldChar w:fldCharType="separate"/>
            </w:r>
            <w:r w:rsidR="005C3034">
              <w:rPr>
                <w:webHidden/>
              </w:rPr>
              <w:t>6</w:t>
            </w:r>
            <w:r w:rsidR="00642FF1">
              <w:rPr>
                <w:webHidden/>
              </w:rPr>
              <w:fldChar w:fldCharType="end"/>
            </w:r>
          </w:hyperlink>
        </w:p>
        <w:p w14:paraId="6A22351A" w14:textId="2E350AE6" w:rsidR="00642FF1" w:rsidRDefault="009A3EC9">
          <w:pPr>
            <w:pStyle w:val="Obsah1"/>
            <w:rPr>
              <w:rFonts w:eastAsiaTheme="minorEastAsia"/>
              <w:b w:val="0"/>
              <w:bCs w:val="0"/>
              <w:caps w:val="0"/>
              <w:color w:val="auto"/>
              <w:sz w:val="22"/>
              <w:szCs w:val="22"/>
              <w:lang w:eastAsia="sk-SK"/>
            </w:rPr>
          </w:pPr>
          <w:hyperlink w:anchor="_Toc136418385" w:history="1">
            <w:r w:rsidR="00642FF1" w:rsidRPr="00136682">
              <w:rPr>
                <w:rStyle w:val="Hypertextovprepojenie"/>
              </w:rPr>
              <w:t>2</w:t>
            </w:r>
            <w:r w:rsidR="00642FF1">
              <w:rPr>
                <w:rFonts w:eastAsiaTheme="minorEastAsia"/>
                <w:b w:val="0"/>
                <w:bCs w:val="0"/>
                <w:caps w:val="0"/>
                <w:color w:val="auto"/>
                <w:sz w:val="22"/>
                <w:szCs w:val="22"/>
                <w:lang w:eastAsia="sk-SK"/>
              </w:rPr>
              <w:tab/>
            </w:r>
            <w:r w:rsidR="00642FF1" w:rsidRPr="00136682">
              <w:rPr>
                <w:rStyle w:val="Hypertextovprepojenie"/>
              </w:rPr>
              <w:t>Hospodárenie verejnej správy v metodike ESA 2010</w:t>
            </w:r>
            <w:r w:rsidR="00642FF1">
              <w:rPr>
                <w:webHidden/>
              </w:rPr>
              <w:tab/>
            </w:r>
            <w:r w:rsidR="00642FF1">
              <w:rPr>
                <w:webHidden/>
              </w:rPr>
              <w:fldChar w:fldCharType="begin"/>
            </w:r>
            <w:r w:rsidR="00642FF1">
              <w:rPr>
                <w:webHidden/>
              </w:rPr>
              <w:instrText xml:space="preserve"> PAGEREF _Toc136418385 \h </w:instrText>
            </w:r>
            <w:r w:rsidR="00642FF1">
              <w:rPr>
                <w:webHidden/>
              </w:rPr>
            </w:r>
            <w:r w:rsidR="00642FF1">
              <w:rPr>
                <w:webHidden/>
              </w:rPr>
              <w:fldChar w:fldCharType="separate"/>
            </w:r>
            <w:r w:rsidR="005C3034">
              <w:rPr>
                <w:webHidden/>
              </w:rPr>
              <w:t>8</w:t>
            </w:r>
            <w:r w:rsidR="00642FF1">
              <w:rPr>
                <w:webHidden/>
              </w:rPr>
              <w:fldChar w:fldCharType="end"/>
            </w:r>
          </w:hyperlink>
        </w:p>
        <w:p w14:paraId="3D5C053B" w14:textId="63CCE43A" w:rsidR="00642FF1" w:rsidRDefault="009A3EC9">
          <w:pPr>
            <w:pStyle w:val="Obsah2"/>
            <w:tabs>
              <w:tab w:val="right" w:leader="dot" w:pos="9060"/>
            </w:tabs>
            <w:rPr>
              <w:rFonts w:eastAsiaTheme="minorEastAsia"/>
              <w:smallCaps w:val="0"/>
              <w:noProof/>
              <w:sz w:val="22"/>
              <w:szCs w:val="22"/>
              <w:lang w:eastAsia="sk-SK"/>
            </w:rPr>
          </w:pPr>
          <w:hyperlink w:anchor="_Toc136418386" w:history="1">
            <w:r w:rsidR="00642FF1" w:rsidRPr="00136682">
              <w:rPr>
                <w:rStyle w:val="Hypertextovprepojenie"/>
                <w:noProof/>
              </w:rPr>
              <w:t>2. 1 Saldo verejnej správy</w:t>
            </w:r>
            <w:r w:rsidR="00642FF1">
              <w:rPr>
                <w:noProof/>
                <w:webHidden/>
              </w:rPr>
              <w:tab/>
            </w:r>
            <w:r w:rsidR="00642FF1">
              <w:rPr>
                <w:noProof/>
                <w:webHidden/>
              </w:rPr>
              <w:fldChar w:fldCharType="begin"/>
            </w:r>
            <w:r w:rsidR="00642FF1">
              <w:rPr>
                <w:noProof/>
                <w:webHidden/>
              </w:rPr>
              <w:instrText xml:space="preserve"> PAGEREF _Toc136418386 \h </w:instrText>
            </w:r>
            <w:r w:rsidR="00642FF1">
              <w:rPr>
                <w:noProof/>
                <w:webHidden/>
              </w:rPr>
            </w:r>
            <w:r w:rsidR="00642FF1">
              <w:rPr>
                <w:noProof/>
                <w:webHidden/>
              </w:rPr>
              <w:fldChar w:fldCharType="separate"/>
            </w:r>
            <w:r w:rsidR="005C3034">
              <w:rPr>
                <w:noProof/>
                <w:webHidden/>
              </w:rPr>
              <w:t>8</w:t>
            </w:r>
            <w:r w:rsidR="00642FF1">
              <w:rPr>
                <w:noProof/>
                <w:webHidden/>
              </w:rPr>
              <w:fldChar w:fldCharType="end"/>
            </w:r>
          </w:hyperlink>
        </w:p>
        <w:p w14:paraId="0E4179A9" w14:textId="660FE47F" w:rsidR="00642FF1" w:rsidRDefault="009A3EC9">
          <w:pPr>
            <w:pStyle w:val="Obsah2"/>
            <w:tabs>
              <w:tab w:val="right" w:leader="dot" w:pos="9060"/>
            </w:tabs>
            <w:rPr>
              <w:rFonts w:eastAsiaTheme="minorEastAsia"/>
              <w:smallCaps w:val="0"/>
              <w:noProof/>
              <w:sz w:val="22"/>
              <w:szCs w:val="22"/>
              <w:lang w:eastAsia="sk-SK"/>
            </w:rPr>
          </w:pPr>
          <w:hyperlink w:anchor="_Toc136418387" w:history="1">
            <w:r w:rsidR="00642FF1" w:rsidRPr="00136682">
              <w:rPr>
                <w:rStyle w:val="Hypertextovprepojenie"/>
                <w:noProof/>
              </w:rPr>
              <w:t>2.2 Príjmy verejnej správy</w:t>
            </w:r>
            <w:r w:rsidR="00642FF1">
              <w:rPr>
                <w:noProof/>
                <w:webHidden/>
              </w:rPr>
              <w:tab/>
            </w:r>
            <w:r w:rsidR="00642FF1">
              <w:rPr>
                <w:noProof/>
                <w:webHidden/>
              </w:rPr>
              <w:fldChar w:fldCharType="begin"/>
            </w:r>
            <w:r w:rsidR="00642FF1">
              <w:rPr>
                <w:noProof/>
                <w:webHidden/>
              </w:rPr>
              <w:instrText xml:space="preserve"> PAGEREF _Toc136418387 \h </w:instrText>
            </w:r>
            <w:r w:rsidR="00642FF1">
              <w:rPr>
                <w:noProof/>
                <w:webHidden/>
              </w:rPr>
            </w:r>
            <w:r w:rsidR="00642FF1">
              <w:rPr>
                <w:noProof/>
                <w:webHidden/>
              </w:rPr>
              <w:fldChar w:fldCharType="separate"/>
            </w:r>
            <w:r w:rsidR="005C3034">
              <w:rPr>
                <w:noProof/>
                <w:webHidden/>
              </w:rPr>
              <w:t>8</w:t>
            </w:r>
            <w:r w:rsidR="00642FF1">
              <w:rPr>
                <w:noProof/>
                <w:webHidden/>
              </w:rPr>
              <w:fldChar w:fldCharType="end"/>
            </w:r>
          </w:hyperlink>
        </w:p>
        <w:p w14:paraId="00E4F7FA" w14:textId="2EA9DF13" w:rsidR="00642FF1" w:rsidRDefault="009A3EC9">
          <w:pPr>
            <w:pStyle w:val="Obsah2"/>
            <w:tabs>
              <w:tab w:val="right" w:leader="dot" w:pos="9060"/>
            </w:tabs>
            <w:rPr>
              <w:rFonts w:eastAsiaTheme="minorEastAsia"/>
              <w:smallCaps w:val="0"/>
              <w:noProof/>
              <w:sz w:val="22"/>
              <w:szCs w:val="22"/>
              <w:lang w:eastAsia="sk-SK"/>
            </w:rPr>
          </w:pPr>
          <w:hyperlink w:anchor="_Toc136418388" w:history="1">
            <w:r w:rsidR="00642FF1" w:rsidRPr="00136682">
              <w:rPr>
                <w:rStyle w:val="Hypertextovprepojenie"/>
                <w:noProof/>
                <w:shd w:val="clear" w:color="auto" w:fill="FFFFFF"/>
              </w:rPr>
              <w:t>2.3 Výdavky verejnej správy</w:t>
            </w:r>
            <w:r w:rsidR="00642FF1">
              <w:rPr>
                <w:noProof/>
                <w:webHidden/>
              </w:rPr>
              <w:tab/>
            </w:r>
            <w:r w:rsidR="00642FF1">
              <w:rPr>
                <w:noProof/>
                <w:webHidden/>
              </w:rPr>
              <w:fldChar w:fldCharType="begin"/>
            </w:r>
            <w:r w:rsidR="00642FF1">
              <w:rPr>
                <w:noProof/>
                <w:webHidden/>
              </w:rPr>
              <w:instrText xml:space="preserve"> PAGEREF _Toc136418388 \h </w:instrText>
            </w:r>
            <w:r w:rsidR="00642FF1">
              <w:rPr>
                <w:noProof/>
                <w:webHidden/>
              </w:rPr>
            </w:r>
            <w:r w:rsidR="00642FF1">
              <w:rPr>
                <w:noProof/>
                <w:webHidden/>
              </w:rPr>
              <w:fldChar w:fldCharType="separate"/>
            </w:r>
            <w:r w:rsidR="005C3034">
              <w:rPr>
                <w:noProof/>
                <w:webHidden/>
              </w:rPr>
              <w:t>10</w:t>
            </w:r>
            <w:r w:rsidR="00642FF1">
              <w:rPr>
                <w:noProof/>
                <w:webHidden/>
              </w:rPr>
              <w:fldChar w:fldCharType="end"/>
            </w:r>
          </w:hyperlink>
        </w:p>
        <w:p w14:paraId="6B09F268" w14:textId="30E1DBFE" w:rsidR="00642FF1" w:rsidRDefault="009A3EC9">
          <w:pPr>
            <w:pStyle w:val="Obsah2"/>
            <w:tabs>
              <w:tab w:val="right" w:leader="dot" w:pos="9060"/>
            </w:tabs>
            <w:rPr>
              <w:rFonts w:eastAsiaTheme="minorEastAsia"/>
              <w:smallCaps w:val="0"/>
              <w:noProof/>
              <w:sz w:val="22"/>
              <w:szCs w:val="22"/>
              <w:lang w:eastAsia="sk-SK"/>
            </w:rPr>
          </w:pPr>
          <w:hyperlink w:anchor="_Toc136418389" w:history="1">
            <w:r w:rsidR="00642FF1" w:rsidRPr="00136682">
              <w:rPr>
                <w:rStyle w:val="Hypertextovprepojenie"/>
                <w:noProof/>
              </w:rPr>
              <w:t>2.4 Dlh verejnej správy</w:t>
            </w:r>
            <w:r w:rsidR="00642FF1">
              <w:rPr>
                <w:noProof/>
                <w:webHidden/>
              </w:rPr>
              <w:tab/>
            </w:r>
            <w:r w:rsidR="00642FF1">
              <w:rPr>
                <w:noProof/>
                <w:webHidden/>
              </w:rPr>
              <w:fldChar w:fldCharType="begin"/>
            </w:r>
            <w:r w:rsidR="00642FF1">
              <w:rPr>
                <w:noProof/>
                <w:webHidden/>
              </w:rPr>
              <w:instrText xml:space="preserve"> PAGEREF _Toc136418389 \h </w:instrText>
            </w:r>
            <w:r w:rsidR="00642FF1">
              <w:rPr>
                <w:noProof/>
                <w:webHidden/>
              </w:rPr>
            </w:r>
            <w:r w:rsidR="00642FF1">
              <w:rPr>
                <w:noProof/>
                <w:webHidden/>
              </w:rPr>
              <w:fldChar w:fldCharType="separate"/>
            </w:r>
            <w:r w:rsidR="005C3034">
              <w:rPr>
                <w:noProof/>
                <w:webHidden/>
              </w:rPr>
              <w:t>11</w:t>
            </w:r>
            <w:r w:rsidR="00642FF1">
              <w:rPr>
                <w:noProof/>
                <w:webHidden/>
              </w:rPr>
              <w:fldChar w:fldCharType="end"/>
            </w:r>
          </w:hyperlink>
        </w:p>
        <w:p w14:paraId="77A56FA6" w14:textId="0D92BEC4" w:rsidR="00642FF1" w:rsidRDefault="009A3EC9">
          <w:pPr>
            <w:pStyle w:val="Obsah1"/>
            <w:rPr>
              <w:rFonts w:eastAsiaTheme="minorEastAsia"/>
              <w:b w:val="0"/>
              <w:bCs w:val="0"/>
              <w:caps w:val="0"/>
              <w:color w:val="auto"/>
              <w:sz w:val="22"/>
              <w:szCs w:val="22"/>
              <w:lang w:eastAsia="sk-SK"/>
            </w:rPr>
          </w:pPr>
          <w:hyperlink w:anchor="_Toc136418390" w:history="1">
            <w:r w:rsidR="00642FF1" w:rsidRPr="00136682">
              <w:rPr>
                <w:rStyle w:val="Hypertextovprepojenie"/>
              </w:rPr>
              <w:t>3</w:t>
            </w:r>
            <w:r w:rsidR="00642FF1">
              <w:rPr>
                <w:rFonts w:eastAsiaTheme="minorEastAsia"/>
                <w:b w:val="0"/>
                <w:bCs w:val="0"/>
                <w:caps w:val="0"/>
                <w:color w:val="auto"/>
                <w:sz w:val="22"/>
                <w:szCs w:val="22"/>
                <w:lang w:eastAsia="sk-SK"/>
              </w:rPr>
              <w:tab/>
            </w:r>
            <w:r w:rsidR="00642FF1" w:rsidRPr="00136682">
              <w:rPr>
                <w:rStyle w:val="Hypertextovprepojenie"/>
              </w:rPr>
              <w:t>Hospodárenie štátneho rozpočtu na hotovostnej báze</w:t>
            </w:r>
            <w:r w:rsidR="00642FF1">
              <w:rPr>
                <w:webHidden/>
              </w:rPr>
              <w:tab/>
            </w:r>
            <w:r w:rsidR="00642FF1">
              <w:rPr>
                <w:webHidden/>
              </w:rPr>
              <w:fldChar w:fldCharType="begin"/>
            </w:r>
            <w:r w:rsidR="00642FF1">
              <w:rPr>
                <w:webHidden/>
              </w:rPr>
              <w:instrText xml:space="preserve"> PAGEREF _Toc136418390 \h </w:instrText>
            </w:r>
            <w:r w:rsidR="00642FF1">
              <w:rPr>
                <w:webHidden/>
              </w:rPr>
            </w:r>
            <w:r w:rsidR="00642FF1">
              <w:rPr>
                <w:webHidden/>
              </w:rPr>
              <w:fldChar w:fldCharType="separate"/>
            </w:r>
            <w:r w:rsidR="005C3034">
              <w:rPr>
                <w:webHidden/>
              </w:rPr>
              <w:t>13</w:t>
            </w:r>
            <w:r w:rsidR="00642FF1">
              <w:rPr>
                <w:webHidden/>
              </w:rPr>
              <w:fldChar w:fldCharType="end"/>
            </w:r>
          </w:hyperlink>
        </w:p>
        <w:p w14:paraId="20B92007" w14:textId="79BDCFB0" w:rsidR="00642FF1" w:rsidRDefault="009A3EC9">
          <w:pPr>
            <w:pStyle w:val="Obsah2"/>
            <w:tabs>
              <w:tab w:val="right" w:leader="dot" w:pos="9060"/>
            </w:tabs>
            <w:rPr>
              <w:rFonts w:eastAsiaTheme="minorEastAsia"/>
              <w:smallCaps w:val="0"/>
              <w:noProof/>
              <w:sz w:val="22"/>
              <w:szCs w:val="22"/>
              <w:lang w:eastAsia="sk-SK"/>
            </w:rPr>
          </w:pPr>
          <w:hyperlink w:anchor="_Toc136418391" w:history="1">
            <w:r w:rsidR="00642FF1" w:rsidRPr="00136682">
              <w:rPr>
                <w:rStyle w:val="Hypertextovprepojenie"/>
                <w:noProof/>
              </w:rPr>
              <w:t>3.1 Základné rozpočtové ukazovatele</w:t>
            </w:r>
            <w:r w:rsidR="00642FF1">
              <w:rPr>
                <w:noProof/>
                <w:webHidden/>
              </w:rPr>
              <w:tab/>
            </w:r>
            <w:r w:rsidR="00642FF1">
              <w:rPr>
                <w:noProof/>
                <w:webHidden/>
              </w:rPr>
              <w:fldChar w:fldCharType="begin"/>
            </w:r>
            <w:r w:rsidR="00642FF1">
              <w:rPr>
                <w:noProof/>
                <w:webHidden/>
              </w:rPr>
              <w:instrText xml:space="preserve"> PAGEREF _Toc136418391 \h </w:instrText>
            </w:r>
            <w:r w:rsidR="00642FF1">
              <w:rPr>
                <w:noProof/>
                <w:webHidden/>
              </w:rPr>
            </w:r>
            <w:r w:rsidR="00642FF1">
              <w:rPr>
                <w:noProof/>
                <w:webHidden/>
              </w:rPr>
              <w:fldChar w:fldCharType="separate"/>
            </w:r>
            <w:r w:rsidR="005C3034">
              <w:rPr>
                <w:noProof/>
                <w:webHidden/>
              </w:rPr>
              <w:t>13</w:t>
            </w:r>
            <w:r w:rsidR="00642FF1">
              <w:rPr>
                <w:noProof/>
                <w:webHidden/>
              </w:rPr>
              <w:fldChar w:fldCharType="end"/>
            </w:r>
          </w:hyperlink>
        </w:p>
        <w:p w14:paraId="790E7598" w14:textId="79A89BC1" w:rsidR="00642FF1" w:rsidRDefault="009A3EC9">
          <w:pPr>
            <w:pStyle w:val="Obsah2"/>
            <w:tabs>
              <w:tab w:val="right" w:leader="dot" w:pos="9060"/>
            </w:tabs>
            <w:rPr>
              <w:rFonts w:eastAsiaTheme="minorEastAsia"/>
              <w:smallCaps w:val="0"/>
              <w:noProof/>
              <w:sz w:val="22"/>
              <w:szCs w:val="22"/>
              <w:lang w:eastAsia="sk-SK"/>
            </w:rPr>
          </w:pPr>
          <w:hyperlink w:anchor="_Toc136418392" w:history="1">
            <w:r w:rsidR="00642FF1" w:rsidRPr="00136682">
              <w:rPr>
                <w:rStyle w:val="Hypertextovprepojenie"/>
                <w:noProof/>
              </w:rPr>
              <w:t>3.2 Príjmy štátneho rozpočtu</w:t>
            </w:r>
            <w:r w:rsidR="00642FF1">
              <w:rPr>
                <w:noProof/>
                <w:webHidden/>
              </w:rPr>
              <w:tab/>
            </w:r>
            <w:r w:rsidR="00642FF1">
              <w:rPr>
                <w:noProof/>
                <w:webHidden/>
              </w:rPr>
              <w:fldChar w:fldCharType="begin"/>
            </w:r>
            <w:r w:rsidR="00642FF1">
              <w:rPr>
                <w:noProof/>
                <w:webHidden/>
              </w:rPr>
              <w:instrText xml:space="preserve"> PAGEREF _Toc136418392 \h </w:instrText>
            </w:r>
            <w:r w:rsidR="00642FF1">
              <w:rPr>
                <w:noProof/>
                <w:webHidden/>
              </w:rPr>
            </w:r>
            <w:r w:rsidR="00642FF1">
              <w:rPr>
                <w:noProof/>
                <w:webHidden/>
              </w:rPr>
              <w:fldChar w:fldCharType="separate"/>
            </w:r>
            <w:r w:rsidR="005C3034">
              <w:rPr>
                <w:noProof/>
                <w:webHidden/>
              </w:rPr>
              <w:t>14</w:t>
            </w:r>
            <w:r w:rsidR="00642FF1">
              <w:rPr>
                <w:noProof/>
                <w:webHidden/>
              </w:rPr>
              <w:fldChar w:fldCharType="end"/>
            </w:r>
          </w:hyperlink>
        </w:p>
        <w:p w14:paraId="3AC24C3E" w14:textId="5404BF84" w:rsidR="00642FF1" w:rsidRDefault="009A3EC9">
          <w:pPr>
            <w:pStyle w:val="Obsah2"/>
            <w:tabs>
              <w:tab w:val="right" w:leader="dot" w:pos="9060"/>
            </w:tabs>
            <w:rPr>
              <w:rFonts w:eastAsiaTheme="minorEastAsia"/>
              <w:smallCaps w:val="0"/>
              <w:noProof/>
              <w:sz w:val="22"/>
              <w:szCs w:val="22"/>
              <w:lang w:eastAsia="sk-SK"/>
            </w:rPr>
          </w:pPr>
          <w:hyperlink w:anchor="_Toc136418393" w:history="1">
            <w:r w:rsidR="00642FF1" w:rsidRPr="00136682">
              <w:rPr>
                <w:rStyle w:val="Hypertextovprepojenie"/>
                <w:noProof/>
              </w:rPr>
              <w:t>3.3 Výdavky štátneho rozpočtu</w:t>
            </w:r>
            <w:r w:rsidR="00642FF1">
              <w:rPr>
                <w:noProof/>
                <w:webHidden/>
              </w:rPr>
              <w:tab/>
            </w:r>
            <w:r w:rsidR="00642FF1">
              <w:rPr>
                <w:noProof/>
                <w:webHidden/>
              </w:rPr>
              <w:fldChar w:fldCharType="begin"/>
            </w:r>
            <w:r w:rsidR="00642FF1">
              <w:rPr>
                <w:noProof/>
                <w:webHidden/>
              </w:rPr>
              <w:instrText xml:space="preserve"> PAGEREF _Toc136418393 \h </w:instrText>
            </w:r>
            <w:r w:rsidR="00642FF1">
              <w:rPr>
                <w:noProof/>
                <w:webHidden/>
              </w:rPr>
            </w:r>
            <w:r w:rsidR="00642FF1">
              <w:rPr>
                <w:noProof/>
                <w:webHidden/>
              </w:rPr>
              <w:fldChar w:fldCharType="separate"/>
            </w:r>
            <w:r w:rsidR="005C3034">
              <w:rPr>
                <w:noProof/>
                <w:webHidden/>
              </w:rPr>
              <w:t>16</w:t>
            </w:r>
            <w:r w:rsidR="00642FF1">
              <w:rPr>
                <w:noProof/>
                <w:webHidden/>
              </w:rPr>
              <w:fldChar w:fldCharType="end"/>
            </w:r>
          </w:hyperlink>
        </w:p>
        <w:p w14:paraId="4AF3C276" w14:textId="48580987" w:rsidR="00642FF1" w:rsidRDefault="009A3EC9">
          <w:pPr>
            <w:pStyle w:val="Obsah3"/>
            <w:tabs>
              <w:tab w:val="right" w:leader="dot" w:pos="9060"/>
            </w:tabs>
            <w:rPr>
              <w:rFonts w:eastAsiaTheme="minorEastAsia"/>
              <w:i w:val="0"/>
              <w:iCs w:val="0"/>
              <w:noProof/>
              <w:sz w:val="22"/>
              <w:szCs w:val="22"/>
              <w:lang w:eastAsia="sk-SK"/>
            </w:rPr>
          </w:pPr>
          <w:hyperlink w:anchor="_Toc136418394" w:history="1">
            <w:r w:rsidR="00642FF1" w:rsidRPr="00136682">
              <w:rPr>
                <w:rStyle w:val="Hypertextovprepojenie"/>
                <w:noProof/>
              </w:rPr>
              <w:t>3.3.1 Rozpočtové opatrenia</w:t>
            </w:r>
            <w:r w:rsidR="00642FF1">
              <w:rPr>
                <w:noProof/>
                <w:webHidden/>
              </w:rPr>
              <w:tab/>
            </w:r>
            <w:r w:rsidR="00642FF1">
              <w:rPr>
                <w:noProof/>
                <w:webHidden/>
              </w:rPr>
              <w:fldChar w:fldCharType="begin"/>
            </w:r>
            <w:r w:rsidR="00642FF1">
              <w:rPr>
                <w:noProof/>
                <w:webHidden/>
              </w:rPr>
              <w:instrText xml:space="preserve"> PAGEREF _Toc136418394 \h </w:instrText>
            </w:r>
            <w:r w:rsidR="00642FF1">
              <w:rPr>
                <w:noProof/>
                <w:webHidden/>
              </w:rPr>
            </w:r>
            <w:r w:rsidR="00642FF1">
              <w:rPr>
                <w:noProof/>
                <w:webHidden/>
              </w:rPr>
              <w:fldChar w:fldCharType="separate"/>
            </w:r>
            <w:r w:rsidR="005C3034">
              <w:rPr>
                <w:noProof/>
                <w:webHidden/>
              </w:rPr>
              <w:t>17</w:t>
            </w:r>
            <w:r w:rsidR="00642FF1">
              <w:rPr>
                <w:noProof/>
                <w:webHidden/>
              </w:rPr>
              <w:fldChar w:fldCharType="end"/>
            </w:r>
          </w:hyperlink>
        </w:p>
        <w:p w14:paraId="0477FDD7" w14:textId="647007EF" w:rsidR="00642FF1" w:rsidRDefault="009A3EC9">
          <w:pPr>
            <w:pStyle w:val="Obsah3"/>
            <w:tabs>
              <w:tab w:val="right" w:leader="dot" w:pos="9060"/>
            </w:tabs>
            <w:rPr>
              <w:rFonts w:eastAsiaTheme="minorEastAsia"/>
              <w:i w:val="0"/>
              <w:iCs w:val="0"/>
              <w:noProof/>
              <w:sz w:val="22"/>
              <w:szCs w:val="22"/>
              <w:lang w:eastAsia="sk-SK"/>
            </w:rPr>
          </w:pPr>
          <w:hyperlink w:anchor="_Toc136418395" w:history="1">
            <w:r w:rsidR="00642FF1" w:rsidRPr="00136682">
              <w:rPr>
                <w:rStyle w:val="Hypertextovprepojenie"/>
                <w:noProof/>
              </w:rPr>
              <w:t>3.3.2 Investície</w:t>
            </w:r>
            <w:r w:rsidR="00642FF1">
              <w:rPr>
                <w:noProof/>
                <w:webHidden/>
              </w:rPr>
              <w:tab/>
            </w:r>
            <w:r w:rsidR="00642FF1">
              <w:rPr>
                <w:noProof/>
                <w:webHidden/>
              </w:rPr>
              <w:fldChar w:fldCharType="begin"/>
            </w:r>
            <w:r w:rsidR="00642FF1">
              <w:rPr>
                <w:noProof/>
                <w:webHidden/>
              </w:rPr>
              <w:instrText xml:space="preserve"> PAGEREF _Toc136418395 \h </w:instrText>
            </w:r>
            <w:r w:rsidR="00642FF1">
              <w:rPr>
                <w:noProof/>
                <w:webHidden/>
              </w:rPr>
            </w:r>
            <w:r w:rsidR="00642FF1">
              <w:rPr>
                <w:noProof/>
                <w:webHidden/>
              </w:rPr>
              <w:fldChar w:fldCharType="separate"/>
            </w:r>
            <w:r w:rsidR="005C3034">
              <w:rPr>
                <w:noProof/>
                <w:webHidden/>
              </w:rPr>
              <w:t>18</w:t>
            </w:r>
            <w:r w:rsidR="00642FF1">
              <w:rPr>
                <w:noProof/>
                <w:webHidden/>
              </w:rPr>
              <w:fldChar w:fldCharType="end"/>
            </w:r>
          </w:hyperlink>
        </w:p>
        <w:p w14:paraId="0A51D3D6" w14:textId="7F644A19" w:rsidR="00642FF1" w:rsidRDefault="009A3EC9">
          <w:pPr>
            <w:pStyle w:val="Obsah3"/>
            <w:tabs>
              <w:tab w:val="right" w:leader="dot" w:pos="9060"/>
            </w:tabs>
            <w:rPr>
              <w:rFonts w:eastAsiaTheme="minorEastAsia"/>
              <w:i w:val="0"/>
              <w:iCs w:val="0"/>
              <w:noProof/>
              <w:sz w:val="22"/>
              <w:szCs w:val="22"/>
              <w:lang w:eastAsia="sk-SK"/>
            </w:rPr>
          </w:pPr>
          <w:hyperlink w:anchor="_Toc136418396" w:history="1">
            <w:r w:rsidR="00642FF1" w:rsidRPr="00136682">
              <w:rPr>
                <w:rStyle w:val="Hypertextovprepojenie"/>
                <w:noProof/>
              </w:rPr>
              <w:t>3.3.3 Programové rozpočtovanie</w:t>
            </w:r>
            <w:r w:rsidR="00642FF1">
              <w:rPr>
                <w:noProof/>
                <w:webHidden/>
              </w:rPr>
              <w:tab/>
            </w:r>
            <w:r w:rsidR="00642FF1">
              <w:rPr>
                <w:noProof/>
                <w:webHidden/>
              </w:rPr>
              <w:fldChar w:fldCharType="begin"/>
            </w:r>
            <w:r w:rsidR="00642FF1">
              <w:rPr>
                <w:noProof/>
                <w:webHidden/>
              </w:rPr>
              <w:instrText xml:space="preserve"> PAGEREF _Toc136418396 \h </w:instrText>
            </w:r>
            <w:r w:rsidR="00642FF1">
              <w:rPr>
                <w:noProof/>
                <w:webHidden/>
              </w:rPr>
            </w:r>
            <w:r w:rsidR="00642FF1">
              <w:rPr>
                <w:noProof/>
                <w:webHidden/>
              </w:rPr>
              <w:fldChar w:fldCharType="separate"/>
            </w:r>
            <w:r w:rsidR="005C3034">
              <w:rPr>
                <w:noProof/>
                <w:webHidden/>
              </w:rPr>
              <w:t>20</w:t>
            </w:r>
            <w:r w:rsidR="00642FF1">
              <w:rPr>
                <w:noProof/>
                <w:webHidden/>
              </w:rPr>
              <w:fldChar w:fldCharType="end"/>
            </w:r>
          </w:hyperlink>
        </w:p>
        <w:p w14:paraId="00386B19" w14:textId="3337BBA5" w:rsidR="00642FF1" w:rsidRDefault="009A3EC9">
          <w:pPr>
            <w:pStyle w:val="Obsah3"/>
            <w:tabs>
              <w:tab w:val="right" w:leader="dot" w:pos="9060"/>
            </w:tabs>
            <w:rPr>
              <w:rFonts w:eastAsiaTheme="minorEastAsia"/>
              <w:i w:val="0"/>
              <w:iCs w:val="0"/>
              <w:noProof/>
              <w:sz w:val="22"/>
              <w:szCs w:val="22"/>
              <w:lang w:eastAsia="sk-SK"/>
            </w:rPr>
          </w:pPr>
          <w:hyperlink w:anchor="_Toc136418397" w:history="1">
            <w:r w:rsidR="00642FF1" w:rsidRPr="00136682">
              <w:rPr>
                <w:rStyle w:val="Hypertextovprepojenie"/>
                <w:noProof/>
              </w:rPr>
              <w:t>3.4 Finančné aktíva</w:t>
            </w:r>
            <w:r w:rsidR="00642FF1">
              <w:rPr>
                <w:noProof/>
                <w:webHidden/>
              </w:rPr>
              <w:tab/>
            </w:r>
            <w:r w:rsidR="00642FF1">
              <w:rPr>
                <w:noProof/>
                <w:webHidden/>
              </w:rPr>
              <w:fldChar w:fldCharType="begin"/>
            </w:r>
            <w:r w:rsidR="00642FF1">
              <w:rPr>
                <w:noProof/>
                <w:webHidden/>
              </w:rPr>
              <w:instrText xml:space="preserve"> PAGEREF _Toc136418397 \h </w:instrText>
            </w:r>
            <w:r w:rsidR="00642FF1">
              <w:rPr>
                <w:noProof/>
                <w:webHidden/>
              </w:rPr>
            </w:r>
            <w:r w:rsidR="00642FF1">
              <w:rPr>
                <w:noProof/>
                <w:webHidden/>
              </w:rPr>
              <w:fldChar w:fldCharType="separate"/>
            </w:r>
            <w:r w:rsidR="005C3034">
              <w:rPr>
                <w:noProof/>
                <w:webHidden/>
              </w:rPr>
              <w:t>21</w:t>
            </w:r>
            <w:r w:rsidR="00642FF1">
              <w:rPr>
                <w:noProof/>
                <w:webHidden/>
              </w:rPr>
              <w:fldChar w:fldCharType="end"/>
            </w:r>
          </w:hyperlink>
        </w:p>
        <w:p w14:paraId="0F7153F5" w14:textId="6D629997" w:rsidR="00642FF1" w:rsidRDefault="009A3EC9">
          <w:pPr>
            <w:pStyle w:val="Obsah1"/>
            <w:rPr>
              <w:rFonts w:eastAsiaTheme="minorEastAsia"/>
              <w:b w:val="0"/>
              <w:bCs w:val="0"/>
              <w:caps w:val="0"/>
              <w:color w:val="auto"/>
              <w:sz w:val="22"/>
              <w:szCs w:val="22"/>
              <w:lang w:eastAsia="sk-SK"/>
            </w:rPr>
          </w:pPr>
          <w:hyperlink w:anchor="_Toc136418398" w:history="1">
            <w:r w:rsidR="00642FF1" w:rsidRPr="00136682">
              <w:rPr>
                <w:rStyle w:val="Hypertextovprepojenie"/>
              </w:rPr>
              <w:t>4</w:t>
            </w:r>
            <w:r w:rsidR="00642FF1">
              <w:rPr>
                <w:rFonts w:eastAsiaTheme="minorEastAsia"/>
                <w:b w:val="0"/>
                <w:bCs w:val="0"/>
                <w:caps w:val="0"/>
                <w:color w:val="auto"/>
                <w:sz w:val="22"/>
                <w:szCs w:val="22"/>
                <w:lang w:eastAsia="sk-SK"/>
              </w:rPr>
              <w:tab/>
            </w:r>
            <w:r w:rsidR="00642FF1" w:rsidRPr="00136682">
              <w:rPr>
                <w:rStyle w:val="Hypertextovprepojenie"/>
              </w:rPr>
              <w:t>Stanovisko k vybraným verejným politikám ŠR</w:t>
            </w:r>
            <w:r w:rsidR="00642FF1">
              <w:rPr>
                <w:webHidden/>
              </w:rPr>
              <w:tab/>
            </w:r>
            <w:r w:rsidR="00642FF1">
              <w:rPr>
                <w:webHidden/>
              </w:rPr>
              <w:fldChar w:fldCharType="begin"/>
            </w:r>
            <w:r w:rsidR="00642FF1">
              <w:rPr>
                <w:webHidden/>
              </w:rPr>
              <w:instrText xml:space="preserve"> PAGEREF _Toc136418398 \h </w:instrText>
            </w:r>
            <w:r w:rsidR="00642FF1">
              <w:rPr>
                <w:webHidden/>
              </w:rPr>
            </w:r>
            <w:r w:rsidR="00642FF1">
              <w:rPr>
                <w:webHidden/>
              </w:rPr>
              <w:fldChar w:fldCharType="separate"/>
            </w:r>
            <w:r w:rsidR="005C3034">
              <w:rPr>
                <w:webHidden/>
              </w:rPr>
              <w:t>25</w:t>
            </w:r>
            <w:r w:rsidR="00642FF1">
              <w:rPr>
                <w:webHidden/>
              </w:rPr>
              <w:fldChar w:fldCharType="end"/>
            </w:r>
          </w:hyperlink>
        </w:p>
        <w:p w14:paraId="09AEA87D" w14:textId="15B2EA49" w:rsidR="00642FF1" w:rsidRDefault="009A3EC9">
          <w:pPr>
            <w:pStyle w:val="Obsah2"/>
            <w:tabs>
              <w:tab w:val="right" w:leader="dot" w:pos="9060"/>
            </w:tabs>
            <w:rPr>
              <w:rFonts w:eastAsiaTheme="minorEastAsia"/>
              <w:smallCaps w:val="0"/>
              <w:noProof/>
              <w:sz w:val="22"/>
              <w:szCs w:val="22"/>
              <w:lang w:eastAsia="sk-SK"/>
            </w:rPr>
          </w:pPr>
          <w:hyperlink w:anchor="_Toc136418399" w:history="1">
            <w:r w:rsidR="00642FF1" w:rsidRPr="00136682">
              <w:rPr>
                <w:rStyle w:val="Hypertextovprepojenie"/>
                <w:noProof/>
              </w:rPr>
              <w:t>4.1 Zdravotníctvo</w:t>
            </w:r>
            <w:r w:rsidR="00642FF1">
              <w:rPr>
                <w:noProof/>
                <w:webHidden/>
              </w:rPr>
              <w:tab/>
            </w:r>
            <w:r w:rsidR="00642FF1">
              <w:rPr>
                <w:noProof/>
                <w:webHidden/>
              </w:rPr>
              <w:fldChar w:fldCharType="begin"/>
            </w:r>
            <w:r w:rsidR="00642FF1">
              <w:rPr>
                <w:noProof/>
                <w:webHidden/>
              </w:rPr>
              <w:instrText xml:space="preserve"> PAGEREF _Toc136418399 \h </w:instrText>
            </w:r>
            <w:r w:rsidR="00642FF1">
              <w:rPr>
                <w:noProof/>
                <w:webHidden/>
              </w:rPr>
            </w:r>
            <w:r w:rsidR="00642FF1">
              <w:rPr>
                <w:noProof/>
                <w:webHidden/>
              </w:rPr>
              <w:fldChar w:fldCharType="separate"/>
            </w:r>
            <w:r w:rsidR="005C3034">
              <w:rPr>
                <w:noProof/>
                <w:webHidden/>
              </w:rPr>
              <w:t>25</w:t>
            </w:r>
            <w:r w:rsidR="00642FF1">
              <w:rPr>
                <w:noProof/>
                <w:webHidden/>
              </w:rPr>
              <w:fldChar w:fldCharType="end"/>
            </w:r>
          </w:hyperlink>
        </w:p>
        <w:p w14:paraId="0C827406" w14:textId="2BBB335C" w:rsidR="00642FF1" w:rsidRDefault="009A3EC9">
          <w:pPr>
            <w:pStyle w:val="Obsah3"/>
            <w:tabs>
              <w:tab w:val="right" w:leader="dot" w:pos="9060"/>
            </w:tabs>
            <w:rPr>
              <w:rFonts w:eastAsiaTheme="minorEastAsia"/>
              <w:i w:val="0"/>
              <w:iCs w:val="0"/>
              <w:noProof/>
              <w:sz w:val="22"/>
              <w:szCs w:val="22"/>
              <w:lang w:eastAsia="sk-SK"/>
            </w:rPr>
          </w:pPr>
          <w:hyperlink w:anchor="_Toc136418400" w:history="1">
            <w:r w:rsidR="00642FF1" w:rsidRPr="00136682">
              <w:rPr>
                <w:rStyle w:val="Hypertextovprepojenie"/>
                <w:noProof/>
              </w:rPr>
              <w:t>4.1.1 Výsledky vynakladania zdrojov na zdravotníctvo</w:t>
            </w:r>
            <w:r w:rsidR="00642FF1">
              <w:rPr>
                <w:noProof/>
                <w:webHidden/>
              </w:rPr>
              <w:tab/>
            </w:r>
            <w:r w:rsidR="00642FF1">
              <w:rPr>
                <w:noProof/>
                <w:webHidden/>
              </w:rPr>
              <w:fldChar w:fldCharType="begin"/>
            </w:r>
            <w:r w:rsidR="00642FF1">
              <w:rPr>
                <w:noProof/>
                <w:webHidden/>
              </w:rPr>
              <w:instrText xml:space="preserve"> PAGEREF _Toc136418400 \h </w:instrText>
            </w:r>
            <w:r w:rsidR="00642FF1">
              <w:rPr>
                <w:noProof/>
                <w:webHidden/>
              </w:rPr>
            </w:r>
            <w:r w:rsidR="00642FF1">
              <w:rPr>
                <w:noProof/>
                <w:webHidden/>
              </w:rPr>
              <w:fldChar w:fldCharType="separate"/>
            </w:r>
            <w:r w:rsidR="005C3034">
              <w:rPr>
                <w:noProof/>
                <w:webHidden/>
              </w:rPr>
              <w:t>26</w:t>
            </w:r>
            <w:r w:rsidR="00642FF1">
              <w:rPr>
                <w:noProof/>
                <w:webHidden/>
              </w:rPr>
              <w:fldChar w:fldCharType="end"/>
            </w:r>
          </w:hyperlink>
        </w:p>
        <w:p w14:paraId="03A9C116" w14:textId="7FDD1AE7" w:rsidR="00642FF1" w:rsidRDefault="009A3EC9">
          <w:pPr>
            <w:pStyle w:val="Obsah3"/>
            <w:tabs>
              <w:tab w:val="right" w:leader="dot" w:pos="9060"/>
            </w:tabs>
            <w:rPr>
              <w:rFonts w:eastAsiaTheme="minorEastAsia"/>
              <w:i w:val="0"/>
              <w:iCs w:val="0"/>
              <w:noProof/>
              <w:sz w:val="22"/>
              <w:szCs w:val="22"/>
              <w:lang w:eastAsia="sk-SK"/>
            </w:rPr>
          </w:pPr>
          <w:hyperlink w:anchor="_Toc136418401" w:history="1">
            <w:r w:rsidR="00642FF1" w:rsidRPr="00136682">
              <w:rPr>
                <w:rStyle w:val="Hypertextovprepojenie"/>
                <w:noProof/>
              </w:rPr>
              <w:t>4.1.2 Výdavky v súvislosti s ochorením COVID-19</w:t>
            </w:r>
            <w:r w:rsidR="00642FF1">
              <w:rPr>
                <w:noProof/>
                <w:webHidden/>
              </w:rPr>
              <w:tab/>
            </w:r>
            <w:r w:rsidR="00642FF1">
              <w:rPr>
                <w:noProof/>
                <w:webHidden/>
              </w:rPr>
              <w:fldChar w:fldCharType="begin"/>
            </w:r>
            <w:r w:rsidR="00642FF1">
              <w:rPr>
                <w:noProof/>
                <w:webHidden/>
              </w:rPr>
              <w:instrText xml:space="preserve"> PAGEREF _Toc136418401 \h </w:instrText>
            </w:r>
            <w:r w:rsidR="00642FF1">
              <w:rPr>
                <w:noProof/>
                <w:webHidden/>
              </w:rPr>
            </w:r>
            <w:r w:rsidR="00642FF1">
              <w:rPr>
                <w:noProof/>
                <w:webHidden/>
              </w:rPr>
              <w:fldChar w:fldCharType="separate"/>
            </w:r>
            <w:r w:rsidR="005C3034">
              <w:rPr>
                <w:noProof/>
                <w:webHidden/>
              </w:rPr>
              <w:t>27</w:t>
            </w:r>
            <w:r w:rsidR="00642FF1">
              <w:rPr>
                <w:noProof/>
                <w:webHidden/>
              </w:rPr>
              <w:fldChar w:fldCharType="end"/>
            </w:r>
          </w:hyperlink>
        </w:p>
        <w:p w14:paraId="226129CA" w14:textId="15F8EBDA" w:rsidR="00642FF1" w:rsidRDefault="009A3EC9">
          <w:pPr>
            <w:pStyle w:val="Obsah3"/>
            <w:tabs>
              <w:tab w:val="right" w:leader="dot" w:pos="9060"/>
            </w:tabs>
            <w:rPr>
              <w:rFonts w:eastAsiaTheme="minorEastAsia"/>
              <w:i w:val="0"/>
              <w:iCs w:val="0"/>
              <w:noProof/>
              <w:sz w:val="22"/>
              <w:szCs w:val="22"/>
              <w:lang w:eastAsia="sk-SK"/>
            </w:rPr>
          </w:pPr>
          <w:hyperlink w:anchor="_Toc136418402" w:history="1">
            <w:r w:rsidR="00642FF1" w:rsidRPr="00136682">
              <w:rPr>
                <w:rStyle w:val="Hypertextovprepojenie"/>
                <w:noProof/>
              </w:rPr>
              <w:t>4.1.3 Plnenie úsporných opatrení v liekovej politike</w:t>
            </w:r>
            <w:r w:rsidR="00642FF1">
              <w:rPr>
                <w:noProof/>
                <w:webHidden/>
              </w:rPr>
              <w:tab/>
            </w:r>
            <w:r w:rsidR="00642FF1">
              <w:rPr>
                <w:noProof/>
                <w:webHidden/>
              </w:rPr>
              <w:fldChar w:fldCharType="begin"/>
            </w:r>
            <w:r w:rsidR="00642FF1">
              <w:rPr>
                <w:noProof/>
                <w:webHidden/>
              </w:rPr>
              <w:instrText xml:space="preserve"> PAGEREF _Toc136418402 \h </w:instrText>
            </w:r>
            <w:r w:rsidR="00642FF1">
              <w:rPr>
                <w:noProof/>
                <w:webHidden/>
              </w:rPr>
            </w:r>
            <w:r w:rsidR="00642FF1">
              <w:rPr>
                <w:noProof/>
                <w:webHidden/>
              </w:rPr>
              <w:fldChar w:fldCharType="separate"/>
            </w:r>
            <w:r w:rsidR="005C3034">
              <w:rPr>
                <w:noProof/>
                <w:webHidden/>
              </w:rPr>
              <w:t>28</w:t>
            </w:r>
            <w:r w:rsidR="00642FF1">
              <w:rPr>
                <w:noProof/>
                <w:webHidden/>
              </w:rPr>
              <w:fldChar w:fldCharType="end"/>
            </w:r>
          </w:hyperlink>
        </w:p>
        <w:p w14:paraId="048CEA48" w14:textId="1508F8AE" w:rsidR="00642FF1" w:rsidRDefault="009A3EC9">
          <w:pPr>
            <w:pStyle w:val="Obsah3"/>
            <w:tabs>
              <w:tab w:val="right" w:leader="dot" w:pos="9060"/>
            </w:tabs>
            <w:rPr>
              <w:rFonts w:eastAsiaTheme="minorEastAsia"/>
              <w:i w:val="0"/>
              <w:iCs w:val="0"/>
              <w:noProof/>
              <w:sz w:val="22"/>
              <w:szCs w:val="22"/>
              <w:lang w:eastAsia="sk-SK"/>
            </w:rPr>
          </w:pPr>
          <w:hyperlink w:anchor="_Toc136418403" w:history="1">
            <w:r w:rsidR="00642FF1" w:rsidRPr="00136682">
              <w:rPr>
                <w:rStyle w:val="Hypertextovprepojenie"/>
                <w:noProof/>
              </w:rPr>
              <w:t>4.1.4 Zadlženosť zdravotníckych zariadení</w:t>
            </w:r>
            <w:r w:rsidR="00642FF1">
              <w:rPr>
                <w:noProof/>
                <w:webHidden/>
              </w:rPr>
              <w:tab/>
            </w:r>
            <w:r w:rsidR="00642FF1">
              <w:rPr>
                <w:noProof/>
                <w:webHidden/>
              </w:rPr>
              <w:fldChar w:fldCharType="begin"/>
            </w:r>
            <w:r w:rsidR="00642FF1">
              <w:rPr>
                <w:noProof/>
                <w:webHidden/>
              </w:rPr>
              <w:instrText xml:space="preserve"> PAGEREF _Toc136418403 \h </w:instrText>
            </w:r>
            <w:r w:rsidR="00642FF1">
              <w:rPr>
                <w:noProof/>
                <w:webHidden/>
              </w:rPr>
            </w:r>
            <w:r w:rsidR="00642FF1">
              <w:rPr>
                <w:noProof/>
                <w:webHidden/>
              </w:rPr>
              <w:fldChar w:fldCharType="separate"/>
            </w:r>
            <w:r w:rsidR="005C3034">
              <w:rPr>
                <w:noProof/>
                <w:webHidden/>
              </w:rPr>
              <w:t>29</w:t>
            </w:r>
            <w:r w:rsidR="00642FF1">
              <w:rPr>
                <w:noProof/>
                <w:webHidden/>
              </w:rPr>
              <w:fldChar w:fldCharType="end"/>
            </w:r>
          </w:hyperlink>
        </w:p>
        <w:p w14:paraId="2D04852E" w14:textId="66DD5F6C" w:rsidR="00642FF1" w:rsidRDefault="009A3EC9">
          <w:pPr>
            <w:pStyle w:val="Obsah2"/>
            <w:tabs>
              <w:tab w:val="right" w:leader="dot" w:pos="9060"/>
            </w:tabs>
            <w:rPr>
              <w:rFonts w:eastAsiaTheme="minorEastAsia"/>
              <w:smallCaps w:val="0"/>
              <w:noProof/>
              <w:sz w:val="22"/>
              <w:szCs w:val="22"/>
              <w:lang w:eastAsia="sk-SK"/>
            </w:rPr>
          </w:pPr>
          <w:hyperlink w:anchor="_Toc136418404" w:history="1">
            <w:r w:rsidR="00642FF1" w:rsidRPr="00136682">
              <w:rPr>
                <w:rStyle w:val="Hypertextovprepojenie"/>
                <w:noProof/>
              </w:rPr>
              <w:t>4.2 Vzdelávanie, veda a výskum</w:t>
            </w:r>
            <w:r w:rsidR="00642FF1">
              <w:rPr>
                <w:noProof/>
                <w:webHidden/>
              </w:rPr>
              <w:tab/>
            </w:r>
            <w:r w:rsidR="00642FF1">
              <w:rPr>
                <w:noProof/>
                <w:webHidden/>
              </w:rPr>
              <w:fldChar w:fldCharType="begin"/>
            </w:r>
            <w:r w:rsidR="00642FF1">
              <w:rPr>
                <w:noProof/>
                <w:webHidden/>
              </w:rPr>
              <w:instrText xml:space="preserve"> PAGEREF _Toc136418404 \h </w:instrText>
            </w:r>
            <w:r w:rsidR="00642FF1">
              <w:rPr>
                <w:noProof/>
                <w:webHidden/>
              </w:rPr>
            </w:r>
            <w:r w:rsidR="00642FF1">
              <w:rPr>
                <w:noProof/>
                <w:webHidden/>
              </w:rPr>
              <w:fldChar w:fldCharType="separate"/>
            </w:r>
            <w:r w:rsidR="005C3034">
              <w:rPr>
                <w:noProof/>
                <w:webHidden/>
              </w:rPr>
              <w:t>31</w:t>
            </w:r>
            <w:r w:rsidR="00642FF1">
              <w:rPr>
                <w:noProof/>
                <w:webHidden/>
              </w:rPr>
              <w:fldChar w:fldCharType="end"/>
            </w:r>
          </w:hyperlink>
        </w:p>
        <w:p w14:paraId="2175F1F5" w14:textId="5D11AAF4" w:rsidR="00642FF1" w:rsidRDefault="009A3EC9">
          <w:pPr>
            <w:pStyle w:val="Obsah3"/>
            <w:tabs>
              <w:tab w:val="right" w:leader="dot" w:pos="9060"/>
            </w:tabs>
            <w:rPr>
              <w:rFonts w:eastAsiaTheme="minorEastAsia"/>
              <w:i w:val="0"/>
              <w:iCs w:val="0"/>
              <w:noProof/>
              <w:sz w:val="22"/>
              <w:szCs w:val="22"/>
              <w:lang w:eastAsia="sk-SK"/>
            </w:rPr>
          </w:pPr>
          <w:hyperlink w:anchor="_Toc136418405" w:history="1">
            <w:r w:rsidR="00642FF1" w:rsidRPr="00136682">
              <w:rPr>
                <w:rStyle w:val="Hypertextovprepojenie"/>
                <w:noProof/>
              </w:rPr>
              <w:t>4.2.1 Plnenie revíznych opatrení v oblasti vysokého školstva</w:t>
            </w:r>
            <w:r w:rsidR="00642FF1">
              <w:rPr>
                <w:noProof/>
                <w:webHidden/>
              </w:rPr>
              <w:tab/>
            </w:r>
            <w:r w:rsidR="00642FF1">
              <w:rPr>
                <w:noProof/>
                <w:webHidden/>
              </w:rPr>
              <w:fldChar w:fldCharType="begin"/>
            </w:r>
            <w:r w:rsidR="00642FF1">
              <w:rPr>
                <w:noProof/>
                <w:webHidden/>
              </w:rPr>
              <w:instrText xml:space="preserve"> PAGEREF _Toc136418405 \h </w:instrText>
            </w:r>
            <w:r w:rsidR="00642FF1">
              <w:rPr>
                <w:noProof/>
                <w:webHidden/>
              </w:rPr>
            </w:r>
            <w:r w:rsidR="00642FF1">
              <w:rPr>
                <w:noProof/>
                <w:webHidden/>
              </w:rPr>
              <w:fldChar w:fldCharType="separate"/>
            </w:r>
            <w:r w:rsidR="005C3034">
              <w:rPr>
                <w:noProof/>
                <w:webHidden/>
              </w:rPr>
              <w:t>32</w:t>
            </w:r>
            <w:r w:rsidR="00642FF1">
              <w:rPr>
                <w:noProof/>
                <w:webHidden/>
              </w:rPr>
              <w:fldChar w:fldCharType="end"/>
            </w:r>
          </w:hyperlink>
        </w:p>
        <w:p w14:paraId="44CFF8FA" w14:textId="47DE3D72" w:rsidR="00642FF1" w:rsidRDefault="009A3EC9">
          <w:pPr>
            <w:pStyle w:val="Obsah2"/>
            <w:tabs>
              <w:tab w:val="right" w:leader="dot" w:pos="9060"/>
            </w:tabs>
            <w:rPr>
              <w:rFonts w:eastAsiaTheme="minorEastAsia"/>
              <w:smallCaps w:val="0"/>
              <w:noProof/>
              <w:sz w:val="22"/>
              <w:szCs w:val="22"/>
              <w:lang w:eastAsia="sk-SK"/>
            </w:rPr>
          </w:pPr>
          <w:hyperlink w:anchor="_Toc136418406" w:history="1">
            <w:r w:rsidR="00642FF1" w:rsidRPr="00136682">
              <w:rPr>
                <w:rStyle w:val="Hypertextovprepojenie"/>
                <w:noProof/>
              </w:rPr>
              <w:t>4.3 Sociálne politiky</w:t>
            </w:r>
            <w:r w:rsidR="00642FF1">
              <w:rPr>
                <w:noProof/>
                <w:webHidden/>
              </w:rPr>
              <w:tab/>
            </w:r>
            <w:r w:rsidR="00642FF1">
              <w:rPr>
                <w:noProof/>
                <w:webHidden/>
              </w:rPr>
              <w:fldChar w:fldCharType="begin"/>
            </w:r>
            <w:r w:rsidR="00642FF1">
              <w:rPr>
                <w:noProof/>
                <w:webHidden/>
              </w:rPr>
              <w:instrText xml:space="preserve"> PAGEREF _Toc136418406 \h </w:instrText>
            </w:r>
            <w:r w:rsidR="00642FF1">
              <w:rPr>
                <w:noProof/>
                <w:webHidden/>
              </w:rPr>
            </w:r>
            <w:r w:rsidR="00642FF1">
              <w:rPr>
                <w:noProof/>
                <w:webHidden/>
              </w:rPr>
              <w:fldChar w:fldCharType="separate"/>
            </w:r>
            <w:r w:rsidR="005C3034">
              <w:rPr>
                <w:noProof/>
                <w:webHidden/>
              </w:rPr>
              <w:t>34</w:t>
            </w:r>
            <w:r w:rsidR="00642FF1">
              <w:rPr>
                <w:noProof/>
                <w:webHidden/>
              </w:rPr>
              <w:fldChar w:fldCharType="end"/>
            </w:r>
          </w:hyperlink>
        </w:p>
        <w:p w14:paraId="798F78C4" w14:textId="6BC61276" w:rsidR="00642FF1" w:rsidRDefault="009A3EC9">
          <w:pPr>
            <w:pStyle w:val="Obsah3"/>
            <w:tabs>
              <w:tab w:val="right" w:leader="dot" w:pos="9060"/>
            </w:tabs>
            <w:rPr>
              <w:rFonts w:eastAsiaTheme="minorEastAsia"/>
              <w:i w:val="0"/>
              <w:iCs w:val="0"/>
              <w:noProof/>
              <w:sz w:val="22"/>
              <w:szCs w:val="22"/>
              <w:lang w:eastAsia="sk-SK"/>
            </w:rPr>
          </w:pPr>
          <w:hyperlink w:anchor="_Toc136418407" w:history="1">
            <w:r w:rsidR="00642FF1" w:rsidRPr="00136682">
              <w:rPr>
                <w:rStyle w:val="Hypertextovprepojenie"/>
                <w:noProof/>
              </w:rPr>
              <w:t>4.3.1 Výdavky na COVID-19 a Ukrajinu</w:t>
            </w:r>
            <w:r w:rsidR="00642FF1">
              <w:rPr>
                <w:noProof/>
                <w:webHidden/>
              </w:rPr>
              <w:tab/>
            </w:r>
            <w:r w:rsidR="00642FF1">
              <w:rPr>
                <w:noProof/>
                <w:webHidden/>
              </w:rPr>
              <w:fldChar w:fldCharType="begin"/>
            </w:r>
            <w:r w:rsidR="00642FF1">
              <w:rPr>
                <w:noProof/>
                <w:webHidden/>
              </w:rPr>
              <w:instrText xml:space="preserve"> PAGEREF _Toc136418407 \h </w:instrText>
            </w:r>
            <w:r w:rsidR="00642FF1">
              <w:rPr>
                <w:noProof/>
                <w:webHidden/>
              </w:rPr>
            </w:r>
            <w:r w:rsidR="00642FF1">
              <w:rPr>
                <w:noProof/>
                <w:webHidden/>
              </w:rPr>
              <w:fldChar w:fldCharType="separate"/>
            </w:r>
            <w:r w:rsidR="005C3034">
              <w:rPr>
                <w:noProof/>
                <w:webHidden/>
              </w:rPr>
              <w:t>35</w:t>
            </w:r>
            <w:r w:rsidR="00642FF1">
              <w:rPr>
                <w:noProof/>
                <w:webHidden/>
              </w:rPr>
              <w:fldChar w:fldCharType="end"/>
            </w:r>
          </w:hyperlink>
        </w:p>
        <w:p w14:paraId="1018F144" w14:textId="4939EDAA" w:rsidR="00642FF1" w:rsidRDefault="009A3EC9">
          <w:pPr>
            <w:pStyle w:val="Obsah3"/>
            <w:tabs>
              <w:tab w:val="right" w:leader="dot" w:pos="9060"/>
            </w:tabs>
            <w:rPr>
              <w:rFonts w:eastAsiaTheme="minorEastAsia"/>
              <w:i w:val="0"/>
              <w:iCs w:val="0"/>
              <w:noProof/>
              <w:sz w:val="22"/>
              <w:szCs w:val="22"/>
              <w:lang w:eastAsia="sk-SK"/>
            </w:rPr>
          </w:pPr>
          <w:hyperlink w:anchor="_Toc136418408" w:history="1">
            <w:r w:rsidR="00642FF1" w:rsidRPr="00136682">
              <w:rPr>
                <w:rStyle w:val="Hypertextovprepojenie"/>
                <w:noProof/>
              </w:rPr>
              <w:t>4.3.2 Podpora udržania zamestnanosti – projekt Prvá pomoc</w:t>
            </w:r>
            <w:r w:rsidR="00642FF1">
              <w:rPr>
                <w:noProof/>
                <w:webHidden/>
              </w:rPr>
              <w:tab/>
            </w:r>
            <w:r w:rsidR="00642FF1">
              <w:rPr>
                <w:noProof/>
                <w:webHidden/>
              </w:rPr>
              <w:fldChar w:fldCharType="begin"/>
            </w:r>
            <w:r w:rsidR="00642FF1">
              <w:rPr>
                <w:noProof/>
                <w:webHidden/>
              </w:rPr>
              <w:instrText xml:space="preserve"> PAGEREF _Toc136418408 \h </w:instrText>
            </w:r>
            <w:r w:rsidR="00642FF1">
              <w:rPr>
                <w:noProof/>
                <w:webHidden/>
              </w:rPr>
            </w:r>
            <w:r w:rsidR="00642FF1">
              <w:rPr>
                <w:noProof/>
                <w:webHidden/>
              </w:rPr>
              <w:fldChar w:fldCharType="separate"/>
            </w:r>
            <w:r w:rsidR="005C3034">
              <w:rPr>
                <w:noProof/>
                <w:webHidden/>
              </w:rPr>
              <w:t>36</w:t>
            </w:r>
            <w:r w:rsidR="00642FF1">
              <w:rPr>
                <w:noProof/>
                <w:webHidden/>
              </w:rPr>
              <w:fldChar w:fldCharType="end"/>
            </w:r>
          </w:hyperlink>
        </w:p>
        <w:p w14:paraId="27EC6D22" w14:textId="3F150CE6" w:rsidR="00642FF1" w:rsidRDefault="009A3EC9">
          <w:pPr>
            <w:pStyle w:val="Obsah2"/>
            <w:tabs>
              <w:tab w:val="right" w:leader="dot" w:pos="9060"/>
            </w:tabs>
            <w:rPr>
              <w:rFonts w:eastAsiaTheme="minorEastAsia"/>
              <w:smallCaps w:val="0"/>
              <w:noProof/>
              <w:sz w:val="22"/>
              <w:szCs w:val="22"/>
              <w:lang w:eastAsia="sk-SK"/>
            </w:rPr>
          </w:pPr>
          <w:hyperlink w:anchor="_Toc136418409" w:history="1">
            <w:r w:rsidR="00642FF1" w:rsidRPr="00136682">
              <w:rPr>
                <w:rStyle w:val="Hypertextovprepojenie"/>
                <w:noProof/>
              </w:rPr>
              <w:t>4.4 Obrana a bezpečnosť</w:t>
            </w:r>
            <w:r w:rsidR="00642FF1">
              <w:rPr>
                <w:noProof/>
                <w:webHidden/>
              </w:rPr>
              <w:tab/>
            </w:r>
            <w:r w:rsidR="00642FF1">
              <w:rPr>
                <w:noProof/>
                <w:webHidden/>
              </w:rPr>
              <w:fldChar w:fldCharType="begin"/>
            </w:r>
            <w:r w:rsidR="00642FF1">
              <w:rPr>
                <w:noProof/>
                <w:webHidden/>
              </w:rPr>
              <w:instrText xml:space="preserve"> PAGEREF _Toc136418409 \h </w:instrText>
            </w:r>
            <w:r w:rsidR="00642FF1">
              <w:rPr>
                <w:noProof/>
                <w:webHidden/>
              </w:rPr>
            </w:r>
            <w:r w:rsidR="00642FF1">
              <w:rPr>
                <w:noProof/>
                <w:webHidden/>
              </w:rPr>
              <w:fldChar w:fldCharType="separate"/>
            </w:r>
            <w:r w:rsidR="005C3034">
              <w:rPr>
                <w:noProof/>
                <w:webHidden/>
              </w:rPr>
              <w:t>37</w:t>
            </w:r>
            <w:r w:rsidR="00642FF1">
              <w:rPr>
                <w:noProof/>
                <w:webHidden/>
              </w:rPr>
              <w:fldChar w:fldCharType="end"/>
            </w:r>
          </w:hyperlink>
        </w:p>
        <w:p w14:paraId="34238A5E" w14:textId="0713A919" w:rsidR="00642FF1" w:rsidRDefault="009A3EC9">
          <w:pPr>
            <w:pStyle w:val="Obsah3"/>
            <w:tabs>
              <w:tab w:val="right" w:leader="dot" w:pos="9060"/>
            </w:tabs>
            <w:rPr>
              <w:rFonts w:eastAsiaTheme="minorEastAsia"/>
              <w:i w:val="0"/>
              <w:iCs w:val="0"/>
              <w:noProof/>
              <w:sz w:val="22"/>
              <w:szCs w:val="22"/>
              <w:lang w:eastAsia="sk-SK"/>
            </w:rPr>
          </w:pPr>
          <w:hyperlink w:anchor="_Toc136418410" w:history="1">
            <w:r w:rsidR="00642FF1" w:rsidRPr="00136682">
              <w:rPr>
                <w:rStyle w:val="Hypertextovprepojenie"/>
                <w:noProof/>
              </w:rPr>
              <w:t>4.4.1 Výdavky na Ukrajinu</w:t>
            </w:r>
            <w:r w:rsidR="00642FF1">
              <w:rPr>
                <w:noProof/>
                <w:webHidden/>
              </w:rPr>
              <w:tab/>
            </w:r>
            <w:r w:rsidR="00642FF1">
              <w:rPr>
                <w:noProof/>
                <w:webHidden/>
              </w:rPr>
              <w:fldChar w:fldCharType="begin"/>
            </w:r>
            <w:r w:rsidR="00642FF1">
              <w:rPr>
                <w:noProof/>
                <w:webHidden/>
              </w:rPr>
              <w:instrText xml:space="preserve"> PAGEREF _Toc136418410 \h </w:instrText>
            </w:r>
            <w:r w:rsidR="00642FF1">
              <w:rPr>
                <w:noProof/>
                <w:webHidden/>
              </w:rPr>
            </w:r>
            <w:r w:rsidR="00642FF1">
              <w:rPr>
                <w:noProof/>
                <w:webHidden/>
              </w:rPr>
              <w:fldChar w:fldCharType="separate"/>
            </w:r>
            <w:r w:rsidR="005C3034">
              <w:rPr>
                <w:noProof/>
                <w:webHidden/>
              </w:rPr>
              <w:t>38</w:t>
            </w:r>
            <w:r w:rsidR="00642FF1">
              <w:rPr>
                <w:noProof/>
                <w:webHidden/>
              </w:rPr>
              <w:fldChar w:fldCharType="end"/>
            </w:r>
          </w:hyperlink>
        </w:p>
        <w:p w14:paraId="528009E5" w14:textId="0CC8DD44" w:rsidR="00642FF1" w:rsidRDefault="009A3EC9">
          <w:pPr>
            <w:pStyle w:val="Obsah3"/>
            <w:tabs>
              <w:tab w:val="right" w:leader="dot" w:pos="9060"/>
            </w:tabs>
            <w:rPr>
              <w:rFonts w:eastAsiaTheme="minorEastAsia"/>
              <w:i w:val="0"/>
              <w:iCs w:val="0"/>
              <w:noProof/>
              <w:sz w:val="22"/>
              <w:szCs w:val="22"/>
              <w:lang w:eastAsia="sk-SK"/>
            </w:rPr>
          </w:pPr>
          <w:hyperlink w:anchor="_Toc136418411" w:history="1">
            <w:r w:rsidR="00642FF1" w:rsidRPr="00136682">
              <w:rPr>
                <w:rStyle w:val="Hypertextovprepojenie"/>
                <w:noProof/>
              </w:rPr>
              <w:t>4.4.2 Darovanie majetku Ukrajine</w:t>
            </w:r>
            <w:r w:rsidR="00642FF1">
              <w:rPr>
                <w:noProof/>
                <w:webHidden/>
              </w:rPr>
              <w:tab/>
            </w:r>
            <w:r w:rsidR="00642FF1">
              <w:rPr>
                <w:noProof/>
                <w:webHidden/>
              </w:rPr>
              <w:fldChar w:fldCharType="begin"/>
            </w:r>
            <w:r w:rsidR="00642FF1">
              <w:rPr>
                <w:noProof/>
                <w:webHidden/>
              </w:rPr>
              <w:instrText xml:space="preserve"> PAGEREF _Toc136418411 \h </w:instrText>
            </w:r>
            <w:r w:rsidR="00642FF1">
              <w:rPr>
                <w:noProof/>
                <w:webHidden/>
              </w:rPr>
            </w:r>
            <w:r w:rsidR="00642FF1">
              <w:rPr>
                <w:noProof/>
                <w:webHidden/>
              </w:rPr>
              <w:fldChar w:fldCharType="separate"/>
            </w:r>
            <w:r w:rsidR="005C3034">
              <w:rPr>
                <w:noProof/>
                <w:webHidden/>
              </w:rPr>
              <w:t>39</w:t>
            </w:r>
            <w:r w:rsidR="00642FF1">
              <w:rPr>
                <w:noProof/>
                <w:webHidden/>
              </w:rPr>
              <w:fldChar w:fldCharType="end"/>
            </w:r>
          </w:hyperlink>
        </w:p>
        <w:p w14:paraId="1508768D" w14:textId="1393476D" w:rsidR="00642FF1" w:rsidRDefault="009A3EC9">
          <w:pPr>
            <w:pStyle w:val="Obsah1"/>
            <w:rPr>
              <w:rFonts w:eastAsiaTheme="minorEastAsia"/>
              <w:b w:val="0"/>
              <w:bCs w:val="0"/>
              <w:caps w:val="0"/>
              <w:color w:val="auto"/>
              <w:sz w:val="22"/>
              <w:szCs w:val="22"/>
              <w:lang w:eastAsia="sk-SK"/>
            </w:rPr>
          </w:pPr>
          <w:hyperlink w:anchor="_Toc136418412" w:history="1">
            <w:r w:rsidR="00642FF1" w:rsidRPr="00136682">
              <w:rPr>
                <w:rStyle w:val="Hypertextovprepojenie"/>
              </w:rPr>
              <w:t>5</w:t>
            </w:r>
            <w:r w:rsidR="00642FF1">
              <w:rPr>
                <w:rFonts w:eastAsiaTheme="minorEastAsia"/>
                <w:b w:val="0"/>
                <w:bCs w:val="0"/>
                <w:caps w:val="0"/>
                <w:color w:val="auto"/>
                <w:sz w:val="22"/>
                <w:szCs w:val="22"/>
                <w:lang w:eastAsia="sk-SK"/>
              </w:rPr>
              <w:tab/>
            </w:r>
            <w:r w:rsidR="00642FF1" w:rsidRPr="00136682">
              <w:rPr>
                <w:rStyle w:val="Hypertextovprepojenie"/>
              </w:rPr>
              <w:t>Vzťah štátneho rozpočtu k EÚ</w:t>
            </w:r>
            <w:r w:rsidR="00642FF1">
              <w:rPr>
                <w:webHidden/>
              </w:rPr>
              <w:tab/>
            </w:r>
            <w:r w:rsidR="00642FF1">
              <w:rPr>
                <w:webHidden/>
              </w:rPr>
              <w:fldChar w:fldCharType="begin"/>
            </w:r>
            <w:r w:rsidR="00642FF1">
              <w:rPr>
                <w:webHidden/>
              </w:rPr>
              <w:instrText xml:space="preserve"> PAGEREF _Toc136418412 \h </w:instrText>
            </w:r>
            <w:r w:rsidR="00642FF1">
              <w:rPr>
                <w:webHidden/>
              </w:rPr>
            </w:r>
            <w:r w:rsidR="00642FF1">
              <w:rPr>
                <w:webHidden/>
              </w:rPr>
              <w:fldChar w:fldCharType="separate"/>
            </w:r>
            <w:r w:rsidR="005C3034">
              <w:rPr>
                <w:webHidden/>
              </w:rPr>
              <w:t>40</w:t>
            </w:r>
            <w:r w:rsidR="00642FF1">
              <w:rPr>
                <w:webHidden/>
              </w:rPr>
              <w:fldChar w:fldCharType="end"/>
            </w:r>
          </w:hyperlink>
        </w:p>
        <w:p w14:paraId="00B8C955" w14:textId="55D1DC27" w:rsidR="00642FF1" w:rsidRDefault="009A3EC9">
          <w:pPr>
            <w:pStyle w:val="Obsah2"/>
            <w:tabs>
              <w:tab w:val="right" w:leader="dot" w:pos="9060"/>
            </w:tabs>
            <w:rPr>
              <w:rFonts w:eastAsiaTheme="minorEastAsia"/>
              <w:smallCaps w:val="0"/>
              <w:noProof/>
              <w:sz w:val="22"/>
              <w:szCs w:val="22"/>
              <w:lang w:eastAsia="sk-SK"/>
            </w:rPr>
          </w:pPr>
          <w:hyperlink w:anchor="_Toc136418413" w:history="1">
            <w:r w:rsidR="00642FF1" w:rsidRPr="00136682">
              <w:rPr>
                <w:rStyle w:val="Hypertextovprepojenie"/>
                <w:noProof/>
              </w:rPr>
              <w:t>5.1 PO 2014 – 2020</w:t>
            </w:r>
            <w:r w:rsidR="00642FF1">
              <w:rPr>
                <w:noProof/>
                <w:webHidden/>
              </w:rPr>
              <w:tab/>
            </w:r>
            <w:r w:rsidR="00642FF1">
              <w:rPr>
                <w:noProof/>
                <w:webHidden/>
              </w:rPr>
              <w:fldChar w:fldCharType="begin"/>
            </w:r>
            <w:r w:rsidR="00642FF1">
              <w:rPr>
                <w:noProof/>
                <w:webHidden/>
              </w:rPr>
              <w:instrText xml:space="preserve"> PAGEREF _Toc136418413 \h </w:instrText>
            </w:r>
            <w:r w:rsidR="00642FF1">
              <w:rPr>
                <w:noProof/>
                <w:webHidden/>
              </w:rPr>
            </w:r>
            <w:r w:rsidR="00642FF1">
              <w:rPr>
                <w:noProof/>
                <w:webHidden/>
              </w:rPr>
              <w:fldChar w:fldCharType="separate"/>
            </w:r>
            <w:r w:rsidR="005C3034">
              <w:rPr>
                <w:noProof/>
                <w:webHidden/>
              </w:rPr>
              <w:t>40</w:t>
            </w:r>
            <w:r w:rsidR="00642FF1">
              <w:rPr>
                <w:noProof/>
                <w:webHidden/>
              </w:rPr>
              <w:fldChar w:fldCharType="end"/>
            </w:r>
          </w:hyperlink>
        </w:p>
        <w:p w14:paraId="4C1067A4" w14:textId="2DFF52AF" w:rsidR="00642FF1" w:rsidRDefault="009A3EC9">
          <w:pPr>
            <w:pStyle w:val="Obsah2"/>
            <w:tabs>
              <w:tab w:val="right" w:leader="dot" w:pos="9060"/>
            </w:tabs>
            <w:rPr>
              <w:rFonts w:eastAsiaTheme="minorEastAsia"/>
              <w:smallCaps w:val="0"/>
              <w:noProof/>
              <w:sz w:val="22"/>
              <w:szCs w:val="22"/>
              <w:lang w:eastAsia="sk-SK"/>
            </w:rPr>
          </w:pPr>
          <w:hyperlink w:anchor="_Toc136418414" w:history="1">
            <w:r w:rsidR="00642FF1" w:rsidRPr="00136682">
              <w:rPr>
                <w:rStyle w:val="Hypertextovprepojenie"/>
                <w:noProof/>
              </w:rPr>
              <w:t>5.2 PO 2021 – 2027 a Plán obnovy odolnosti</w:t>
            </w:r>
            <w:r w:rsidR="00642FF1">
              <w:rPr>
                <w:noProof/>
                <w:webHidden/>
              </w:rPr>
              <w:tab/>
            </w:r>
            <w:r w:rsidR="00642FF1">
              <w:rPr>
                <w:noProof/>
                <w:webHidden/>
              </w:rPr>
              <w:fldChar w:fldCharType="begin"/>
            </w:r>
            <w:r w:rsidR="00642FF1">
              <w:rPr>
                <w:noProof/>
                <w:webHidden/>
              </w:rPr>
              <w:instrText xml:space="preserve"> PAGEREF _Toc136418414 \h </w:instrText>
            </w:r>
            <w:r w:rsidR="00642FF1">
              <w:rPr>
                <w:noProof/>
                <w:webHidden/>
              </w:rPr>
            </w:r>
            <w:r w:rsidR="00642FF1">
              <w:rPr>
                <w:noProof/>
                <w:webHidden/>
              </w:rPr>
              <w:fldChar w:fldCharType="separate"/>
            </w:r>
            <w:r w:rsidR="005C3034">
              <w:rPr>
                <w:noProof/>
                <w:webHidden/>
              </w:rPr>
              <w:t>44</w:t>
            </w:r>
            <w:r w:rsidR="00642FF1">
              <w:rPr>
                <w:noProof/>
                <w:webHidden/>
              </w:rPr>
              <w:fldChar w:fldCharType="end"/>
            </w:r>
          </w:hyperlink>
        </w:p>
        <w:p w14:paraId="2C64ED66" w14:textId="0BF4AD4B" w:rsidR="00642FF1" w:rsidRDefault="009A3EC9">
          <w:pPr>
            <w:pStyle w:val="Obsah1"/>
            <w:rPr>
              <w:rFonts w:eastAsiaTheme="minorEastAsia"/>
              <w:b w:val="0"/>
              <w:bCs w:val="0"/>
              <w:caps w:val="0"/>
              <w:color w:val="auto"/>
              <w:sz w:val="22"/>
              <w:szCs w:val="22"/>
              <w:lang w:eastAsia="sk-SK"/>
            </w:rPr>
          </w:pPr>
          <w:hyperlink w:anchor="_Toc136418415" w:history="1">
            <w:r w:rsidR="00642FF1" w:rsidRPr="00136682">
              <w:rPr>
                <w:rStyle w:val="Hypertextovprepojenie"/>
              </w:rPr>
              <w:t>6</w:t>
            </w:r>
            <w:r w:rsidR="00642FF1">
              <w:rPr>
                <w:rFonts w:eastAsiaTheme="minorEastAsia"/>
                <w:b w:val="0"/>
                <w:bCs w:val="0"/>
                <w:caps w:val="0"/>
                <w:color w:val="auto"/>
                <w:sz w:val="22"/>
                <w:szCs w:val="22"/>
                <w:lang w:eastAsia="sk-SK"/>
              </w:rPr>
              <w:tab/>
            </w:r>
            <w:r w:rsidR="00642FF1" w:rsidRPr="00136682">
              <w:rPr>
                <w:rStyle w:val="Hypertextovprepojenie"/>
              </w:rPr>
              <w:t>Hospodárenie územnej samosprávy</w:t>
            </w:r>
            <w:r w:rsidR="00642FF1">
              <w:rPr>
                <w:webHidden/>
              </w:rPr>
              <w:tab/>
            </w:r>
            <w:r w:rsidR="00642FF1">
              <w:rPr>
                <w:webHidden/>
              </w:rPr>
              <w:fldChar w:fldCharType="begin"/>
            </w:r>
            <w:r w:rsidR="00642FF1">
              <w:rPr>
                <w:webHidden/>
              </w:rPr>
              <w:instrText xml:space="preserve"> PAGEREF _Toc136418415 \h </w:instrText>
            </w:r>
            <w:r w:rsidR="00642FF1">
              <w:rPr>
                <w:webHidden/>
              </w:rPr>
            </w:r>
            <w:r w:rsidR="00642FF1">
              <w:rPr>
                <w:webHidden/>
              </w:rPr>
              <w:fldChar w:fldCharType="separate"/>
            </w:r>
            <w:r w:rsidR="005C3034">
              <w:rPr>
                <w:webHidden/>
              </w:rPr>
              <w:t>47</w:t>
            </w:r>
            <w:r w:rsidR="00642FF1">
              <w:rPr>
                <w:webHidden/>
              </w:rPr>
              <w:fldChar w:fldCharType="end"/>
            </w:r>
          </w:hyperlink>
        </w:p>
        <w:p w14:paraId="36F439CC" w14:textId="1A04D33E" w:rsidR="00642FF1" w:rsidRDefault="009A3EC9">
          <w:pPr>
            <w:pStyle w:val="Obsah2"/>
            <w:tabs>
              <w:tab w:val="right" w:leader="dot" w:pos="9060"/>
            </w:tabs>
            <w:rPr>
              <w:rFonts w:eastAsiaTheme="minorEastAsia"/>
              <w:smallCaps w:val="0"/>
              <w:noProof/>
              <w:sz w:val="22"/>
              <w:szCs w:val="22"/>
              <w:lang w:eastAsia="sk-SK"/>
            </w:rPr>
          </w:pPr>
          <w:hyperlink w:anchor="_Toc136418416" w:history="1">
            <w:r w:rsidR="00642FF1" w:rsidRPr="00136682">
              <w:rPr>
                <w:rStyle w:val="Hypertextovprepojenie"/>
                <w:rFonts w:eastAsia="Times New Roman"/>
                <w:noProof/>
                <w:lang w:eastAsia="sk-SK"/>
              </w:rPr>
              <w:t>6.1 Hospodárenie obcí</w:t>
            </w:r>
            <w:r w:rsidR="00642FF1">
              <w:rPr>
                <w:noProof/>
                <w:webHidden/>
              </w:rPr>
              <w:tab/>
            </w:r>
            <w:r w:rsidR="00642FF1">
              <w:rPr>
                <w:noProof/>
                <w:webHidden/>
              </w:rPr>
              <w:fldChar w:fldCharType="begin"/>
            </w:r>
            <w:r w:rsidR="00642FF1">
              <w:rPr>
                <w:noProof/>
                <w:webHidden/>
              </w:rPr>
              <w:instrText xml:space="preserve"> PAGEREF _Toc136418416 \h </w:instrText>
            </w:r>
            <w:r w:rsidR="00642FF1">
              <w:rPr>
                <w:noProof/>
                <w:webHidden/>
              </w:rPr>
            </w:r>
            <w:r w:rsidR="00642FF1">
              <w:rPr>
                <w:noProof/>
                <w:webHidden/>
              </w:rPr>
              <w:fldChar w:fldCharType="separate"/>
            </w:r>
            <w:r w:rsidR="005C3034">
              <w:rPr>
                <w:noProof/>
                <w:webHidden/>
              </w:rPr>
              <w:t>47</w:t>
            </w:r>
            <w:r w:rsidR="00642FF1">
              <w:rPr>
                <w:noProof/>
                <w:webHidden/>
              </w:rPr>
              <w:fldChar w:fldCharType="end"/>
            </w:r>
          </w:hyperlink>
        </w:p>
        <w:p w14:paraId="525A157C" w14:textId="24CC8EF2" w:rsidR="00642FF1" w:rsidRDefault="009A3EC9">
          <w:pPr>
            <w:pStyle w:val="Obsah2"/>
            <w:tabs>
              <w:tab w:val="right" w:leader="dot" w:pos="9060"/>
            </w:tabs>
            <w:rPr>
              <w:rFonts w:eastAsiaTheme="minorEastAsia"/>
              <w:smallCaps w:val="0"/>
              <w:noProof/>
              <w:sz w:val="22"/>
              <w:szCs w:val="22"/>
              <w:lang w:eastAsia="sk-SK"/>
            </w:rPr>
          </w:pPr>
          <w:hyperlink w:anchor="_Toc136418417" w:history="1">
            <w:r w:rsidR="00642FF1" w:rsidRPr="00136682">
              <w:rPr>
                <w:rStyle w:val="Hypertextovprepojenie"/>
                <w:rFonts w:eastAsia="Times New Roman"/>
                <w:noProof/>
                <w:lang w:eastAsia="sk-SK"/>
              </w:rPr>
              <w:t>6.2 Hospodárenie VÚC</w:t>
            </w:r>
            <w:r w:rsidR="00642FF1">
              <w:rPr>
                <w:noProof/>
                <w:webHidden/>
              </w:rPr>
              <w:tab/>
            </w:r>
            <w:r w:rsidR="00642FF1">
              <w:rPr>
                <w:noProof/>
                <w:webHidden/>
              </w:rPr>
              <w:fldChar w:fldCharType="begin"/>
            </w:r>
            <w:r w:rsidR="00642FF1">
              <w:rPr>
                <w:noProof/>
                <w:webHidden/>
              </w:rPr>
              <w:instrText xml:space="preserve"> PAGEREF _Toc136418417 \h </w:instrText>
            </w:r>
            <w:r w:rsidR="00642FF1">
              <w:rPr>
                <w:noProof/>
                <w:webHidden/>
              </w:rPr>
            </w:r>
            <w:r w:rsidR="00642FF1">
              <w:rPr>
                <w:noProof/>
                <w:webHidden/>
              </w:rPr>
              <w:fldChar w:fldCharType="separate"/>
            </w:r>
            <w:r w:rsidR="005C3034">
              <w:rPr>
                <w:noProof/>
                <w:webHidden/>
              </w:rPr>
              <w:t>49</w:t>
            </w:r>
            <w:r w:rsidR="00642FF1">
              <w:rPr>
                <w:noProof/>
                <w:webHidden/>
              </w:rPr>
              <w:fldChar w:fldCharType="end"/>
            </w:r>
          </w:hyperlink>
        </w:p>
        <w:p w14:paraId="64F70FBC" w14:textId="1C1DC5B6" w:rsidR="00642FF1" w:rsidRDefault="009A3EC9">
          <w:pPr>
            <w:pStyle w:val="Obsah1"/>
            <w:rPr>
              <w:rFonts w:eastAsiaTheme="minorEastAsia"/>
              <w:b w:val="0"/>
              <w:bCs w:val="0"/>
              <w:caps w:val="0"/>
              <w:color w:val="auto"/>
              <w:sz w:val="22"/>
              <w:szCs w:val="22"/>
              <w:lang w:eastAsia="sk-SK"/>
            </w:rPr>
          </w:pPr>
          <w:hyperlink w:anchor="_Toc136418418" w:history="1">
            <w:r w:rsidR="00642FF1" w:rsidRPr="00136682">
              <w:rPr>
                <w:rStyle w:val="Hypertextovprepojenie"/>
              </w:rPr>
              <w:t>Tabuľková príloha</w:t>
            </w:r>
            <w:r w:rsidR="00642FF1">
              <w:rPr>
                <w:webHidden/>
              </w:rPr>
              <w:tab/>
            </w:r>
            <w:r w:rsidR="00642FF1">
              <w:rPr>
                <w:webHidden/>
              </w:rPr>
              <w:fldChar w:fldCharType="begin"/>
            </w:r>
            <w:r w:rsidR="00642FF1">
              <w:rPr>
                <w:webHidden/>
              </w:rPr>
              <w:instrText xml:space="preserve"> PAGEREF _Toc136418418 \h </w:instrText>
            </w:r>
            <w:r w:rsidR="00642FF1">
              <w:rPr>
                <w:webHidden/>
              </w:rPr>
            </w:r>
            <w:r w:rsidR="00642FF1">
              <w:rPr>
                <w:webHidden/>
              </w:rPr>
              <w:fldChar w:fldCharType="separate"/>
            </w:r>
            <w:r w:rsidR="005C3034">
              <w:rPr>
                <w:webHidden/>
              </w:rPr>
              <w:t>50</w:t>
            </w:r>
            <w:r w:rsidR="00642FF1">
              <w:rPr>
                <w:webHidden/>
              </w:rPr>
              <w:fldChar w:fldCharType="end"/>
            </w:r>
          </w:hyperlink>
        </w:p>
        <w:p w14:paraId="6C6DFD81" w14:textId="58084B3F" w:rsidR="00846EB5" w:rsidRDefault="00A4647C" w:rsidP="00846EB5">
          <w:pPr>
            <w:rPr>
              <w:b/>
              <w:bCs/>
            </w:rPr>
          </w:pPr>
          <w:r>
            <w:rPr>
              <w:rFonts w:asciiTheme="minorHAnsi" w:hAnsiTheme="minorHAnsi"/>
              <w:caps/>
              <w:szCs w:val="20"/>
            </w:rPr>
            <w:fldChar w:fldCharType="end"/>
          </w:r>
        </w:p>
      </w:sdtContent>
    </w:sdt>
    <w:bookmarkStart w:id="0" w:name="_Toc53475706" w:displacedByCustomXml="prev"/>
    <w:p w14:paraId="0C712B6C" w14:textId="02B81E45" w:rsidR="00E907D0" w:rsidRPr="00846EB5" w:rsidRDefault="00E907D0" w:rsidP="00846EB5">
      <w:pPr>
        <w:rPr>
          <w:b/>
          <w:bCs/>
        </w:rPr>
      </w:pPr>
      <w:r w:rsidRPr="003B352D">
        <w:rPr>
          <w:b/>
          <w:sz w:val="28"/>
        </w:rPr>
        <w:lastRenderedPageBreak/>
        <w:t>Zoznam</w:t>
      </w:r>
      <w:r w:rsidRPr="007816E8">
        <w:rPr>
          <w:b/>
          <w:sz w:val="28"/>
        </w:rPr>
        <w:t xml:space="preserve"> skratiek</w:t>
      </w:r>
    </w:p>
    <w:tbl>
      <w:tblPr>
        <w:tblStyle w:val="Mriekatabuky"/>
        <w:tblW w:w="562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216"/>
        <w:gridCol w:w="4815"/>
        <w:gridCol w:w="766"/>
        <w:gridCol w:w="3412"/>
      </w:tblGrid>
      <w:tr w:rsidR="00C85414" w:rsidRPr="00A703DD" w14:paraId="153F6734" w14:textId="77777777" w:rsidTr="006B7D1B">
        <w:trPr>
          <w:trHeight w:val="267"/>
          <w:jc w:val="center"/>
        </w:trPr>
        <w:tc>
          <w:tcPr>
            <w:tcW w:w="596" w:type="pct"/>
            <w:shd w:val="clear" w:color="auto" w:fill="auto"/>
          </w:tcPr>
          <w:p w14:paraId="6C9B8C7F" w14:textId="77777777" w:rsidR="00C85414" w:rsidRPr="005074F1" w:rsidRDefault="00C85414" w:rsidP="00C85414">
            <w:pPr>
              <w:spacing w:after="0"/>
              <w:jc w:val="left"/>
              <w:rPr>
                <w:color w:val="314364" w:themeColor="text2"/>
                <w:sz w:val="18"/>
                <w:szCs w:val="18"/>
              </w:rPr>
            </w:pPr>
            <w:r>
              <w:rPr>
                <w:color w:val="314364" w:themeColor="text2"/>
                <w:sz w:val="18"/>
                <w:szCs w:val="18"/>
              </w:rPr>
              <w:t>CKS</w:t>
            </w:r>
          </w:p>
        </w:tc>
        <w:tc>
          <w:tcPr>
            <w:tcW w:w="2358" w:type="pct"/>
            <w:shd w:val="clear" w:color="auto" w:fill="auto"/>
          </w:tcPr>
          <w:p w14:paraId="2669E22B" w14:textId="77777777" w:rsidR="00C85414" w:rsidRPr="005074F1" w:rsidRDefault="00C85414" w:rsidP="00C85414">
            <w:pPr>
              <w:spacing w:after="0"/>
              <w:ind w:right="299"/>
              <w:jc w:val="left"/>
              <w:rPr>
                <w:sz w:val="18"/>
                <w:szCs w:val="18"/>
              </w:rPr>
            </w:pPr>
            <w:r w:rsidRPr="002B3418">
              <w:rPr>
                <w:sz w:val="18"/>
                <w:szCs w:val="18"/>
              </w:rPr>
              <w:t>Centrum pre klasifikačný systém</w:t>
            </w:r>
          </w:p>
        </w:tc>
        <w:tc>
          <w:tcPr>
            <w:tcW w:w="375" w:type="pct"/>
            <w:shd w:val="clear" w:color="auto" w:fill="auto"/>
          </w:tcPr>
          <w:p w14:paraId="4716532D" w14:textId="14A42F3B" w:rsidR="00C85414" w:rsidRPr="005074F1" w:rsidRDefault="00C85414" w:rsidP="00C85414">
            <w:pPr>
              <w:spacing w:after="0"/>
              <w:jc w:val="left"/>
              <w:rPr>
                <w:sz w:val="18"/>
                <w:szCs w:val="18"/>
              </w:rPr>
            </w:pPr>
            <w:r w:rsidRPr="005813A1">
              <w:rPr>
                <w:color w:val="314364" w:themeColor="text2"/>
                <w:sz w:val="18"/>
                <w:szCs w:val="18"/>
              </w:rPr>
              <w:t>NP</w:t>
            </w:r>
          </w:p>
        </w:tc>
        <w:tc>
          <w:tcPr>
            <w:tcW w:w="1671" w:type="pct"/>
            <w:shd w:val="clear" w:color="auto" w:fill="auto"/>
          </w:tcPr>
          <w:p w14:paraId="3E81D118" w14:textId="79B49AE9" w:rsidR="00C85414" w:rsidRPr="005074F1" w:rsidRDefault="00C85414" w:rsidP="00C85414">
            <w:pPr>
              <w:spacing w:after="0"/>
              <w:jc w:val="left"/>
              <w:rPr>
                <w:sz w:val="18"/>
                <w:szCs w:val="18"/>
              </w:rPr>
            </w:pPr>
            <w:r>
              <w:rPr>
                <w:sz w:val="18"/>
                <w:szCs w:val="18"/>
              </w:rPr>
              <w:t>n</w:t>
            </w:r>
            <w:r w:rsidRPr="002B3418">
              <w:rPr>
                <w:sz w:val="18"/>
                <w:szCs w:val="18"/>
              </w:rPr>
              <w:t>árodný program</w:t>
            </w:r>
          </w:p>
        </w:tc>
      </w:tr>
      <w:tr w:rsidR="00C85414" w:rsidRPr="00A703DD" w14:paraId="2E2518DA" w14:textId="77777777" w:rsidTr="006B7D1B">
        <w:trPr>
          <w:trHeight w:val="267"/>
          <w:jc w:val="center"/>
        </w:trPr>
        <w:tc>
          <w:tcPr>
            <w:tcW w:w="596" w:type="pct"/>
            <w:shd w:val="clear" w:color="auto" w:fill="auto"/>
          </w:tcPr>
          <w:p w14:paraId="3C66F56E" w14:textId="77777777" w:rsidR="00C85414" w:rsidRPr="00A703DD" w:rsidRDefault="00C85414" w:rsidP="00C85414">
            <w:pPr>
              <w:spacing w:after="0"/>
              <w:jc w:val="left"/>
              <w:rPr>
                <w:color w:val="314364" w:themeColor="text2"/>
                <w:sz w:val="18"/>
                <w:szCs w:val="18"/>
                <w:highlight w:val="yellow"/>
              </w:rPr>
            </w:pPr>
            <w:r w:rsidRPr="005074F1">
              <w:rPr>
                <w:color w:val="314364" w:themeColor="text2"/>
                <w:sz w:val="18"/>
                <w:szCs w:val="18"/>
              </w:rPr>
              <w:t>COVID-19</w:t>
            </w:r>
          </w:p>
        </w:tc>
        <w:tc>
          <w:tcPr>
            <w:tcW w:w="2358" w:type="pct"/>
            <w:shd w:val="clear" w:color="auto" w:fill="auto"/>
          </w:tcPr>
          <w:p w14:paraId="54E257FF" w14:textId="7840F346" w:rsidR="00C85414" w:rsidRPr="00A703DD" w:rsidRDefault="00C85414" w:rsidP="00C85414">
            <w:pPr>
              <w:spacing w:after="0"/>
              <w:ind w:right="299"/>
              <w:jc w:val="left"/>
              <w:rPr>
                <w:sz w:val="18"/>
                <w:szCs w:val="18"/>
                <w:highlight w:val="yellow"/>
              </w:rPr>
            </w:pPr>
            <w:r>
              <w:rPr>
                <w:sz w:val="18"/>
                <w:szCs w:val="18"/>
              </w:rPr>
              <w:t>i</w:t>
            </w:r>
            <w:r w:rsidRPr="002B3418">
              <w:rPr>
                <w:sz w:val="18"/>
                <w:szCs w:val="18"/>
              </w:rPr>
              <w:t xml:space="preserve">nfekčné ochorenie vyvolané koronavírusom </w:t>
            </w:r>
            <w:r w:rsidRPr="002B3418">
              <w:rPr>
                <w:sz w:val="18"/>
                <w:szCs w:val="18"/>
              </w:rPr>
              <w:br/>
              <w:t>SARS-CoV-2</w:t>
            </w:r>
          </w:p>
        </w:tc>
        <w:tc>
          <w:tcPr>
            <w:tcW w:w="375" w:type="pct"/>
            <w:shd w:val="clear" w:color="auto" w:fill="auto"/>
          </w:tcPr>
          <w:p w14:paraId="0A56C614" w14:textId="7A977D12" w:rsidR="00C85414" w:rsidRPr="00A703DD" w:rsidRDefault="00C85414" w:rsidP="00C85414">
            <w:pPr>
              <w:spacing w:after="0"/>
              <w:jc w:val="left"/>
              <w:rPr>
                <w:sz w:val="18"/>
                <w:szCs w:val="18"/>
                <w:highlight w:val="yellow"/>
              </w:rPr>
            </w:pPr>
            <w:r>
              <w:rPr>
                <w:color w:val="314364" w:themeColor="text2"/>
                <w:sz w:val="18"/>
                <w:szCs w:val="18"/>
              </w:rPr>
              <w:t xml:space="preserve">NR </w:t>
            </w:r>
          </w:p>
        </w:tc>
        <w:tc>
          <w:tcPr>
            <w:tcW w:w="1671" w:type="pct"/>
            <w:shd w:val="clear" w:color="auto" w:fill="auto"/>
          </w:tcPr>
          <w:p w14:paraId="3DF9AB15" w14:textId="20A60378" w:rsidR="00C85414" w:rsidRPr="00A703DD" w:rsidRDefault="00C85414" w:rsidP="00C85414">
            <w:pPr>
              <w:spacing w:after="0"/>
              <w:jc w:val="left"/>
              <w:rPr>
                <w:sz w:val="18"/>
                <w:szCs w:val="18"/>
                <w:highlight w:val="yellow"/>
              </w:rPr>
            </w:pPr>
            <w:r>
              <w:rPr>
                <w:sz w:val="18"/>
                <w:szCs w:val="18"/>
              </w:rPr>
              <w:t>n</w:t>
            </w:r>
            <w:r w:rsidRPr="00390ECF">
              <w:rPr>
                <w:sz w:val="18"/>
                <w:szCs w:val="18"/>
              </w:rPr>
              <w:t>ovelizovaný rozpočet</w:t>
            </w:r>
          </w:p>
        </w:tc>
      </w:tr>
      <w:tr w:rsidR="00C85414" w:rsidRPr="00A703DD" w14:paraId="1D0A0696" w14:textId="77777777" w:rsidTr="006B7D1B">
        <w:trPr>
          <w:trHeight w:val="267"/>
          <w:jc w:val="center"/>
        </w:trPr>
        <w:tc>
          <w:tcPr>
            <w:tcW w:w="596" w:type="pct"/>
            <w:shd w:val="clear" w:color="auto" w:fill="auto"/>
          </w:tcPr>
          <w:p w14:paraId="7017E004" w14:textId="2EA9BA0E" w:rsidR="00C85414" w:rsidRPr="005074F1" w:rsidRDefault="00C85414" w:rsidP="00C85414">
            <w:pPr>
              <w:spacing w:after="0"/>
              <w:jc w:val="left"/>
              <w:rPr>
                <w:color w:val="314364" w:themeColor="text2"/>
                <w:sz w:val="18"/>
                <w:szCs w:val="18"/>
              </w:rPr>
            </w:pPr>
            <w:r>
              <w:rPr>
                <w:color w:val="314364" w:themeColor="text2"/>
                <w:sz w:val="18"/>
                <w:szCs w:val="18"/>
              </w:rPr>
              <w:t>CVTI</w:t>
            </w:r>
          </w:p>
        </w:tc>
        <w:tc>
          <w:tcPr>
            <w:tcW w:w="2358" w:type="pct"/>
            <w:shd w:val="clear" w:color="auto" w:fill="auto"/>
          </w:tcPr>
          <w:p w14:paraId="5EF9F9F4" w14:textId="3DE500D0" w:rsidR="00C85414" w:rsidRDefault="00C85414" w:rsidP="00C85414">
            <w:pPr>
              <w:spacing w:after="0"/>
              <w:ind w:right="299"/>
              <w:jc w:val="left"/>
              <w:rPr>
                <w:sz w:val="18"/>
                <w:szCs w:val="18"/>
              </w:rPr>
            </w:pPr>
            <w:r w:rsidRPr="00846EB5">
              <w:rPr>
                <w:sz w:val="18"/>
                <w:szCs w:val="18"/>
              </w:rPr>
              <w:t>Centrum vedecko-technických informácií</w:t>
            </w:r>
          </w:p>
        </w:tc>
        <w:tc>
          <w:tcPr>
            <w:tcW w:w="375" w:type="pct"/>
            <w:shd w:val="clear" w:color="auto" w:fill="auto"/>
          </w:tcPr>
          <w:p w14:paraId="36F6F343" w14:textId="0D878756" w:rsidR="00C85414" w:rsidRPr="003B719B" w:rsidRDefault="00C85414" w:rsidP="00C85414">
            <w:pPr>
              <w:spacing w:after="0"/>
              <w:jc w:val="left"/>
              <w:rPr>
                <w:color w:val="314364" w:themeColor="text2"/>
                <w:sz w:val="18"/>
                <w:szCs w:val="18"/>
              </w:rPr>
            </w:pPr>
            <w:r w:rsidRPr="00CB0C0D">
              <w:rPr>
                <w:color w:val="314364" w:themeColor="text2"/>
                <w:sz w:val="18"/>
                <w:szCs w:val="18"/>
              </w:rPr>
              <w:t>NR SR</w:t>
            </w:r>
          </w:p>
        </w:tc>
        <w:tc>
          <w:tcPr>
            <w:tcW w:w="1671" w:type="pct"/>
            <w:shd w:val="clear" w:color="auto" w:fill="auto"/>
          </w:tcPr>
          <w:p w14:paraId="3ADF2137" w14:textId="235FB726" w:rsidR="00C85414" w:rsidRPr="003B719B" w:rsidRDefault="00C85414" w:rsidP="00C85414">
            <w:pPr>
              <w:spacing w:after="0"/>
              <w:jc w:val="left"/>
              <w:rPr>
                <w:sz w:val="18"/>
                <w:szCs w:val="18"/>
              </w:rPr>
            </w:pPr>
            <w:r w:rsidRPr="002B3418">
              <w:rPr>
                <w:sz w:val="18"/>
                <w:szCs w:val="18"/>
              </w:rPr>
              <w:t>Národná rada Slovenskej republiky</w:t>
            </w:r>
          </w:p>
        </w:tc>
      </w:tr>
      <w:tr w:rsidR="00C85414" w:rsidRPr="00A703DD" w14:paraId="4FB3B01E" w14:textId="77777777" w:rsidTr="006B7D1B">
        <w:trPr>
          <w:trHeight w:val="267"/>
          <w:jc w:val="center"/>
        </w:trPr>
        <w:tc>
          <w:tcPr>
            <w:tcW w:w="596" w:type="pct"/>
            <w:shd w:val="clear" w:color="auto" w:fill="auto"/>
          </w:tcPr>
          <w:p w14:paraId="60371CF7" w14:textId="77777777" w:rsidR="00C85414" w:rsidRPr="005074F1" w:rsidRDefault="00C85414" w:rsidP="00C85414">
            <w:pPr>
              <w:spacing w:after="0"/>
              <w:jc w:val="left"/>
              <w:rPr>
                <w:color w:val="314364" w:themeColor="text2"/>
                <w:sz w:val="18"/>
                <w:szCs w:val="18"/>
              </w:rPr>
            </w:pPr>
            <w:r>
              <w:rPr>
                <w:color w:val="314364" w:themeColor="text2"/>
                <w:sz w:val="18"/>
                <w:szCs w:val="18"/>
              </w:rPr>
              <w:t>ČR</w:t>
            </w:r>
          </w:p>
        </w:tc>
        <w:tc>
          <w:tcPr>
            <w:tcW w:w="2358" w:type="pct"/>
            <w:shd w:val="clear" w:color="auto" w:fill="auto"/>
          </w:tcPr>
          <w:p w14:paraId="3D5F0B4B" w14:textId="77777777" w:rsidR="00C85414" w:rsidRPr="002B3418" w:rsidRDefault="00C85414" w:rsidP="00C85414">
            <w:pPr>
              <w:spacing w:after="0"/>
              <w:ind w:right="299"/>
              <w:jc w:val="left"/>
              <w:rPr>
                <w:sz w:val="18"/>
                <w:szCs w:val="18"/>
              </w:rPr>
            </w:pPr>
            <w:r>
              <w:rPr>
                <w:sz w:val="18"/>
                <w:szCs w:val="18"/>
              </w:rPr>
              <w:t>Česká republika</w:t>
            </w:r>
          </w:p>
        </w:tc>
        <w:tc>
          <w:tcPr>
            <w:tcW w:w="375" w:type="pct"/>
          </w:tcPr>
          <w:p w14:paraId="024114BE" w14:textId="6B898FD4" w:rsidR="00C85414" w:rsidRPr="003B719B" w:rsidRDefault="00C85414" w:rsidP="00C85414">
            <w:pPr>
              <w:spacing w:after="0"/>
              <w:jc w:val="left"/>
              <w:rPr>
                <w:color w:val="314364" w:themeColor="text2"/>
                <w:sz w:val="18"/>
                <w:szCs w:val="18"/>
              </w:rPr>
            </w:pPr>
            <w:r>
              <w:rPr>
                <w:color w:val="314364" w:themeColor="text2"/>
                <w:sz w:val="18"/>
                <w:szCs w:val="18"/>
              </w:rPr>
              <w:t>OP</w:t>
            </w:r>
          </w:p>
        </w:tc>
        <w:tc>
          <w:tcPr>
            <w:tcW w:w="1671" w:type="pct"/>
          </w:tcPr>
          <w:p w14:paraId="15C55DFF" w14:textId="175FA15E" w:rsidR="00C85414" w:rsidRPr="003B719B" w:rsidRDefault="00C85414" w:rsidP="00C85414">
            <w:pPr>
              <w:spacing w:after="0"/>
              <w:jc w:val="left"/>
              <w:rPr>
                <w:sz w:val="18"/>
                <w:szCs w:val="18"/>
              </w:rPr>
            </w:pPr>
            <w:r w:rsidRPr="002B3418">
              <w:rPr>
                <w:sz w:val="18"/>
                <w:szCs w:val="18"/>
              </w:rPr>
              <w:t>operačný program</w:t>
            </w:r>
          </w:p>
        </w:tc>
      </w:tr>
      <w:tr w:rsidR="00C85414" w:rsidRPr="00A703DD" w14:paraId="5BDFE4E0" w14:textId="77777777" w:rsidTr="006B7D1B">
        <w:trPr>
          <w:trHeight w:val="267"/>
          <w:jc w:val="center"/>
        </w:trPr>
        <w:tc>
          <w:tcPr>
            <w:tcW w:w="596" w:type="pct"/>
            <w:shd w:val="clear" w:color="auto" w:fill="auto"/>
          </w:tcPr>
          <w:p w14:paraId="3B784D62" w14:textId="77777777" w:rsidR="00C85414" w:rsidRPr="00A703DD" w:rsidRDefault="00C85414" w:rsidP="00C85414">
            <w:pPr>
              <w:spacing w:after="0"/>
              <w:jc w:val="left"/>
              <w:rPr>
                <w:color w:val="314364" w:themeColor="text2"/>
                <w:sz w:val="18"/>
                <w:szCs w:val="18"/>
                <w:highlight w:val="yellow"/>
              </w:rPr>
            </w:pPr>
            <w:r w:rsidRPr="00E02EE7">
              <w:rPr>
                <w:color w:val="314364" w:themeColor="text2"/>
                <w:sz w:val="18"/>
                <w:szCs w:val="18"/>
              </w:rPr>
              <w:t>DPFO</w:t>
            </w:r>
          </w:p>
        </w:tc>
        <w:tc>
          <w:tcPr>
            <w:tcW w:w="2358" w:type="pct"/>
            <w:shd w:val="clear" w:color="auto" w:fill="auto"/>
          </w:tcPr>
          <w:p w14:paraId="113D8451" w14:textId="145C2D31" w:rsidR="00C85414" w:rsidRPr="00A703DD" w:rsidRDefault="00C85414" w:rsidP="00C85414">
            <w:pPr>
              <w:spacing w:after="0"/>
              <w:ind w:right="299"/>
              <w:jc w:val="left"/>
              <w:rPr>
                <w:sz w:val="18"/>
                <w:szCs w:val="18"/>
                <w:highlight w:val="yellow"/>
              </w:rPr>
            </w:pPr>
            <w:r>
              <w:rPr>
                <w:sz w:val="18"/>
                <w:szCs w:val="18"/>
              </w:rPr>
              <w:t>d</w:t>
            </w:r>
            <w:r w:rsidRPr="002B3418">
              <w:rPr>
                <w:sz w:val="18"/>
                <w:szCs w:val="18"/>
              </w:rPr>
              <w:t>aň z príjmov fyzických osôb</w:t>
            </w:r>
          </w:p>
        </w:tc>
        <w:tc>
          <w:tcPr>
            <w:tcW w:w="375" w:type="pct"/>
          </w:tcPr>
          <w:p w14:paraId="0009D77E" w14:textId="3126AA42" w:rsidR="00C85414" w:rsidRPr="00A703DD" w:rsidRDefault="00C85414" w:rsidP="00C85414">
            <w:pPr>
              <w:spacing w:after="0"/>
              <w:jc w:val="left"/>
              <w:rPr>
                <w:sz w:val="18"/>
                <w:szCs w:val="18"/>
                <w:highlight w:val="yellow"/>
              </w:rPr>
            </w:pPr>
            <w:r>
              <w:rPr>
                <w:color w:val="314364" w:themeColor="text2"/>
                <w:sz w:val="18"/>
                <w:szCs w:val="18"/>
              </w:rPr>
              <w:t>PO</w:t>
            </w:r>
          </w:p>
        </w:tc>
        <w:tc>
          <w:tcPr>
            <w:tcW w:w="1671" w:type="pct"/>
          </w:tcPr>
          <w:p w14:paraId="149CBBDE" w14:textId="335E6D89" w:rsidR="00C85414" w:rsidRPr="00A703DD" w:rsidRDefault="00C85414" w:rsidP="00C85414">
            <w:pPr>
              <w:spacing w:after="0"/>
              <w:jc w:val="left"/>
              <w:rPr>
                <w:sz w:val="18"/>
                <w:szCs w:val="18"/>
                <w:highlight w:val="yellow"/>
              </w:rPr>
            </w:pPr>
            <w:r w:rsidRPr="002B3418">
              <w:rPr>
                <w:sz w:val="18"/>
                <w:szCs w:val="18"/>
              </w:rPr>
              <w:t>programové obdobie</w:t>
            </w:r>
          </w:p>
        </w:tc>
      </w:tr>
      <w:tr w:rsidR="00C85414" w:rsidRPr="00A703DD" w14:paraId="6C55B541" w14:textId="77777777" w:rsidTr="006B7D1B">
        <w:trPr>
          <w:trHeight w:val="267"/>
          <w:jc w:val="center"/>
        </w:trPr>
        <w:tc>
          <w:tcPr>
            <w:tcW w:w="596" w:type="pct"/>
            <w:shd w:val="clear" w:color="auto" w:fill="auto"/>
          </w:tcPr>
          <w:p w14:paraId="375C59D5" w14:textId="77777777" w:rsidR="00C85414" w:rsidRPr="00A703DD" w:rsidRDefault="00C85414" w:rsidP="00C85414">
            <w:pPr>
              <w:spacing w:after="0"/>
              <w:jc w:val="left"/>
              <w:rPr>
                <w:color w:val="314364" w:themeColor="text2"/>
                <w:sz w:val="18"/>
                <w:szCs w:val="18"/>
                <w:highlight w:val="yellow"/>
              </w:rPr>
            </w:pPr>
            <w:r>
              <w:rPr>
                <w:color w:val="314364" w:themeColor="text2"/>
                <w:sz w:val="18"/>
                <w:szCs w:val="18"/>
              </w:rPr>
              <w:t>DPPO</w:t>
            </w:r>
          </w:p>
        </w:tc>
        <w:tc>
          <w:tcPr>
            <w:tcW w:w="2358" w:type="pct"/>
            <w:shd w:val="clear" w:color="auto" w:fill="auto"/>
          </w:tcPr>
          <w:p w14:paraId="6CEF1CB0" w14:textId="258BDC67" w:rsidR="00C85414" w:rsidRPr="00A703DD" w:rsidRDefault="00C85414" w:rsidP="00C85414">
            <w:pPr>
              <w:spacing w:after="0"/>
              <w:ind w:right="299"/>
              <w:jc w:val="left"/>
              <w:rPr>
                <w:sz w:val="18"/>
                <w:szCs w:val="18"/>
                <w:highlight w:val="yellow"/>
              </w:rPr>
            </w:pPr>
            <w:r>
              <w:rPr>
                <w:sz w:val="18"/>
                <w:szCs w:val="18"/>
              </w:rPr>
              <w:t>d</w:t>
            </w:r>
            <w:r w:rsidRPr="002B3418">
              <w:rPr>
                <w:sz w:val="18"/>
                <w:szCs w:val="18"/>
              </w:rPr>
              <w:t>aň z príjmov právnických osôb</w:t>
            </w:r>
          </w:p>
        </w:tc>
        <w:tc>
          <w:tcPr>
            <w:tcW w:w="375" w:type="pct"/>
          </w:tcPr>
          <w:p w14:paraId="2C2C83C0" w14:textId="489CE627" w:rsidR="00C85414" w:rsidRPr="00A703DD" w:rsidRDefault="00C85414" w:rsidP="00C85414">
            <w:pPr>
              <w:spacing w:after="0"/>
              <w:jc w:val="left"/>
              <w:rPr>
                <w:sz w:val="18"/>
                <w:szCs w:val="18"/>
                <w:highlight w:val="yellow"/>
              </w:rPr>
            </w:pPr>
            <w:r w:rsidRPr="003B719B">
              <w:rPr>
                <w:color w:val="314364" w:themeColor="text2"/>
                <w:sz w:val="18"/>
                <w:szCs w:val="18"/>
              </w:rPr>
              <w:t>POO</w:t>
            </w:r>
          </w:p>
        </w:tc>
        <w:tc>
          <w:tcPr>
            <w:tcW w:w="1671" w:type="pct"/>
          </w:tcPr>
          <w:p w14:paraId="42C7214F" w14:textId="463647A6" w:rsidR="00C85414" w:rsidRPr="00A703DD" w:rsidRDefault="00C85414" w:rsidP="00C85414">
            <w:pPr>
              <w:spacing w:after="0"/>
              <w:jc w:val="left"/>
              <w:rPr>
                <w:sz w:val="18"/>
                <w:szCs w:val="18"/>
                <w:highlight w:val="yellow"/>
              </w:rPr>
            </w:pPr>
            <w:r w:rsidRPr="003B719B">
              <w:rPr>
                <w:sz w:val="18"/>
                <w:szCs w:val="18"/>
              </w:rPr>
              <w:t>Plán obnovy a odolnosti</w:t>
            </w:r>
          </w:p>
        </w:tc>
      </w:tr>
      <w:tr w:rsidR="00C85414" w:rsidRPr="00A703DD" w14:paraId="365C3154" w14:textId="77777777" w:rsidTr="006B7D1B">
        <w:trPr>
          <w:trHeight w:val="267"/>
          <w:jc w:val="center"/>
        </w:trPr>
        <w:tc>
          <w:tcPr>
            <w:tcW w:w="596" w:type="pct"/>
            <w:shd w:val="clear" w:color="auto" w:fill="auto"/>
          </w:tcPr>
          <w:p w14:paraId="2F176B7C" w14:textId="77777777" w:rsidR="00C85414" w:rsidRPr="00A703DD" w:rsidRDefault="00C85414" w:rsidP="00C85414">
            <w:pPr>
              <w:spacing w:after="0"/>
              <w:jc w:val="left"/>
              <w:rPr>
                <w:color w:val="314364" w:themeColor="text2"/>
                <w:sz w:val="18"/>
                <w:szCs w:val="18"/>
                <w:highlight w:val="yellow"/>
              </w:rPr>
            </w:pPr>
            <w:r w:rsidRPr="00CB0C0D">
              <w:rPr>
                <w:color w:val="314364" w:themeColor="text2"/>
                <w:sz w:val="18"/>
                <w:szCs w:val="18"/>
              </w:rPr>
              <w:t>DPH</w:t>
            </w:r>
          </w:p>
        </w:tc>
        <w:tc>
          <w:tcPr>
            <w:tcW w:w="2358" w:type="pct"/>
            <w:shd w:val="clear" w:color="auto" w:fill="auto"/>
          </w:tcPr>
          <w:p w14:paraId="30834B0A" w14:textId="4D164CB2" w:rsidR="00C85414" w:rsidRPr="00A703DD" w:rsidRDefault="00C85414" w:rsidP="00C85414">
            <w:pPr>
              <w:spacing w:after="0"/>
              <w:ind w:right="299"/>
              <w:jc w:val="left"/>
              <w:rPr>
                <w:sz w:val="18"/>
                <w:szCs w:val="18"/>
                <w:highlight w:val="yellow"/>
              </w:rPr>
            </w:pPr>
            <w:r>
              <w:rPr>
                <w:sz w:val="18"/>
                <w:szCs w:val="18"/>
              </w:rPr>
              <w:t>d</w:t>
            </w:r>
            <w:r w:rsidRPr="002B3418">
              <w:rPr>
                <w:sz w:val="18"/>
                <w:szCs w:val="18"/>
              </w:rPr>
              <w:t>aň z pridanej hodnoty</w:t>
            </w:r>
          </w:p>
        </w:tc>
        <w:tc>
          <w:tcPr>
            <w:tcW w:w="375" w:type="pct"/>
          </w:tcPr>
          <w:p w14:paraId="37E2940D" w14:textId="2B679135" w:rsidR="00C85414" w:rsidRPr="00A703DD" w:rsidRDefault="00C85414" w:rsidP="00C85414">
            <w:pPr>
              <w:spacing w:after="0"/>
              <w:jc w:val="left"/>
              <w:rPr>
                <w:sz w:val="18"/>
                <w:szCs w:val="18"/>
                <w:highlight w:val="yellow"/>
              </w:rPr>
            </w:pPr>
            <w:r>
              <w:rPr>
                <w:color w:val="314364" w:themeColor="text2"/>
                <w:sz w:val="18"/>
                <w:szCs w:val="18"/>
              </w:rPr>
              <w:t>R</w:t>
            </w:r>
          </w:p>
        </w:tc>
        <w:tc>
          <w:tcPr>
            <w:tcW w:w="1671" w:type="pct"/>
          </w:tcPr>
          <w:p w14:paraId="0A569343" w14:textId="3F3A794B" w:rsidR="00C85414" w:rsidRPr="00A703DD" w:rsidRDefault="00C85414" w:rsidP="00C85414">
            <w:pPr>
              <w:spacing w:after="0"/>
              <w:jc w:val="left"/>
              <w:rPr>
                <w:sz w:val="18"/>
                <w:szCs w:val="18"/>
                <w:highlight w:val="yellow"/>
              </w:rPr>
            </w:pPr>
            <w:r>
              <w:rPr>
                <w:sz w:val="18"/>
                <w:szCs w:val="18"/>
              </w:rPr>
              <w:t>rozpočet</w:t>
            </w:r>
          </w:p>
        </w:tc>
      </w:tr>
      <w:tr w:rsidR="00C85414" w:rsidRPr="00A703DD" w14:paraId="2D772BDF" w14:textId="77777777" w:rsidTr="006B7D1B">
        <w:trPr>
          <w:trHeight w:val="267"/>
          <w:jc w:val="center"/>
        </w:trPr>
        <w:tc>
          <w:tcPr>
            <w:tcW w:w="596" w:type="pct"/>
            <w:shd w:val="clear" w:color="auto" w:fill="auto"/>
          </w:tcPr>
          <w:p w14:paraId="09DD4201" w14:textId="77777777" w:rsidR="00C85414" w:rsidRPr="00A703DD" w:rsidRDefault="00C85414" w:rsidP="00C85414">
            <w:pPr>
              <w:spacing w:after="0"/>
              <w:jc w:val="left"/>
              <w:rPr>
                <w:color w:val="314364" w:themeColor="text2"/>
                <w:sz w:val="18"/>
                <w:szCs w:val="18"/>
                <w:highlight w:val="yellow"/>
              </w:rPr>
            </w:pPr>
            <w:r w:rsidRPr="0009391F">
              <w:rPr>
                <w:color w:val="314364" w:themeColor="text2"/>
                <w:sz w:val="18"/>
                <w:szCs w:val="18"/>
              </w:rPr>
              <w:t>DRG</w:t>
            </w:r>
          </w:p>
        </w:tc>
        <w:tc>
          <w:tcPr>
            <w:tcW w:w="2358" w:type="pct"/>
            <w:shd w:val="clear" w:color="auto" w:fill="auto"/>
          </w:tcPr>
          <w:p w14:paraId="0839D5B7" w14:textId="77777777" w:rsidR="00C85414" w:rsidRPr="00A703DD" w:rsidRDefault="00C85414" w:rsidP="00C85414">
            <w:pPr>
              <w:spacing w:after="0"/>
              <w:ind w:right="299"/>
              <w:jc w:val="left"/>
              <w:rPr>
                <w:sz w:val="18"/>
                <w:szCs w:val="18"/>
                <w:highlight w:val="yellow"/>
              </w:rPr>
            </w:pPr>
            <w:proofErr w:type="spellStart"/>
            <w:r w:rsidRPr="002B3418">
              <w:rPr>
                <w:sz w:val="18"/>
                <w:szCs w:val="18"/>
              </w:rPr>
              <w:t>Diagnoses</w:t>
            </w:r>
            <w:proofErr w:type="spellEnd"/>
            <w:r w:rsidRPr="002B3418">
              <w:rPr>
                <w:sz w:val="18"/>
                <w:szCs w:val="18"/>
              </w:rPr>
              <w:t xml:space="preserve"> </w:t>
            </w:r>
            <w:proofErr w:type="spellStart"/>
            <w:r w:rsidRPr="002B3418">
              <w:rPr>
                <w:sz w:val="18"/>
                <w:szCs w:val="18"/>
              </w:rPr>
              <w:t>Related</w:t>
            </w:r>
            <w:proofErr w:type="spellEnd"/>
            <w:r w:rsidRPr="002B3418">
              <w:rPr>
                <w:sz w:val="18"/>
                <w:szCs w:val="18"/>
              </w:rPr>
              <w:t xml:space="preserve"> </w:t>
            </w:r>
            <w:proofErr w:type="spellStart"/>
            <w:r w:rsidRPr="002B3418">
              <w:rPr>
                <w:sz w:val="18"/>
                <w:szCs w:val="18"/>
              </w:rPr>
              <w:t>Groups</w:t>
            </w:r>
            <w:proofErr w:type="spellEnd"/>
            <w:r w:rsidRPr="002B3418">
              <w:rPr>
                <w:sz w:val="18"/>
                <w:szCs w:val="18"/>
              </w:rPr>
              <w:t xml:space="preserve"> (Skupiny súvisiacich diagnóz)</w:t>
            </w:r>
          </w:p>
        </w:tc>
        <w:tc>
          <w:tcPr>
            <w:tcW w:w="375" w:type="pct"/>
          </w:tcPr>
          <w:p w14:paraId="2DC88D8C" w14:textId="414C0052" w:rsidR="00C85414" w:rsidRPr="00A703DD" w:rsidRDefault="00C85414" w:rsidP="00C85414">
            <w:pPr>
              <w:spacing w:after="0"/>
              <w:jc w:val="left"/>
              <w:rPr>
                <w:sz w:val="18"/>
                <w:szCs w:val="18"/>
                <w:highlight w:val="yellow"/>
              </w:rPr>
            </w:pPr>
            <w:r w:rsidRPr="005074F1">
              <w:rPr>
                <w:color w:val="314364" w:themeColor="text2"/>
                <w:sz w:val="18"/>
                <w:szCs w:val="18"/>
              </w:rPr>
              <w:t>RIS</w:t>
            </w:r>
          </w:p>
        </w:tc>
        <w:tc>
          <w:tcPr>
            <w:tcW w:w="1671" w:type="pct"/>
          </w:tcPr>
          <w:p w14:paraId="01EAF2F4" w14:textId="1BB52DF9" w:rsidR="00C85414" w:rsidRPr="00A703DD" w:rsidRDefault="00C85414" w:rsidP="00C85414">
            <w:pPr>
              <w:spacing w:after="0"/>
              <w:jc w:val="left"/>
              <w:rPr>
                <w:sz w:val="18"/>
                <w:szCs w:val="18"/>
                <w:highlight w:val="yellow"/>
              </w:rPr>
            </w:pPr>
            <w:r w:rsidRPr="005074F1">
              <w:rPr>
                <w:sz w:val="18"/>
                <w:szCs w:val="18"/>
              </w:rPr>
              <w:t>Rozpočtový informačný systém</w:t>
            </w:r>
          </w:p>
        </w:tc>
      </w:tr>
      <w:tr w:rsidR="00C85414" w:rsidRPr="00A703DD" w14:paraId="697C05D5" w14:textId="77777777" w:rsidTr="006B7D1B">
        <w:trPr>
          <w:trHeight w:val="267"/>
          <w:jc w:val="center"/>
        </w:trPr>
        <w:tc>
          <w:tcPr>
            <w:tcW w:w="596" w:type="pct"/>
            <w:shd w:val="clear" w:color="auto" w:fill="auto"/>
          </w:tcPr>
          <w:p w14:paraId="4FDACA74" w14:textId="77777777" w:rsidR="00C85414" w:rsidRPr="00A703DD" w:rsidRDefault="00C85414" w:rsidP="00C85414">
            <w:pPr>
              <w:spacing w:after="0"/>
              <w:jc w:val="left"/>
              <w:rPr>
                <w:color w:val="314364" w:themeColor="text2"/>
                <w:sz w:val="18"/>
                <w:szCs w:val="18"/>
                <w:highlight w:val="yellow"/>
              </w:rPr>
            </w:pPr>
            <w:r w:rsidRPr="009468BD">
              <w:rPr>
                <w:color w:val="314364" w:themeColor="text2"/>
                <w:sz w:val="18"/>
                <w:szCs w:val="18"/>
              </w:rPr>
              <w:t>ECB</w:t>
            </w:r>
          </w:p>
        </w:tc>
        <w:tc>
          <w:tcPr>
            <w:tcW w:w="2358" w:type="pct"/>
            <w:shd w:val="clear" w:color="auto" w:fill="auto"/>
          </w:tcPr>
          <w:p w14:paraId="179596B7" w14:textId="77777777" w:rsidR="00C85414" w:rsidRPr="00A703DD" w:rsidRDefault="00C85414" w:rsidP="00C85414">
            <w:pPr>
              <w:spacing w:after="0"/>
              <w:ind w:right="299"/>
              <w:jc w:val="left"/>
              <w:rPr>
                <w:sz w:val="18"/>
                <w:szCs w:val="18"/>
                <w:highlight w:val="yellow"/>
              </w:rPr>
            </w:pPr>
            <w:r w:rsidRPr="002B3418">
              <w:rPr>
                <w:sz w:val="18"/>
                <w:szCs w:val="18"/>
              </w:rPr>
              <w:t>Európska centrálna banka</w:t>
            </w:r>
          </w:p>
        </w:tc>
        <w:tc>
          <w:tcPr>
            <w:tcW w:w="375" w:type="pct"/>
          </w:tcPr>
          <w:p w14:paraId="60C3A466" w14:textId="10B15751" w:rsidR="00C85414" w:rsidRPr="00A703DD" w:rsidRDefault="00C85414" w:rsidP="00C85414">
            <w:pPr>
              <w:spacing w:after="0"/>
              <w:jc w:val="left"/>
              <w:rPr>
                <w:sz w:val="18"/>
                <w:szCs w:val="18"/>
                <w:highlight w:val="yellow"/>
              </w:rPr>
            </w:pPr>
            <w:r w:rsidRPr="00473761">
              <w:rPr>
                <w:color w:val="314364" w:themeColor="text2"/>
                <w:sz w:val="18"/>
                <w:szCs w:val="18"/>
              </w:rPr>
              <w:t>RO</w:t>
            </w:r>
          </w:p>
        </w:tc>
        <w:tc>
          <w:tcPr>
            <w:tcW w:w="1671" w:type="pct"/>
          </w:tcPr>
          <w:p w14:paraId="4C86C68E" w14:textId="7E6F7831" w:rsidR="00C85414" w:rsidRPr="00A703DD" w:rsidRDefault="00C85414" w:rsidP="00C85414">
            <w:pPr>
              <w:spacing w:after="0"/>
              <w:jc w:val="left"/>
              <w:rPr>
                <w:sz w:val="18"/>
                <w:szCs w:val="18"/>
                <w:highlight w:val="yellow"/>
              </w:rPr>
            </w:pPr>
            <w:r w:rsidRPr="00473761">
              <w:rPr>
                <w:sz w:val="18"/>
                <w:szCs w:val="18"/>
              </w:rPr>
              <w:t>rozpočtové opatrenie</w:t>
            </w:r>
          </w:p>
        </w:tc>
      </w:tr>
      <w:tr w:rsidR="00AF0DDD" w:rsidRPr="00A703DD" w14:paraId="7F91AD23" w14:textId="77777777" w:rsidTr="006B7D1B">
        <w:trPr>
          <w:trHeight w:val="267"/>
          <w:jc w:val="center"/>
        </w:trPr>
        <w:tc>
          <w:tcPr>
            <w:tcW w:w="596" w:type="pct"/>
            <w:shd w:val="clear" w:color="auto" w:fill="auto"/>
          </w:tcPr>
          <w:p w14:paraId="35631DE5" w14:textId="3C40CF49" w:rsidR="00AF0DDD" w:rsidRPr="009468BD" w:rsidRDefault="00AF0DDD" w:rsidP="00AF0DDD">
            <w:pPr>
              <w:spacing w:after="0"/>
              <w:jc w:val="left"/>
              <w:rPr>
                <w:color w:val="314364" w:themeColor="text2"/>
                <w:sz w:val="18"/>
                <w:szCs w:val="18"/>
              </w:rPr>
            </w:pPr>
            <w:r>
              <w:rPr>
                <w:color w:val="314364" w:themeColor="text2"/>
                <w:sz w:val="18"/>
                <w:szCs w:val="18"/>
              </w:rPr>
              <w:t>EDA</w:t>
            </w:r>
          </w:p>
        </w:tc>
        <w:tc>
          <w:tcPr>
            <w:tcW w:w="2358" w:type="pct"/>
            <w:shd w:val="clear" w:color="auto" w:fill="auto"/>
          </w:tcPr>
          <w:p w14:paraId="367EB8FA" w14:textId="37DE81E6" w:rsidR="00AF0DDD" w:rsidRPr="002B3418" w:rsidRDefault="00AF0DDD" w:rsidP="00AF0DDD">
            <w:pPr>
              <w:spacing w:after="0"/>
              <w:ind w:right="299"/>
              <w:jc w:val="left"/>
              <w:rPr>
                <w:sz w:val="18"/>
                <w:szCs w:val="18"/>
              </w:rPr>
            </w:pPr>
            <w:r>
              <w:rPr>
                <w:sz w:val="18"/>
                <w:szCs w:val="18"/>
              </w:rPr>
              <w:t xml:space="preserve">Európsky dvor </w:t>
            </w:r>
            <w:proofErr w:type="spellStart"/>
            <w:r>
              <w:rPr>
                <w:sz w:val="18"/>
                <w:szCs w:val="18"/>
              </w:rPr>
              <w:t>auditorov</w:t>
            </w:r>
            <w:proofErr w:type="spellEnd"/>
          </w:p>
        </w:tc>
        <w:tc>
          <w:tcPr>
            <w:tcW w:w="375" w:type="pct"/>
          </w:tcPr>
          <w:p w14:paraId="368B200B" w14:textId="20C98F12" w:rsidR="00AF0DDD" w:rsidRPr="00473761" w:rsidRDefault="00AF0DDD" w:rsidP="00AF0DDD">
            <w:pPr>
              <w:spacing w:after="0"/>
              <w:jc w:val="left"/>
              <w:rPr>
                <w:color w:val="314364" w:themeColor="text2"/>
                <w:sz w:val="18"/>
                <w:szCs w:val="18"/>
              </w:rPr>
            </w:pPr>
            <w:r w:rsidRPr="00C05C6C">
              <w:rPr>
                <w:color w:val="314364" w:themeColor="text2"/>
                <w:sz w:val="18"/>
                <w:szCs w:val="18"/>
              </w:rPr>
              <w:t>S</w:t>
            </w:r>
          </w:p>
        </w:tc>
        <w:tc>
          <w:tcPr>
            <w:tcW w:w="1671" w:type="pct"/>
          </w:tcPr>
          <w:p w14:paraId="12591BF1" w14:textId="6F82636D" w:rsidR="00AF0DDD" w:rsidRPr="00473761" w:rsidRDefault="00AF0DDD" w:rsidP="00AF0DDD">
            <w:pPr>
              <w:spacing w:after="0"/>
              <w:jc w:val="left"/>
              <w:rPr>
                <w:sz w:val="18"/>
                <w:szCs w:val="18"/>
              </w:rPr>
            </w:pPr>
            <w:r w:rsidRPr="00C05C6C">
              <w:rPr>
                <w:sz w:val="18"/>
                <w:szCs w:val="18"/>
              </w:rPr>
              <w:t>skutočnosť</w:t>
            </w:r>
          </w:p>
        </w:tc>
      </w:tr>
      <w:tr w:rsidR="00AF0DDD" w:rsidRPr="00A703DD" w14:paraId="167ED4F8" w14:textId="77777777" w:rsidTr="006B7D1B">
        <w:trPr>
          <w:trHeight w:val="267"/>
          <w:jc w:val="center"/>
        </w:trPr>
        <w:tc>
          <w:tcPr>
            <w:tcW w:w="596" w:type="pct"/>
            <w:shd w:val="clear" w:color="auto" w:fill="auto"/>
          </w:tcPr>
          <w:p w14:paraId="55F8AAD2" w14:textId="77777777" w:rsidR="00AF0DDD" w:rsidRPr="00A703DD" w:rsidRDefault="00AF0DDD" w:rsidP="00AF0DDD">
            <w:pPr>
              <w:spacing w:after="0"/>
              <w:jc w:val="left"/>
              <w:rPr>
                <w:color w:val="314364" w:themeColor="text2"/>
                <w:sz w:val="18"/>
                <w:szCs w:val="18"/>
                <w:highlight w:val="yellow"/>
              </w:rPr>
            </w:pPr>
            <w:r w:rsidRPr="00837CC3">
              <w:rPr>
                <w:color w:val="314364" w:themeColor="text2"/>
                <w:sz w:val="18"/>
                <w:szCs w:val="18"/>
              </w:rPr>
              <w:t>EFSF</w:t>
            </w:r>
          </w:p>
        </w:tc>
        <w:tc>
          <w:tcPr>
            <w:tcW w:w="2358" w:type="pct"/>
            <w:shd w:val="clear" w:color="auto" w:fill="auto"/>
          </w:tcPr>
          <w:p w14:paraId="3FBE3074" w14:textId="77777777" w:rsidR="00AF0DDD" w:rsidRPr="00A703DD" w:rsidRDefault="00AF0DDD" w:rsidP="00AF0DDD">
            <w:pPr>
              <w:spacing w:after="0"/>
              <w:ind w:right="299"/>
              <w:jc w:val="left"/>
              <w:rPr>
                <w:sz w:val="18"/>
                <w:szCs w:val="18"/>
                <w:highlight w:val="yellow"/>
              </w:rPr>
            </w:pPr>
            <w:r w:rsidRPr="002B3418">
              <w:rPr>
                <w:sz w:val="18"/>
                <w:szCs w:val="18"/>
              </w:rPr>
              <w:t>Európsky nástroj finančnej stability</w:t>
            </w:r>
          </w:p>
        </w:tc>
        <w:tc>
          <w:tcPr>
            <w:tcW w:w="375" w:type="pct"/>
          </w:tcPr>
          <w:p w14:paraId="7E5596C5" w14:textId="782D4E25" w:rsidR="00AF0DDD" w:rsidRPr="00A703DD" w:rsidRDefault="00AF0DDD" w:rsidP="00AF0DDD">
            <w:pPr>
              <w:spacing w:after="0"/>
              <w:jc w:val="left"/>
              <w:rPr>
                <w:sz w:val="18"/>
                <w:szCs w:val="18"/>
                <w:highlight w:val="yellow"/>
              </w:rPr>
            </w:pPr>
            <w:r>
              <w:rPr>
                <w:color w:val="314364" w:themeColor="text2"/>
                <w:sz w:val="18"/>
                <w:szCs w:val="18"/>
              </w:rPr>
              <w:t>SP</w:t>
            </w:r>
          </w:p>
        </w:tc>
        <w:tc>
          <w:tcPr>
            <w:tcW w:w="1671" w:type="pct"/>
          </w:tcPr>
          <w:p w14:paraId="34861275" w14:textId="7D1BE3E3" w:rsidR="00AF0DDD" w:rsidRPr="00A703DD" w:rsidRDefault="00AF0DDD" w:rsidP="00AF0DDD">
            <w:pPr>
              <w:spacing w:after="0"/>
              <w:jc w:val="left"/>
              <w:rPr>
                <w:sz w:val="18"/>
                <w:szCs w:val="18"/>
                <w:highlight w:val="yellow"/>
              </w:rPr>
            </w:pPr>
            <w:r w:rsidRPr="002B3418">
              <w:rPr>
                <w:sz w:val="18"/>
                <w:szCs w:val="18"/>
              </w:rPr>
              <w:t>Sociálna poisťovňa</w:t>
            </w:r>
          </w:p>
        </w:tc>
      </w:tr>
      <w:tr w:rsidR="00AF0DDD" w:rsidRPr="00A703DD" w14:paraId="259BD7AA" w14:textId="77777777" w:rsidTr="006B7D1B">
        <w:trPr>
          <w:trHeight w:val="267"/>
          <w:jc w:val="center"/>
        </w:trPr>
        <w:tc>
          <w:tcPr>
            <w:tcW w:w="596" w:type="pct"/>
            <w:shd w:val="clear" w:color="auto" w:fill="auto"/>
          </w:tcPr>
          <w:p w14:paraId="1ABCE5FE" w14:textId="77777777" w:rsidR="00AF0DDD" w:rsidRPr="00A703DD" w:rsidRDefault="00AF0DDD" w:rsidP="00AF0DDD">
            <w:pPr>
              <w:spacing w:after="0"/>
              <w:jc w:val="left"/>
              <w:rPr>
                <w:color w:val="314364" w:themeColor="text2"/>
                <w:sz w:val="18"/>
                <w:szCs w:val="18"/>
                <w:highlight w:val="yellow"/>
              </w:rPr>
            </w:pPr>
            <w:r w:rsidRPr="00C33EA8">
              <w:rPr>
                <w:color w:val="314364" w:themeColor="text2"/>
                <w:sz w:val="18"/>
                <w:szCs w:val="18"/>
              </w:rPr>
              <w:t>EK</w:t>
            </w:r>
          </w:p>
        </w:tc>
        <w:tc>
          <w:tcPr>
            <w:tcW w:w="2358" w:type="pct"/>
            <w:shd w:val="clear" w:color="auto" w:fill="auto"/>
          </w:tcPr>
          <w:p w14:paraId="5BD00814" w14:textId="77777777" w:rsidR="00AF0DDD" w:rsidRPr="00A703DD" w:rsidRDefault="00AF0DDD" w:rsidP="00AF0DDD">
            <w:pPr>
              <w:spacing w:after="0"/>
              <w:ind w:right="299"/>
              <w:jc w:val="left"/>
              <w:rPr>
                <w:sz w:val="18"/>
                <w:szCs w:val="18"/>
                <w:highlight w:val="yellow"/>
              </w:rPr>
            </w:pPr>
            <w:r w:rsidRPr="002B3418">
              <w:rPr>
                <w:sz w:val="18"/>
                <w:szCs w:val="18"/>
              </w:rPr>
              <w:t>Európska komisia</w:t>
            </w:r>
          </w:p>
        </w:tc>
        <w:tc>
          <w:tcPr>
            <w:tcW w:w="375" w:type="pct"/>
          </w:tcPr>
          <w:p w14:paraId="56D2DA0E" w14:textId="320284CF" w:rsidR="00AF0DDD" w:rsidRPr="00A703DD" w:rsidRDefault="00AF0DDD" w:rsidP="00AF0DDD">
            <w:pPr>
              <w:spacing w:after="0"/>
              <w:jc w:val="left"/>
              <w:rPr>
                <w:sz w:val="18"/>
                <w:szCs w:val="18"/>
                <w:highlight w:val="yellow"/>
              </w:rPr>
            </w:pPr>
            <w:r w:rsidRPr="007818A2">
              <w:rPr>
                <w:color w:val="314364" w:themeColor="text2"/>
                <w:sz w:val="18"/>
                <w:szCs w:val="18"/>
              </w:rPr>
              <w:t>SR</w:t>
            </w:r>
          </w:p>
        </w:tc>
        <w:tc>
          <w:tcPr>
            <w:tcW w:w="1671" w:type="pct"/>
          </w:tcPr>
          <w:p w14:paraId="72042F6A" w14:textId="25ADD118" w:rsidR="00AF0DDD" w:rsidRPr="00A703DD" w:rsidRDefault="00AF0DDD" w:rsidP="00AF0DDD">
            <w:pPr>
              <w:spacing w:after="0"/>
              <w:jc w:val="left"/>
              <w:rPr>
                <w:sz w:val="18"/>
                <w:szCs w:val="18"/>
                <w:highlight w:val="yellow"/>
              </w:rPr>
            </w:pPr>
            <w:r w:rsidRPr="007818A2">
              <w:rPr>
                <w:sz w:val="18"/>
                <w:szCs w:val="18"/>
              </w:rPr>
              <w:t>Slovenská republika</w:t>
            </w:r>
          </w:p>
        </w:tc>
      </w:tr>
      <w:tr w:rsidR="00AF0DDD" w:rsidRPr="00A703DD" w14:paraId="13F6F7C1" w14:textId="77777777" w:rsidTr="006B7D1B">
        <w:trPr>
          <w:trHeight w:val="267"/>
          <w:jc w:val="center"/>
        </w:trPr>
        <w:tc>
          <w:tcPr>
            <w:tcW w:w="596" w:type="pct"/>
            <w:shd w:val="clear" w:color="auto" w:fill="auto"/>
          </w:tcPr>
          <w:p w14:paraId="66AD6CCC" w14:textId="77777777" w:rsidR="00AF0DDD" w:rsidRPr="00A703DD" w:rsidRDefault="00AF0DDD" w:rsidP="00AF0DDD">
            <w:pPr>
              <w:spacing w:after="0"/>
              <w:jc w:val="left"/>
              <w:rPr>
                <w:color w:val="314364" w:themeColor="text2"/>
                <w:sz w:val="18"/>
                <w:szCs w:val="18"/>
                <w:highlight w:val="yellow"/>
              </w:rPr>
            </w:pPr>
            <w:r>
              <w:rPr>
                <w:color w:val="314364" w:themeColor="text2"/>
                <w:sz w:val="18"/>
                <w:szCs w:val="18"/>
              </w:rPr>
              <w:t>EP</w:t>
            </w:r>
          </w:p>
        </w:tc>
        <w:tc>
          <w:tcPr>
            <w:tcW w:w="2358" w:type="pct"/>
            <w:shd w:val="clear" w:color="auto" w:fill="auto"/>
          </w:tcPr>
          <w:p w14:paraId="2633B85C" w14:textId="77777777" w:rsidR="00AF0DDD" w:rsidRPr="00A703DD" w:rsidRDefault="00AF0DDD" w:rsidP="00AF0DDD">
            <w:pPr>
              <w:spacing w:after="0"/>
              <w:ind w:right="299"/>
              <w:jc w:val="left"/>
              <w:rPr>
                <w:sz w:val="18"/>
                <w:szCs w:val="18"/>
                <w:highlight w:val="yellow"/>
              </w:rPr>
            </w:pPr>
            <w:r w:rsidRPr="002B3418">
              <w:rPr>
                <w:sz w:val="18"/>
                <w:szCs w:val="18"/>
              </w:rPr>
              <w:t>Európsky parlament</w:t>
            </w:r>
          </w:p>
        </w:tc>
        <w:tc>
          <w:tcPr>
            <w:tcW w:w="375" w:type="pct"/>
          </w:tcPr>
          <w:p w14:paraId="29346AA1" w14:textId="183B3BAB" w:rsidR="00AF0DDD" w:rsidRPr="00A703DD" w:rsidRDefault="00AF0DDD" w:rsidP="00AF0DDD">
            <w:pPr>
              <w:spacing w:after="0"/>
              <w:jc w:val="left"/>
              <w:rPr>
                <w:sz w:val="18"/>
                <w:szCs w:val="18"/>
                <w:highlight w:val="yellow"/>
              </w:rPr>
            </w:pPr>
            <w:r>
              <w:rPr>
                <w:color w:val="314364" w:themeColor="text2"/>
                <w:sz w:val="18"/>
                <w:szCs w:val="18"/>
              </w:rPr>
              <w:t>SZČ</w:t>
            </w:r>
            <w:r w:rsidRPr="00935FBA">
              <w:rPr>
                <w:color w:val="314364" w:themeColor="text2"/>
                <w:sz w:val="18"/>
                <w:szCs w:val="18"/>
              </w:rPr>
              <w:t>O</w:t>
            </w:r>
          </w:p>
        </w:tc>
        <w:tc>
          <w:tcPr>
            <w:tcW w:w="1671" w:type="pct"/>
          </w:tcPr>
          <w:p w14:paraId="5AEB67B9" w14:textId="336CE092" w:rsidR="00AF0DDD" w:rsidRPr="00A703DD" w:rsidRDefault="00AF0DDD" w:rsidP="00AF0DDD">
            <w:pPr>
              <w:spacing w:after="0"/>
              <w:jc w:val="left"/>
              <w:rPr>
                <w:sz w:val="18"/>
                <w:szCs w:val="18"/>
                <w:highlight w:val="yellow"/>
              </w:rPr>
            </w:pPr>
            <w:r w:rsidRPr="00935FBA">
              <w:rPr>
                <w:sz w:val="18"/>
                <w:szCs w:val="18"/>
              </w:rPr>
              <w:t>samostatne zárobkovo činná osoba</w:t>
            </w:r>
          </w:p>
        </w:tc>
      </w:tr>
      <w:tr w:rsidR="00AF0DDD" w:rsidRPr="00A703DD" w14:paraId="323001F9" w14:textId="77777777" w:rsidTr="006B7D1B">
        <w:trPr>
          <w:trHeight w:val="267"/>
          <w:jc w:val="center"/>
        </w:trPr>
        <w:tc>
          <w:tcPr>
            <w:tcW w:w="596" w:type="pct"/>
            <w:shd w:val="clear" w:color="auto" w:fill="auto"/>
          </w:tcPr>
          <w:p w14:paraId="048B6EE6" w14:textId="77777777" w:rsidR="00AF0DDD" w:rsidRPr="00A703DD" w:rsidRDefault="00AF0DDD" w:rsidP="00AF0DDD">
            <w:pPr>
              <w:spacing w:after="0"/>
              <w:jc w:val="left"/>
              <w:rPr>
                <w:color w:val="314364" w:themeColor="text2"/>
                <w:sz w:val="18"/>
                <w:szCs w:val="18"/>
                <w:highlight w:val="yellow"/>
              </w:rPr>
            </w:pPr>
            <w:r w:rsidRPr="00FF438D">
              <w:rPr>
                <w:color w:val="314364" w:themeColor="text2"/>
                <w:sz w:val="18"/>
                <w:szCs w:val="18"/>
              </w:rPr>
              <w:t>EŠIF</w:t>
            </w:r>
          </w:p>
        </w:tc>
        <w:tc>
          <w:tcPr>
            <w:tcW w:w="2358" w:type="pct"/>
            <w:shd w:val="clear" w:color="auto" w:fill="auto"/>
          </w:tcPr>
          <w:p w14:paraId="742A217A" w14:textId="77777777" w:rsidR="00AF0DDD" w:rsidRPr="00A703DD" w:rsidRDefault="00AF0DDD" w:rsidP="00AF0DDD">
            <w:pPr>
              <w:spacing w:after="0"/>
              <w:ind w:right="299"/>
              <w:jc w:val="left"/>
              <w:rPr>
                <w:sz w:val="18"/>
                <w:szCs w:val="18"/>
                <w:highlight w:val="yellow"/>
              </w:rPr>
            </w:pPr>
            <w:r w:rsidRPr="002B3418">
              <w:rPr>
                <w:sz w:val="18"/>
                <w:szCs w:val="18"/>
              </w:rPr>
              <w:t>Európske štrukturálne a investičné fondy</w:t>
            </w:r>
          </w:p>
        </w:tc>
        <w:tc>
          <w:tcPr>
            <w:tcW w:w="375" w:type="pct"/>
          </w:tcPr>
          <w:p w14:paraId="0F5340CE" w14:textId="72F00585" w:rsidR="00AF0DDD" w:rsidRPr="00A703DD" w:rsidRDefault="00AF0DDD" w:rsidP="00AF0DDD">
            <w:pPr>
              <w:spacing w:after="0"/>
              <w:jc w:val="left"/>
              <w:rPr>
                <w:sz w:val="18"/>
                <w:szCs w:val="18"/>
                <w:highlight w:val="yellow"/>
              </w:rPr>
            </w:pPr>
            <w:r w:rsidRPr="00B67559">
              <w:rPr>
                <w:color w:val="314364" w:themeColor="text2"/>
                <w:sz w:val="18"/>
                <w:szCs w:val="18"/>
              </w:rPr>
              <w:t>S2</w:t>
            </w:r>
          </w:p>
        </w:tc>
        <w:tc>
          <w:tcPr>
            <w:tcW w:w="1671" w:type="pct"/>
          </w:tcPr>
          <w:p w14:paraId="07E9DF81" w14:textId="7D10C044" w:rsidR="00AF0DDD" w:rsidRPr="00A703DD" w:rsidRDefault="00AF0DDD" w:rsidP="00AF0DDD">
            <w:pPr>
              <w:spacing w:after="0"/>
              <w:jc w:val="left"/>
              <w:rPr>
                <w:sz w:val="18"/>
                <w:szCs w:val="18"/>
                <w:highlight w:val="yellow"/>
              </w:rPr>
            </w:pPr>
            <w:r w:rsidRPr="005D57F9">
              <w:rPr>
                <w:sz w:val="18"/>
                <w:szCs w:val="18"/>
              </w:rPr>
              <w:t>indikátor dlhodobej udržateľnosti</w:t>
            </w:r>
          </w:p>
        </w:tc>
      </w:tr>
      <w:tr w:rsidR="00AF0DDD" w:rsidRPr="00A703DD" w14:paraId="0E5DAD3F" w14:textId="77777777" w:rsidTr="006B7D1B">
        <w:trPr>
          <w:trHeight w:val="267"/>
          <w:jc w:val="center"/>
        </w:trPr>
        <w:tc>
          <w:tcPr>
            <w:tcW w:w="596" w:type="pct"/>
            <w:shd w:val="clear" w:color="auto" w:fill="auto"/>
          </w:tcPr>
          <w:p w14:paraId="76C88A71" w14:textId="77777777" w:rsidR="00AF0DDD" w:rsidRPr="00A703DD" w:rsidRDefault="00AF0DDD" w:rsidP="00AF0DDD">
            <w:pPr>
              <w:spacing w:after="0"/>
              <w:jc w:val="left"/>
              <w:rPr>
                <w:color w:val="314364" w:themeColor="text2"/>
                <w:sz w:val="18"/>
                <w:szCs w:val="18"/>
                <w:highlight w:val="yellow"/>
              </w:rPr>
            </w:pPr>
            <w:r w:rsidRPr="00CB0C0D">
              <w:rPr>
                <w:color w:val="314364" w:themeColor="text2"/>
                <w:sz w:val="18"/>
                <w:szCs w:val="18"/>
              </w:rPr>
              <w:t>EÚ</w:t>
            </w:r>
          </w:p>
        </w:tc>
        <w:tc>
          <w:tcPr>
            <w:tcW w:w="2358" w:type="pct"/>
            <w:shd w:val="clear" w:color="auto" w:fill="auto"/>
          </w:tcPr>
          <w:p w14:paraId="0673FADA" w14:textId="77777777" w:rsidR="00AF0DDD" w:rsidRPr="00A703DD" w:rsidRDefault="00AF0DDD" w:rsidP="00AF0DDD">
            <w:pPr>
              <w:spacing w:after="0"/>
              <w:ind w:right="299"/>
              <w:jc w:val="left"/>
              <w:rPr>
                <w:sz w:val="18"/>
                <w:szCs w:val="18"/>
                <w:highlight w:val="yellow"/>
              </w:rPr>
            </w:pPr>
            <w:r w:rsidRPr="002B3418">
              <w:rPr>
                <w:sz w:val="18"/>
                <w:szCs w:val="18"/>
              </w:rPr>
              <w:t>Európska únia</w:t>
            </w:r>
          </w:p>
        </w:tc>
        <w:tc>
          <w:tcPr>
            <w:tcW w:w="375" w:type="pct"/>
          </w:tcPr>
          <w:p w14:paraId="2A6B42F5" w14:textId="06ACE1C6" w:rsidR="00AF0DDD" w:rsidRPr="00A703DD" w:rsidRDefault="00AF0DDD" w:rsidP="00AF0DDD">
            <w:pPr>
              <w:spacing w:after="0"/>
              <w:jc w:val="left"/>
              <w:rPr>
                <w:sz w:val="18"/>
                <w:szCs w:val="18"/>
                <w:highlight w:val="yellow"/>
              </w:rPr>
            </w:pPr>
            <w:r>
              <w:rPr>
                <w:color w:val="314364" w:themeColor="text2"/>
                <w:sz w:val="18"/>
                <w:szCs w:val="18"/>
              </w:rPr>
              <w:t>ŠFA</w:t>
            </w:r>
          </w:p>
        </w:tc>
        <w:tc>
          <w:tcPr>
            <w:tcW w:w="1671" w:type="pct"/>
          </w:tcPr>
          <w:p w14:paraId="6FF46899" w14:textId="315E2027" w:rsidR="00AF0DDD" w:rsidRPr="00A703DD" w:rsidRDefault="00AF0DDD" w:rsidP="00AF0DDD">
            <w:pPr>
              <w:spacing w:after="0"/>
              <w:jc w:val="left"/>
              <w:rPr>
                <w:sz w:val="18"/>
                <w:szCs w:val="18"/>
                <w:highlight w:val="yellow"/>
              </w:rPr>
            </w:pPr>
            <w:r>
              <w:rPr>
                <w:sz w:val="18"/>
                <w:szCs w:val="18"/>
              </w:rPr>
              <w:t>štátne finančné aktíva</w:t>
            </w:r>
          </w:p>
        </w:tc>
      </w:tr>
      <w:tr w:rsidR="00AF0DDD" w:rsidRPr="00A703DD" w14:paraId="7A6C9775" w14:textId="77777777" w:rsidTr="006B7D1B">
        <w:trPr>
          <w:trHeight w:val="267"/>
          <w:jc w:val="center"/>
        </w:trPr>
        <w:tc>
          <w:tcPr>
            <w:tcW w:w="596" w:type="pct"/>
            <w:shd w:val="clear" w:color="auto" w:fill="auto"/>
          </w:tcPr>
          <w:p w14:paraId="16562088" w14:textId="64277B23" w:rsidR="00AF0DDD" w:rsidRPr="002F024F" w:rsidRDefault="00AF0DDD" w:rsidP="00AF0DDD">
            <w:pPr>
              <w:spacing w:after="0"/>
              <w:jc w:val="left"/>
              <w:rPr>
                <w:color w:val="314364" w:themeColor="text2"/>
                <w:sz w:val="18"/>
                <w:szCs w:val="18"/>
              </w:rPr>
            </w:pPr>
            <w:r>
              <w:rPr>
                <w:color w:val="314364" w:themeColor="text2"/>
                <w:sz w:val="18"/>
                <w:szCs w:val="18"/>
              </w:rPr>
              <w:t>FNM</w:t>
            </w:r>
          </w:p>
        </w:tc>
        <w:tc>
          <w:tcPr>
            <w:tcW w:w="2358" w:type="pct"/>
            <w:shd w:val="clear" w:color="auto" w:fill="auto"/>
          </w:tcPr>
          <w:p w14:paraId="012ACF7C" w14:textId="7EA9D285" w:rsidR="00AF0DDD" w:rsidRPr="002B3418" w:rsidRDefault="00AF0DDD" w:rsidP="00AF0DDD">
            <w:pPr>
              <w:spacing w:after="0"/>
              <w:ind w:right="299"/>
              <w:jc w:val="left"/>
              <w:rPr>
                <w:sz w:val="18"/>
                <w:szCs w:val="18"/>
              </w:rPr>
            </w:pPr>
            <w:r w:rsidRPr="00846EB5">
              <w:rPr>
                <w:sz w:val="18"/>
                <w:szCs w:val="18"/>
              </w:rPr>
              <w:t xml:space="preserve">Fond národného majetku </w:t>
            </w:r>
          </w:p>
        </w:tc>
        <w:tc>
          <w:tcPr>
            <w:tcW w:w="375" w:type="pct"/>
          </w:tcPr>
          <w:p w14:paraId="626685DC" w14:textId="03044CFE" w:rsidR="00AF0DDD" w:rsidRPr="00CB0C0D" w:rsidRDefault="00AF0DDD" w:rsidP="00AF0DDD">
            <w:pPr>
              <w:spacing w:after="0"/>
              <w:jc w:val="left"/>
              <w:rPr>
                <w:color w:val="314364" w:themeColor="text2"/>
                <w:sz w:val="18"/>
                <w:szCs w:val="18"/>
              </w:rPr>
            </w:pPr>
            <w:r w:rsidRPr="00E02EE7">
              <w:rPr>
                <w:color w:val="314364" w:themeColor="text2"/>
                <w:sz w:val="18"/>
                <w:szCs w:val="18"/>
              </w:rPr>
              <w:t>ŠFRB</w:t>
            </w:r>
          </w:p>
        </w:tc>
        <w:tc>
          <w:tcPr>
            <w:tcW w:w="1671" w:type="pct"/>
          </w:tcPr>
          <w:p w14:paraId="122A4382" w14:textId="570A5110" w:rsidR="00AF0DDD" w:rsidRPr="00A07685" w:rsidRDefault="00AF0DDD" w:rsidP="00AF0DDD">
            <w:pPr>
              <w:spacing w:after="0"/>
              <w:jc w:val="left"/>
              <w:rPr>
                <w:sz w:val="18"/>
                <w:szCs w:val="18"/>
              </w:rPr>
            </w:pPr>
            <w:r w:rsidRPr="00E02EE7">
              <w:rPr>
                <w:sz w:val="18"/>
                <w:szCs w:val="18"/>
              </w:rPr>
              <w:t>Štátny fond rozvoja bývania</w:t>
            </w:r>
          </w:p>
        </w:tc>
      </w:tr>
      <w:tr w:rsidR="00AF0DDD" w:rsidRPr="00A703DD" w14:paraId="5C51E81F" w14:textId="77777777" w:rsidTr="006B7D1B">
        <w:trPr>
          <w:trHeight w:val="267"/>
          <w:jc w:val="center"/>
        </w:trPr>
        <w:tc>
          <w:tcPr>
            <w:tcW w:w="596" w:type="pct"/>
            <w:shd w:val="clear" w:color="auto" w:fill="auto"/>
          </w:tcPr>
          <w:p w14:paraId="3ACC0083" w14:textId="77777777" w:rsidR="00AF0DDD" w:rsidRPr="00A703DD" w:rsidRDefault="00AF0DDD" w:rsidP="00AF0DDD">
            <w:pPr>
              <w:spacing w:after="0"/>
              <w:jc w:val="left"/>
              <w:rPr>
                <w:color w:val="314364" w:themeColor="text2"/>
                <w:sz w:val="18"/>
                <w:szCs w:val="18"/>
                <w:highlight w:val="yellow"/>
              </w:rPr>
            </w:pPr>
            <w:r w:rsidRPr="002F024F">
              <w:rPr>
                <w:color w:val="314364" w:themeColor="text2"/>
                <w:sz w:val="18"/>
                <w:szCs w:val="18"/>
              </w:rPr>
              <w:t>FR SR</w:t>
            </w:r>
          </w:p>
        </w:tc>
        <w:tc>
          <w:tcPr>
            <w:tcW w:w="2358" w:type="pct"/>
            <w:shd w:val="clear" w:color="auto" w:fill="auto"/>
          </w:tcPr>
          <w:p w14:paraId="3F3C6507" w14:textId="77777777" w:rsidR="00AF0DDD" w:rsidRPr="00A703DD" w:rsidRDefault="00AF0DDD" w:rsidP="00AF0DDD">
            <w:pPr>
              <w:spacing w:after="0"/>
              <w:ind w:right="299"/>
              <w:jc w:val="left"/>
              <w:rPr>
                <w:sz w:val="18"/>
                <w:szCs w:val="18"/>
                <w:highlight w:val="yellow"/>
              </w:rPr>
            </w:pPr>
            <w:r w:rsidRPr="002B3418">
              <w:rPr>
                <w:sz w:val="18"/>
                <w:szCs w:val="18"/>
              </w:rPr>
              <w:t>Finančné riaditeľstvo Slovenskej republiky</w:t>
            </w:r>
          </w:p>
        </w:tc>
        <w:tc>
          <w:tcPr>
            <w:tcW w:w="375" w:type="pct"/>
          </w:tcPr>
          <w:p w14:paraId="0AFC834E" w14:textId="41D4B3C6" w:rsidR="00AF0DDD" w:rsidRPr="00A703DD" w:rsidRDefault="00AF0DDD" w:rsidP="00AF0DDD">
            <w:pPr>
              <w:spacing w:after="0"/>
              <w:jc w:val="left"/>
              <w:rPr>
                <w:sz w:val="18"/>
                <w:szCs w:val="18"/>
                <w:highlight w:val="yellow"/>
              </w:rPr>
            </w:pPr>
            <w:r w:rsidRPr="007818A2">
              <w:rPr>
                <w:color w:val="314364" w:themeColor="text2"/>
                <w:sz w:val="18"/>
                <w:szCs w:val="18"/>
              </w:rPr>
              <w:t>ŠR</w:t>
            </w:r>
          </w:p>
        </w:tc>
        <w:tc>
          <w:tcPr>
            <w:tcW w:w="1671" w:type="pct"/>
          </w:tcPr>
          <w:p w14:paraId="1445FEF0" w14:textId="18017F0F" w:rsidR="00AF0DDD" w:rsidRPr="00A703DD" w:rsidRDefault="00AF0DDD" w:rsidP="00AF0DDD">
            <w:pPr>
              <w:spacing w:after="0"/>
              <w:jc w:val="left"/>
              <w:rPr>
                <w:sz w:val="18"/>
                <w:szCs w:val="18"/>
                <w:highlight w:val="yellow"/>
              </w:rPr>
            </w:pPr>
            <w:r w:rsidRPr="00A07685">
              <w:rPr>
                <w:sz w:val="18"/>
                <w:szCs w:val="18"/>
              </w:rPr>
              <w:t>štátny rozpočet</w:t>
            </w:r>
          </w:p>
        </w:tc>
      </w:tr>
      <w:tr w:rsidR="00AF0DDD" w:rsidRPr="00A703DD" w14:paraId="107E3E38" w14:textId="77777777" w:rsidTr="006B7D1B">
        <w:trPr>
          <w:trHeight w:val="267"/>
          <w:jc w:val="center"/>
        </w:trPr>
        <w:tc>
          <w:tcPr>
            <w:tcW w:w="596" w:type="pct"/>
            <w:shd w:val="clear" w:color="auto" w:fill="auto"/>
          </w:tcPr>
          <w:p w14:paraId="30E662B7" w14:textId="5444B07F" w:rsidR="00AF0DDD" w:rsidRPr="002F024F" w:rsidRDefault="00AF0DDD" w:rsidP="00AF0DDD">
            <w:pPr>
              <w:spacing w:after="0"/>
              <w:jc w:val="left"/>
              <w:rPr>
                <w:color w:val="314364" w:themeColor="text2"/>
                <w:sz w:val="18"/>
                <w:szCs w:val="18"/>
              </w:rPr>
            </w:pPr>
            <w:r>
              <w:rPr>
                <w:color w:val="314364" w:themeColor="text2"/>
                <w:sz w:val="18"/>
                <w:szCs w:val="18"/>
              </w:rPr>
              <w:t>FS</w:t>
            </w:r>
          </w:p>
        </w:tc>
        <w:tc>
          <w:tcPr>
            <w:tcW w:w="2358" w:type="pct"/>
            <w:shd w:val="clear" w:color="auto" w:fill="auto"/>
          </w:tcPr>
          <w:p w14:paraId="1165E0B3" w14:textId="3DBCD2F7" w:rsidR="00AF0DDD" w:rsidRPr="002B3418" w:rsidRDefault="00AF0DDD" w:rsidP="00AF0DDD">
            <w:pPr>
              <w:spacing w:after="0"/>
              <w:ind w:right="299"/>
              <w:jc w:val="left"/>
              <w:rPr>
                <w:sz w:val="18"/>
                <w:szCs w:val="18"/>
              </w:rPr>
            </w:pPr>
            <w:r>
              <w:rPr>
                <w:sz w:val="18"/>
                <w:szCs w:val="18"/>
              </w:rPr>
              <w:t>Finančná správa</w:t>
            </w:r>
          </w:p>
        </w:tc>
        <w:tc>
          <w:tcPr>
            <w:tcW w:w="375" w:type="pct"/>
          </w:tcPr>
          <w:p w14:paraId="0C69DAD1" w14:textId="0C742AE9" w:rsidR="00AF0DDD" w:rsidRPr="00CB0C0D" w:rsidRDefault="00AF0DDD" w:rsidP="00AF0DDD">
            <w:pPr>
              <w:spacing w:after="0"/>
              <w:jc w:val="left"/>
              <w:rPr>
                <w:color w:val="314364" w:themeColor="text2"/>
                <w:sz w:val="18"/>
                <w:szCs w:val="18"/>
              </w:rPr>
            </w:pPr>
            <w:r w:rsidRPr="00CB0C0D">
              <w:rPr>
                <w:color w:val="314364" w:themeColor="text2"/>
                <w:sz w:val="18"/>
                <w:szCs w:val="18"/>
              </w:rPr>
              <w:t>ŠÚ SR</w:t>
            </w:r>
          </w:p>
        </w:tc>
        <w:tc>
          <w:tcPr>
            <w:tcW w:w="1671" w:type="pct"/>
          </w:tcPr>
          <w:p w14:paraId="53FC48B6" w14:textId="5F9ED28F" w:rsidR="00AF0DDD" w:rsidRPr="00A07685" w:rsidRDefault="00AF0DDD" w:rsidP="00AF0DDD">
            <w:pPr>
              <w:spacing w:after="0"/>
              <w:jc w:val="left"/>
              <w:rPr>
                <w:sz w:val="18"/>
                <w:szCs w:val="18"/>
              </w:rPr>
            </w:pPr>
            <w:r w:rsidRPr="00A07685">
              <w:rPr>
                <w:sz w:val="18"/>
                <w:szCs w:val="18"/>
              </w:rPr>
              <w:t>Štatistický úrad Slovenskej republiky</w:t>
            </w:r>
          </w:p>
        </w:tc>
      </w:tr>
      <w:tr w:rsidR="00AF0DDD" w:rsidRPr="00A703DD" w14:paraId="01F6CF0F" w14:textId="77777777" w:rsidTr="006B7D1B">
        <w:trPr>
          <w:trHeight w:val="267"/>
          <w:jc w:val="center"/>
        </w:trPr>
        <w:tc>
          <w:tcPr>
            <w:tcW w:w="596" w:type="pct"/>
            <w:shd w:val="clear" w:color="auto" w:fill="auto"/>
          </w:tcPr>
          <w:p w14:paraId="4D42CA2C" w14:textId="77777777" w:rsidR="00AF0DDD" w:rsidRPr="00A703DD" w:rsidRDefault="00AF0DDD" w:rsidP="00AF0DDD">
            <w:pPr>
              <w:spacing w:after="0"/>
              <w:jc w:val="left"/>
              <w:rPr>
                <w:color w:val="314364" w:themeColor="text2"/>
                <w:sz w:val="18"/>
                <w:szCs w:val="18"/>
                <w:highlight w:val="yellow"/>
              </w:rPr>
            </w:pPr>
            <w:r w:rsidRPr="00CB0C0D">
              <w:rPr>
                <w:color w:val="314364" w:themeColor="text2"/>
                <w:sz w:val="18"/>
                <w:szCs w:val="18"/>
              </w:rPr>
              <w:t>HDP</w:t>
            </w:r>
          </w:p>
        </w:tc>
        <w:tc>
          <w:tcPr>
            <w:tcW w:w="2358" w:type="pct"/>
            <w:shd w:val="clear" w:color="auto" w:fill="auto"/>
          </w:tcPr>
          <w:p w14:paraId="1652DCD1" w14:textId="01EA0596" w:rsidR="00AF0DDD" w:rsidRPr="00A703DD" w:rsidRDefault="00AF0DDD" w:rsidP="00AF0DDD">
            <w:pPr>
              <w:spacing w:after="0"/>
              <w:ind w:right="299"/>
              <w:jc w:val="left"/>
              <w:rPr>
                <w:sz w:val="18"/>
                <w:szCs w:val="18"/>
                <w:highlight w:val="yellow"/>
              </w:rPr>
            </w:pPr>
            <w:r>
              <w:rPr>
                <w:sz w:val="18"/>
                <w:szCs w:val="18"/>
              </w:rPr>
              <w:t>h</w:t>
            </w:r>
            <w:r w:rsidRPr="002B3418">
              <w:rPr>
                <w:sz w:val="18"/>
                <w:szCs w:val="18"/>
              </w:rPr>
              <w:t>rubý domáci produkt</w:t>
            </w:r>
          </w:p>
        </w:tc>
        <w:tc>
          <w:tcPr>
            <w:tcW w:w="375" w:type="pct"/>
          </w:tcPr>
          <w:p w14:paraId="03EE07CF" w14:textId="6B008E57" w:rsidR="00AF0DDD" w:rsidRPr="00A703DD" w:rsidRDefault="00AF0DDD" w:rsidP="00AF0DDD">
            <w:pPr>
              <w:spacing w:after="0"/>
              <w:jc w:val="left"/>
              <w:rPr>
                <w:sz w:val="18"/>
                <w:szCs w:val="18"/>
                <w:highlight w:val="yellow"/>
              </w:rPr>
            </w:pPr>
            <w:r w:rsidRPr="00865401">
              <w:rPr>
                <w:color w:val="314364" w:themeColor="text2"/>
                <w:sz w:val="18"/>
                <w:szCs w:val="18"/>
              </w:rPr>
              <w:t>ŠZÚ</w:t>
            </w:r>
          </w:p>
        </w:tc>
        <w:tc>
          <w:tcPr>
            <w:tcW w:w="1671" w:type="pct"/>
          </w:tcPr>
          <w:p w14:paraId="5DAE476B" w14:textId="0F618A02" w:rsidR="00AF0DDD" w:rsidRPr="00A703DD" w:rsidRDefault="00AF0DDD" w:rsidP="00AF0DDD">
            <w:pPr>
              <w:spacing w:after="0"/>
              <w:jc w:val="left"/>
              <w:rPr>
                <w:sz w:val="18"/>
                <w:szCs w:val="18"/>
                <w:highlight w:val="yellow"/>
              </w:rPr>
            </w:pPr>
            <w:r w:rsidRPr="00A07685">
              <w:rPr>
                <w:sz w:val="18"/>
                <w:szCs w:val="18"/>
              </w:rPr>
              <w:t>štátny záverečný účet</w:t>
            </w:r>
          </w:p>
        </w:tc>
      </w:tr>
      <w:tr w:rsidR="00AF0DDD" w:rsidRPr="00A703DD" w14:paraId="247A2230" w14:textId="77777777" w:rsidTr="006B7D1B">
        <w:trPr>
          <w:trHeight w:val="267"/>
          <w:jc w:val="center"/>
        </w:trPr>
        <w:tc>
          <w:tcPr>
            <w:tcW w:w="596" w:type="pct"/>
            <w:shd w:val="clear" w:color="auto" w:fill="auto"/>
          </w:tcPr>
          <w:p w14:paraId="7472173C" w14:textId="77777777" w:rsidR="00AF0DDD" w:rsidRPr="00A703DD" w:rsidRDefault="00AF0DDD" w:rsidP="00AF0DDD">
            <w:pPr>
              <w:spacing w:after="0"/>
              <w:jc w:val="left"/>
              <w:rPr>
                <w:color w:val="314364" w:themeColor="text2"/>
                <w:sz w:val="18"/>
                <w:szCs w:val="18"/>
                <w:highlight w:val="yellow"/>
              </w:rPr>
            </w:pPr>
            <w:r w:rsidRPr="00FF438D">
              <w:rPr>
                <w:color w:val="314364" w:themeColor="text2"/>
                <w:sz w:val="18"/>
                <w:szCs w:val="18"/>
              </w:rPr>
              <w:t>IROP</w:t>
            </w:r>
          </w:p>
        </w:tc>
        <w:tc>
          <w:tcPr>
            <w:tcW w:w="2358" w:type="pct"/>
            <w:shd w:val="clear" w:color="auto" w:fill="auto"/>
          </w:tcPr>
          <w:p w14:paraId="57F2601E" w14:textId="77777777" w:rsidR="00AF0DDD" w:rsidRPr="00A703DD" w:rsidRDefault="00AF0DDD" w:rsidP="00AF0DDD">
            <w:pPr>
              <w:spacing w:after="0"/>
              <w:ind w:right="299"/>
              <w:jc w:val="left"/>
              <w:rPr>
                <w:sz w:val="18"/>
                <w:szCs w:val="18"/>
                <w:highlight w:val="yellow"/>
              </w:rPr>
            </w:pPr>
            <w:r w:rsidRPr="002B3418">
              <w:rPr>
                <w:sz w:val="18"/>
                <w:szCs w:val="18"/>
              </w:rPr>
              <w:t>Integrovaný regionálny operačný program</w:t>
            </w:r>
          </w:p>
        </w:tc>
        <w:tc>
          <w:tcPr>
            <w:tcW w:w="375" w:type="pct"/>
          </w:tcPr>
          <w:p w14:paraId="085E5178" w14:textId="2BF81F82" w:rsidR="00AF0DDD" w:rsidRPr="00A703DD" w:rsidRDefault="00AF0DDD" w:rsidP="00AF0DDD">
            <w:pPr>
              <w:spacing w:after="0"/>
              <w:jc w:val="left"/>
              <w:rPr>
                <w:sz w:val="18"/>
                <w:szCs w:val="18"/>
                <w:highlight w:val="yellow"/>
              </w:rPr>
            </w:pPr>
            <w:r w:rsidRPr="00261AD3">
              <w:rPr>
                <w:color w:val="314364" w:themeColor="text2"/>
                <w:sz w:val="18"/>
                <w:szCs w:val="18"/>
              </w:rPr>
              <w:t>ÚHP</w:t>
            </w:r>
          </w:p>
        </w:tc>
        <w:tc>
          <w:tcPr>
            <w:tcW w:w="1671" w:type="pct"/>
          </w:tcPr>
          <w:p w14:paraId="256811A8" w14:textId="68DD7B37" w:rsidR="00AF0DDD" w:rsidRPr="00A703DD" w:rsidRDefault="00AF0DDD" w:rsidP="00AF0DDD">
            <w:pPr>
              <w:spacing w:after="0"/>
              <w:jc w:val="left"/>
              <w:rPr>
                <w:sz w:val="18"/>
                <w:szCs w:val="18"/>
                <w:highlight w:val="yellow"/>
              </w:rPr>
            </w:pPr>
            <w:r w:rsidRPr="00A07685">
              <w:rPr>
                <w:sz w:val="18"/>
                <w:szCs w:val="18"/>
              </w:rPr>
              <w:t>Útvar hodnoty za peniaze</w:t>
            </w:r>
          </w:p>
        </w:tc>
      </w:tr>
      <w:tr w:rsidR="00AF0DDD" w:rsidRPr="00A703DD" w14:paraId="71287A6C" w14:textId="77777777" w:rsidTr="006B7D1B">
        <w:trPr>
          <w:trHeight w:val="267"/>
          <w:jc w:val="center"/>
        </w:trPr>
        <w:tc>
          <w:tcPr>
            <w:tcW w:w="596" w:type="pct"/>
            <w:shd w:val="clear" w:color="auto" w:fill="auto"/>
          </w:tcPr>
          <w:p w14:paraId="7C7E6233" w14:textId="77777777" w:rsidR="00AF0DDD" w:rsidRPr="00FF438D" w:rsidRDefault="00AF0DDD" w:rsidP="00AF0DDD">
            <w:pPr>
              <w:spacing w:after="0"/>
              <w:jc w:val="left"/>
              <w:rPr>
                <w:color w:val="314364" w:themeColor="text2"/>
                <w:sz w:val="18"/>
                <w:szCs w:val="18"/>
              </w:rPr>
            </w:pPr>
            <w:r>
              <w:rPr>
                <w:color w:val="314364" w:themeColor="text2"/>
                <w:sz w:val="18"/>
                <w:szCs w:val="18"/>
              </w:rPr>
              <w:t>ISSZ</w:t>
            </w:r>
          </w:p>
        </w:tc>
        <w:tc>
          <w:tcPr>
            <w:tcW w:w="2358" w:type="pct"/>
            <w:shd w:val="clear" w:color="auto" w:fill="auto"/>
          </w:tcPr>
          <w:p w14:paraId="178A4BC5" w14:textId="77777777" w:rsidR="00AF0DDD" w:rsidRPr="002B3418" w:rsidRDefault="00AF0DDD" w:rsidP="00AF0DDD">
            <w:pPr>
              <w:spacing w:after="0"/>
              <w:ind w:right="299"/>
              <w:jc w:val="left"/>
              <w:rPr>
                <w:sz w:val="18"/>
                <w:szCs w:val="18"/>
              </w:rPr>
            </w:pPr>
            <w:r w:rsidRPr="00F86AD1">
              <w:rPr>
                <w:sz w:val="18"/>
                <w:szCs w:val="18"/>
              </w:rPr>
              <w:t>Informačný systém služieb zamestnanosti</w:t>
            </w:r>
          </w:p>
        </w:tc>
        <w:tc>
          <w:tcPr>
            <w:tcW w:w="375" w:type="pct"/>
          </w:tcPr>
          <w:p w14:paraId="2F89872E" w14:textId="13CCE7A4" w:rsidR="00AF0DDD" w:rsidRPr="00261AD3" w:rsidRDefault="00AF0DDD" w:rsidP="00AF0DDD">
            <w:pPr>
              <w:spacing w:after="0"/>
              <w:jc w:val="left"/>
              <w:rPr>
                <w:color w:val="314364" w:themeColor="text2"/>
                <w:sz w:val="18"/>
                <w:szCs w:val="18"/>
              </w:rPr>
            </w:pPr>
            <w:r>
              <w:rPr>
                <w:color w:val="314364" w:themeColor="text2"/>
                <w:sz w:val="18"/>
                <w:szCs w:val="18"/>
              </w:rPr>
              <w:t>ÚPV SR</w:t>
            </w:r>
          </w:p>
        </w:tc>
        <w:tc>
          <w:tcPr>
            <w:tcW w:w="1671" w:type="pct"/>
          </w:tcPr>
          <w:p w14:paraId="4A13B58B" w14:textId="36DF3F51" w:rsidR="00AF0DDD" w:rsidRPr="00A07685" w:rsidRDefault="00AF0DDD" w:rsidP="00AF0DDD">
            <w:pPr>
              <w:spacing w:after="0"/>
              <w:jc w:val="left"/>
              <w:rPr>
                <w:sz w:val="18"/>
                <w:szCs w:val="18"/>
              </w:rPr>
            </w:pPr>
            <w:r>
              <w:rPr>
                <w:sz w:val="18"/>
                <w:szCs w:val="18"/>
              </w:rPr>
              <w:t>Úrad</w:t>
            </w:r>
            <w:r w:rsidRPr="000A169C">
              <w:rPr>
                <w:sz w:val="18"/>
                <w:szCs w:val="18"/>
              </w:rPr>
              <w:t xml:space="preserve"> priemyselného vlastníctva Slovenskej republiky</w:t>
            </w:r>
          </w:p>
        </w:tc>
      </w:tr>
      <w:tr w:rsidR="00AF0DDD" w:rsidRPr="00A703DD" w14:paraId="3BCFDB82" w14:textId="77777777" w:rsidTr="006B7D1B">
        <w:trPr>
          <w:trHeight w:val="267"/>
          <w:jc w:val="center"/>
        </w:trPr>
        <w:tc>
          <w:tcPr>
            <w:tcW w:w="596" w:type="pct"/>
            <w:shd w:val="clear" w:color="auto" w:fill="auto"/>
          </w:tcPr>
          <w:p w14:paraId="3B4532B9" w14:textId="3B85EBD9" w:rsidR="00AF0DDD" w:rsidRDefault="00AF0DDD" w:rsidP="00AF0DDD">
            <w:pPr>
              <w:spacing w:after="0"/>
              <w:jc w:val="left"/>
              <w:rPr>
                <w:color w:val="314364" w:themeColor="text2"/>
                <w:sz w:val="18"/>
                <w:szCs w:val="18"/>
              </w:rPr>
            </w:pPr>
            <w:r>
              <w:rPr>
                <w:color w:val="314364" w:themeColor="text2"/>
                <w:sz w:val="18"/>
                <w:szCs w:val="18"/>
              </w:rPr>
              <w:t>KZVS</w:t>
            </w:r>
          </w:p>
        </w:tc>
        <w:tc>
          <w:tcPr>
            <w:tcW w:w="2358" w:type="pct"/>
            <w:shd w:val="clear" w:color="auto" w:fill="auto"/>
          </w:tcPr>
          <w:p w14:paraId="68B7C270" w14:textId="5E862D52" w:rsidR="00AF0DDD" w:rsidRPr="00F86AD1" w:rsidRDefault="00AF0DDD" w:rsidP="00AF0DDD">
            <w:pPr>
              <w:spacing w:after="0"/>
              <w:ind w:right="299"/>
              <w:jc w:val="left"/>
              <w:rPr>
                <w:sz w:val="18"/>
                <w:szCs w:val="18"/>
              </w:rPr>
            </w:pPr>
            <w:r w:rsidRPr="00846EB5">
              <w:rPr>
                <w:sz w:val="18"/>
                <w:szCs w:val="18"/>
              </w:rPr>
              <w:t>kolektívna zmluva vyššieho stupňa</w:t>
            </w:r>
          </w:p>
        </w:tc>
        <w:tc>
          <w:tcPr>
            <w:tcW w:w="375" w:type="pct"/>
          </w:tcPr>
          <w:p w14:paraId="6CAB3DB8" w14:textId="2D8CDDDE" w:rsidR="00AF0DDD" w:rsidRDefault="00AF0DDD" w:rsidP="00AF0DDD">
            <w:pPr>
              <w:spacing w:after="0"/>
              <w:jc w:val="left"/>
              <w:rPr>
                <w:color w:val="314364" w:themeColor="text2"/>
                <w:sz w:val="18"/>
                <w:szCs w:val="18"/>
              </w:rPr>
            </w:pPr>
            <w:r w:rsidRPr="008B7F78">
              <w:rPr>
                <w:color w:val="314364" w:themeColor="text2"/>
                <w:sz w:val="18"/>
                <w:szCs w:val="18"/>
              </w:rPr>
              <w:t>ÚVO</w:t>
            </w:r>
          </w:p>
        </w:tc>
        <w:tc>
          <w:tcPr>
            <w:tcW w:w="1671" w:type="pct"/>
          </w:tcPr>
          <w:p w14:paraId="006B9F6D" w14:textId="10286684" w:rsidR="00AF0DDD" w:rsidRDefault="00AF0DDD" w:rsidP="00AF0DDD">
            <w:pPr>
              <w:spacing w:after="0"/>
              <w:jc w:val="left"/>
              <w:rPr>
                <w:sz w:val="18"/>
                <w:szCs w:val="18"/>
              </w:rPr>
            </w:pPr>
            <w:r w:rsidRPr="00A07685">
              <w:rPr>
                <w:sz w:val="18"/>
                <w:szCs w:val="18"/>
              </w:rPr>
              <w:t>Úrad pre verejné obstarávanie</w:t>
            </w:r>
          </w:p>
        </w:tc>
      </w:tr>
      <w:tr w:rsidR="00AF0DDD" w:rsidRPr="00A703DD" w14:paraId="35B97E2E" w14:textId="77777777" w:rsidTr="006B7D1B">
        <w:trPr>
          <w:trHeight w:val="267"/>
          <w:jc w:val="center"/>
        </w:trPr>
        <w:tc>
          <w:tcPr>
            <w:tcW w:w="596" w:type="pct"/>
            <w:shd w:val="clear" w:color="auto" w:fill="auto"/>
          </w:tcPr>
          <w:p w14:paraId="38ED74C6" w14:textId="77777777" w:rsidR="00AF0DDD" w:rsidRPr="00FF438D" w:rsidRDefault="00AF0DDD" w:rsidP="00AF0DDD">
            <w:pPr>
              <w:spacing w:after="0"/>
              <w:jc w:val="left"/>
              <w:rPr>
                <w:color w:val="314364" w:themeColor="text2"/>
                <w:sz w:val="18"/>
                <w:szCs w:val="18"/>
              </w:rPr>
            </w:pPr>
            <w:r w:rsidRPr="009E270D">
              <w:rPr>
                <w:color w:val="314364" w:themeColor="text2"/>
                <w:sz w:val="18"/>
                <w:szCs w:val="18"/>
              </w:rPr>
              <w:t>MDV SR</w:t>
            </w:r>
          </w:p>
        </w:tc>
        <w:tc>
          <w:tcPr>
            <w:tcW w:w="2358" w:type="pct"/>
            <w:shd w:val="clear" w:color="auto" w:fill="auto"/>
          </w:tcPr>
          <w:p w14:paraId="08A5AD5E" w14:textId="77777777" w:rsidR="00AF0DDD" w:rsidRPr="002B3418" w:rsidRDefault="00AF0DDD" w:rsidP="00AF0DDD">
            <w:pPr>
              <w:spacing w:after="0"/>
              <w:ind w:right="299"/>
              <w:jc w:val="left"/>
              <w:rPr>
                <w:sz w:val="18"/>
                <w:szCs w:val="18"/>
              </w:rPr>
            </w:pPr>
            <w:r w:rsidRPr="002B3418">
              <w:rPr>
                <w:sz w:val="18"/>
                <w:szCs w:val="18"/>
              </w:rPr>
              <w:t>Ministerstvo dopravy a výstavby Slovenskej republiky</w:t>
            </w:r>
          </w:p>
        </w:tc>
        <w:tc>
          <w:tcPr>
            <w:tcW w:w="375" w:type="pct"/>
          </w:tcPr>
          <w:p w14:paraId="56F8B608" w14:textId="78F199C3" w:rsidR="00AF0DDD" w:rsidRPr="00261AD3" w:rsidRDefault="00AF0DDD" w:rsidP="00AF0DDD">
            <w:pPr>
              <w:spacing w:after="0"/>
              <w:jc w:val="left"/>
              <w:rPr>
                <w:color w:val="314364" w:themeColor="text2"/>
                <w:sz w:val="18"/>
                <w:szCs w:val="18"/>
              </w:rPr>
            </w:pPr>
            <w:r w:rsidRPr="00F5314D">
              <w:rPr>
                <w:color w:val="314364" w:themeColor="text2"/>
                <w:sz w:val="18"/>
                <w:szCs w:val="18"/>
              </w:rPr>
              <w:t>ÚV SR</w:t>
            </w:r>
          </w:p>
        </w:tc>
        <w:tc>
          <w:tcPr>
            <w:tcW w:w="1671" w:type="pct"/>
          </w:tcPr>
          <w:p w14:paraId="1E6C244E" w14:textId="67A4B670" w:rsidR="00AF0DDD" w:rsidRPr="00A07685" w:rsidRDefault="00AF0DDD" w:rsidP="00AF0DDD">
            <w:pPr>
              <w:spacing w:after="0"/>
              <w:jc w:val="left"/>
              <w:rPr>
                <w:sz w:val="18"/>
                <w:szCs w:val="18"/>
              </w:rPr>
            </w:pPr>
            <w:r w:rsidRPr="00A07685">
              <w:rPr>
                <w:sz w:val="18"/>
                <w:szCs w:val="18"/>
              </w:rPr>
              <w:t>Úrad vlády Slovenskej republiky</w:t>
            </w:r>
          </w:p>
        </w:tc>
      </w:tr>
      <w:tr w:rsidR="00AF0DDD" w:rsidRPr="00A703DD" w14:paraId="1760D79E" w14:textId="77777777" w:rsidTr="006B7D1B">
        <w:trPr>
          <w:trHeight w:val="267"/>
          <w:jc w:val="center"/>
        </w:trPr>
        <w:tc>
          <w:tcPr>
            <w:tcW w:w="596" w:type="pct"/>
            <w:shd w:val="clear" w:color="auto" w:fill="auto"/>
          </w:tcPr>
          <w:p w14:paraId="282A8D3E" w14:textId="77777777" w:rsidR="00AF0DDD" w:rsidRPr="00A703DD" w:rsidRDefault="00AF0DDD" w:rsidP="00AF0DDD">
            <w:pPr>
              <w:spacing w:after="0"/>
              <w:jc w:val="left"/>
              <w:rPr>
                <w:color w:val="314364" w:themeColor="text2"/>
                <w:sz w:val="18"/>
                <w:szCs w:val="18"/>
                <w:highlight w:val="yellow"/>
              </w:rPr>
            </w:pPr>
            <w:r w:rsidRPr="00CB0C0D">
              <w:rPr>
                <w:color w:val="314364" w:themeColor="text2"/>
                <w:sz w:val="18"/>
                <w:szCs w:val="18"/>
              </w:rPr>
              <w:t>MF SR</w:t>
            </w:r>
          </w:p>
        </w:tc>
        <w:tc>
          <w:tcPr>
            <w:tcW w:w="2358" w:type="pct"/>
            <w:shd w:val="clear" w:color="auto" w:fill="auto"/>
          </w:tcPr>
          <w:p w14:paraId="037957E6" w14:textId="77777777" w:rsidR="00AF0DDD" w:rsidRPr="00A703DD" w:rsidRDefault="00AF0DDD" w:rsidP="00AF0DDD">
            <w:pPr>
              <w:spacing w:after="0"/>
              <w:ind w:right="299"/>
              <w:jc w:val="left"/>
              <w:rPr>
                <w:sz w:val="18"/>
                <w:szCs w:val="18"/>
                <w:highlight w:val="yellow"/>
              </w:rPr>
            </w:pPr>
            <w:r w:rsidRPr="002B3418">
              <w:rPr>
                <w:sz w:val="18"/>
                <w:szCs w:val="18"/>
              </w:rPr>
              <w:t>Ministerstvo financií Slovenskej republiky</w:t>
            </w:r>
          </w:p>
        </w:tc>
        <w:tc>
          <w:tcPr>
            <w:tcW w:w="375" w:type="pct"/>
          </w:tcPr>
          <w:p w14:paraId="612DB3E5" w14:textId="34F7D668" w:rsidR="00AF0DDD" w:rsidRPr="00A703DD" w:rsidRDefault="00AF0DDD" w:rsidP="00AF0DDD">
            <w:pPr>
              <w:spacing w:after="0"/>
              <w:jc w:val="left"/>
              <w:rPr>
                <w:sz w:val="18"/>
                <w:szCs w:val="18"/>
                <w:highlight w:val="yellow"/>
              </w:rPr>
            </w:pPr>
            <w:r>
              <w:rPr>
                <w:color w:val="314364" w:themeColor="text2"/>
                <w:sz w:val="18"/>
                <w:szCs w:val="18"/>
              </w:rPr>
              <w:t>VO</w:t>
            </w:r>
          </w:p>
        </w:tc>
        <w:tc>
          <w:tcPr>
            <w:tcW w:w="1671" w:type="pct"/>
          </w:tcPr>
          <w:p w14:paraId="315B51E0" w14:textId="22E926F4" w:rsidR="00AF0DDD" w:rsidRPr="00A703DD" w:rsidRDefault="00AF0DDD" w:rsidP="00AF0DDD">
            <w:pPr>
              <w:spacing w:after="0"/>
              <w:jc w:val="left"/>
              <w:rPr>
                <w:sz w:val="18"/>
                <w:szCs w:val="18"/>
                <w:highlight w:val="yellow"/>
              </w:rPr>
            </w:pPr>
            <w:r w:rsidRPr="00A07685">
              <w:rPr>
                <w:sz w:val="18"/>
                <w:szCs w:val="18"/>
              </w:rPr>
              <w:t>verejné obstarávanie</w:t>
            </w:r>
          </w:p>
        </w:tc>
      </w:tr>
      <w:tr w:rsidR="00AF0DDD" w:rsidRPr="00A703DD" w14:paraId="3842D690" w14:textId="77777777" w:rsidTr="006B7D1B">
        <w:trPr>
          <w:trHeight w:val="267"/>
          <w:jc w:val="center"/>
        </w:trPr>
        <w:tc>
          <w:tcPr>
            <w:tcW w:w="596" w:type="pct"/>
            <w:shd w:val="clear" w:color="auto" w:fill="auto"/>
          </w:tcPr>
          <w:p w14:paraId="793C88AF" w14:textId="77777777" w:rsidR="00AF0DDD" w:rsidRPr="00A703DD" w:rsidRDefault="00AF0DDD" w:rsidP="00AF0DDD">
            <w:pPr>
              <w:spacing w:after="0"/>
              <w:jc w:val="left"/>
              <w:rPr>
                <w:color w:val="314364" w:themeColor="text2"/>
                <w:sz w:val="18"/>
                <w:szCs w:val="18"/>
                <w:highlight w:val="yellow"/>
              </w:rPr>
            </w:pPr>
            <w:r w:rsidRPr="00CB3B4D">
              <w:rPr>
                <w:color w:val="314364" w:themeColor="text2"/>
                <w:sz w:val="18"/>
                <w:szCs w:val="18"/>
              </w:rPr>
              <w:t>MH SR</w:t>
            </w:r>
          </w:p>
        </w:tc>
        <w:tc>
          <w:tcPr>
            <w:tcW w:w="2358" w:type="pct"/>
            <w:shd w:val="clear" w:color="auto" w:fill="auto"/>
          </w:tcPr>
          <w:p w14:paraId="22549BEF" w14:textId="77777777" w:rsidR="00AF0DDD" w:rsidRPr="00A703DD" w:rsidRDefault="00AF0DDD" w:rsidP="00AF0DDD">
            <w:pPr>
              <w:spacing w:after="0"/>
              <w:ind w:right="299"/>
              <w:jc w:val="left"/>
              <w:rPr>
                <w:sz w:val="18"/>
                <w:szCs w:val="18"/>
                <w:highlight w:val="yellow"/>
              </w:rPr>
            </w:pPr>
            <w:r w:rsidRPr="002B3418">
              <w:rPr>
                <w:sz w:val="18"/>
                <w:szCs w:val="18"/>
              </w:rPr>
              <w:t>Ministerstvo hospodárstva Slovenskej republiky</w:t>
            </w:r>
          </w:p>
        </w:tc>
        <w:tc>
          <w:tcPr>
            <w:tcW w:w="375" w:type="pct"/>
          </w:tcPr>
          <w:p w14:paraId="22EEEB21" w14:textId="658829F1" w:rsidR="00AF0DDD" w:rsidRPr="00A703DD" w:rsidRDefault="00AF0DDD" w:rsidP="00AF0DDD">
            <w:pPr>
              <w:spacing w:after="0"/>
              <w:jc w:val="left"/>
              <w:rPr>
                <w:sz w:val="18"/>
                <w:szCs w:val="18"/>
                <w:highlight w:val="yellow"/>
              </w:rPr>
            </w:pPr>
            <w:r w:rsidRPr="009A38F9">
              <w:rPr>
                <w:color w:val="314364" w:themeColor="text2"/>
                <w:sz w:val="18"/>
                <w:szCs w:val="18"/>
              </w:rPr>
              <w:t>VpDP</w:t>
            </w:r>
          </w:p>
        </w:tc>
        <w:tc>
          <w:tcPr>
            <w:tcW w:w="1671" w:type="pct"/>
          </w:tcPr>
          <w:p w14:paraId="42BF1985" w14:textId="33BDF172" w:rsidR="00AF0DDD" w:rsidRPr="00A703DD" w:rsidRDefault="00AF0DDD" w:rsidP="00AF0DDD">
            <w:pPr>
              <w:spacing w:after="0"/>
              <w:jc w:val="left"/>
              <w:rPr>
                <w:sz w:val="18"/>
                <w:szCs w:val="18"/>
                <w:highlight w:val="yellow"/>
              </w:rPr>
            </w:pPr>
            <w:r w:rsidRPr="00A07685">
              <w:rPr>
                <w:sz w:val="18"/>
                <w:szCs w:val="18"/>
              </w:rPr>
              <w:t xml:space="preserve">Výbor pre </w:t>
            </w:r>
            <w:r>
              <w:rPr>
                <w:sz w:val="18"/>
                <w:szCs w:val="18"/>
              </w:rPr>
              <w:t>daňové prognózy</w:t>
            </w:r>
          </w:p>
        </w:tc>
      </w:tr>
      <w:tr w:rsidR="00AF0DDD" w:rsidRPr="00A703DD" w14:paraId="11FB7D2A" w14:textId="77777777" w:rsidTr="006B7D1B">
        <w:trPr>
          <w:trHeight w:val="267"/>
          <w:jc w:val="center"/>
        </w:trPr>
        <w:tc>
          <w:tcPr>
            <w:tcW w:w="596" w:type="pct"/>
            <w:shd w:val="clear" w:color="auto" w:fill="auto"/>
          </w:tcPr>
          <w:p w14:paraId="772E2495" w14:textId="77777777" w:rsidR="00AF0DDD" w:rsidRPr="00A703DD" w:rsidRDefault="00AF0DDD" w:rsidP="00AF0DDD">
            <w:pPr>
              <w:spacing w:after="0"/>
              <w:jc w:val="left"/>
              <w:rPr>
                <w:color w:val="314364" w:themeColor="text2"/>
                <w:sz w:val="18"/>
                <w:szCs w:val="18"/>
                <w:highlight w:val="yellow"/>
              </w:rPr>
            </w:pPr>
            <w:r w:rsidRPr="00CB3B4D">
              <w:rPr>
                <w:color w:val="314364" w:themeColor="text2"/>
                <w:sz w:val="18"/>
                <w:szCs w:val="18"/>
              </w:rPr>
              <w:t>MIRRI SR</w:t>
            </w:r>
          </w:p>
        </w:tc>
        <w:tc>
          <w:tcPr>
            <w:tcW w:w="2358" w:type="pct"/>
            <w:shd w:val="clear" w:color="auto" w:fill="auto"/>
          </w:tcPr>
          <w:p w14:paraId="403E52E7" w14:textId="77777777" w:rsidR="00AF0DDD" w:rsidRPr="00A703DD" w:rsidRDefault="00AF0DDD" w:rsidP="00AF0DDD">
            <w:pPr>
              <w:spacing w:after="0"/>
              <w:ind w:right="299"/>
              <w:jc w:val="left"/>
              <w:rPr>
                <w:sz w:val="18"/>
                <w:szCs w:val="18"/>
                <w:highlight w:val="yellow"/>
              </w:rPr>
            </w:pPr>
            <w:r w:rsidRPr="002B3418">
              <w:rPr>
                <w:sz w:val="18"/>
                <w:szCs w:val="18"/>
              </w:rPr>
              <w:t>Ministerstvo investícií, regionálneho rozvoja a informatizácie Slovenskej republiky</w:t>
            </w:r>
          </w:p>
        </w:tc>
        <w:tc>
          <w:tcPr>
            <w:tcW w:w="375" w:type="pct"/>
          </w:tcPr>
          <w:p w14:paraId="31FF3B9D" w14:textId="18E475A9" w:rsidR="00AF0DDD" w:rsidRPr="00A703DD" w:rsidRDefault="00AF0DDD" w:rsidP="00AF0DDD">
            <w:pPr>
              <w:spacing w:after="0"/>
              <w:jc w:val="left"/>
              <w:rPr>
                <w:sz w:val="18"/>
                <w:szCs w:val="18"/>
                <w:highlight w:val="yellow"/>
              </w:rPr>
            </w:pPr>
            <w:r>
              <w:rPr>
                <w:color w:val="314364" w:themeColor="text2"/>
                <w:sz w:val="18"/>
                <w:szCs w:val="18"/>
              </w:rPr>
              <w:t>VpMP</w:t>
            </w:r>
          </w:p>
        </w:tc>
        <w:tc>
          <w:tcPr>
            <w:tcW w:w="1671" w:type="pct"/>
          </w:tcPr>
          <w:p w14:paraId="0F82A6AB" w14:textId="77777777" w:rsidR="00AF0DDD" w:rsidRPr="00A07685" w:rsidRDefault="00AF0DDD" w:rsidP="00AF0DDD">
            <w:pPr>
              <w:spacing w:after="0"/>
              <w:jc w:val="left"/>
              <w:rPr>
                <w:sz w:val="18"/>
                <w:szCs w:val="18"/>
              </w:rPr>
            </w:pPr>
            <w:r w:rsidRPr="00A07685">
              <w:rPr>
                <w:sz w:val="18"/>
                <w:szCs w:val="18"/>
              </w:rPr>
              <w:t xml:space="preserve">Výbor pre makroekonomické </w:t>
            </w:r>
          </w:p>
          <w:p w14:paraId="279ECBC1" w14:textId="2240B288" w:rsidR="00AF0DDD" w:rsidRPr="00A703DD" w:rsidRDefault="00AF0DDD" w:rsidP="00AF0DDD">
            <w:pPr>
              <w:spacing w:after="0"/>
              <w:jc w:val="left"/>
              <w:rPr>
                <w:sz w:val="18"/>
                <w:szCs w:val="18"/>
                <w:highlight w:val="yellow"/>
              </w:rPr>
            </w:pPr>
            <w:r w:rsidRPr="00A07685">
              <w:rPr>
                <w:sz w:val="18"/>
                <w:szCs w:val="18"/>
              </w:rPr>
              <w:t>prognóz</w:t>
            </w:r>
            <w:r>
              <w:rPr>
                <w:sz w:val="18"/>
                <w:szCs w:val="18"/>
              </w:rPr>
              <w:t>y</w:t>
            </w:r>
          </w:p>
        </w:tc>
      </w:tr>
      <w:tr w:rsidR="00AF0DDD" w:rsidRPr="00A703DD" w14:paraId="4F0B8436" w14:textId="77777777" w:rsidTr="006B7D1B">
        <w:trPr>
          <w:trHeight w:val="267"/>
          <w:jc w:val="center"/>
        </w:trPr>
        <w:tc>
          <w:tcPr>
            <w:tcW w:w="596" w:type="pct"/>
            <w:shd w:val="clear" w:color="auto" w:fill="auto"/>
          </w:tcPr>
          <w:p w14:paraId="77FD63C2" w14:textId="77777777" w:rsidR="00AF0DDD" w:rsidRPr="00A703DD" w:rsidRDefault="00AF0DDD" w:rsidP="00AF0DDD">
            <w:pPr>
              <w:spacing w:after="0"/>
              <w:jc w:val="left"/>
              <w:rPr>
                <w:color w:val="314364" w:themeColor="text2"/>
                <w:sz w:val="18"/>
                <w:szCs w:val="18"/>
                <w:highlight w:val="yellow"/>
              </w:rPr>
            </w:pPr>
            <w:r>
              <w:rPr>
                <w:color w:val="314364" w:themeColor="text2"/>
                <w:sz w:val="18"/>
                <w:szCs w:val="18"/>
              </w:rPr>
              <w:t>MK SR</w:t>
            </w:r>
          </w:p>
        </w:tc>
        <w:tc>
          <w:tcPr>
            <w:tcW w:w="2358" w:type="pct"/>
            <w:shd w:val="clear" w:color="auto" w:fill="auto"/>
          </w:tcPr>
          <w:p w14:paraId="4EE90FD3" w14:textId="77777777" w:rsidR="00AF0DDD" w:rsidRPr="00A703DD" w:rsidRDefault="00AF0DDD" w:rsidP="00AF0DDD">
            <w:pPr>
              <w:spacing w:after="0"/>
              <w:ind w:right="299"/>
              <w:jc w:val="left"/>
              <w:rPr>
                <w:sz w:val="18"/>
                <w:szCs w:val="18"/>
                <w:highlight w:val="yellow"/>
              </w:rPr>
            </w:pPr>
            <w:r w:rsidRPr="002B3418">
              <w:rPr>
                <w:sz w:val="18"/>
                <w:szCs w:val="18"/>
              </w:rPr>
              <w:t>Ministerstvo kultúry Slovenskej republiky</w:t>
            </w:r>
          </w:p>
        </w:tc>
        <w:tc>
          <w:tcPr>
            <w:tcW w:w="375" w:type="pct"/>
          </w:tcPr>
          <w:p w14:paraId="5E10DF5A" w14:textId="270DDF07" w:rsidR="00AF0DDD" w:rsidRPr="00A703DD" w:rsidRDefault="00AF0DDD" w:rsidP="00AF0DDD">
            <w:pPr>
              <w:spacing w:after="0"/>
              <w:jc w:val="left"/>
              <w:rPr>
                <w:sz w:val="18"/>
                <w:szCs w:val="18"/>
                <w:highlight w:val="yellow"/>
              </w:rPr>
            </w:pPr>
            <w:r>
              <w:rPr>
                <w:color w:val="314364" w:themeColor="text2"/>
                <w:sz w:val="18"/>
                <w:szCs w:val="18"/>
              </w:rPr>
              <w:t>VPS</w:t>
            </w:r>
          </w:p>
        </w:tc>
        <w:tc>
          <w:tcPr>
            <w:tcW w:w="1671" w:type="pct"/>
          </w:tcPr>
          <w:p w14:paraId="0F6C7685" w14:textId="5A31DE4B" w:rsidR="00AF0DDD" w:rsidRPr="00A703DD" w:rsidRDefault="00AF0DDD" w:rsidP="00AF0DDD">
            <w:pPr>
              <w:spacing w:after="0"/>
              <w:jc w:val="left"/>
              <w:rPr>
                <w:sz w:val="18"/>
                <w:szCs w:val="18"/>
                <w:highlight w:val="yellow"/>
              </w:rPr>
            </w:pPr>
            <w:r w:rsidRPr="00A07685">
              <w:rPr>
                <w:sz w:val="18"/>
                <w:szCs w:val="18"/>
              </w:rPr>
              <w:t>Všeobecná pokladničná správa</w:t>
            </w:r>
          </w:p>
        </w:tc>
      </w:tr>
      <w:tr w:rsidR="00AF0DDD" w:rsidRPr="00A703DD" w14:paraId="1365C392" w14:textId="77777777" w:rsidTr="006B7D1B">
        <w:trPr>
          <w:trHeight w:val="267"/>
          <w:jc w:val="center"/>
        </w:trPr>
        <w:tc>
          <w:tcPr>
            <w:tcW w:w="596" w:type="pct"/>
            <w:shd w:val="clear" w:color="auto" w:fill="auto"/>
          </w:tcPr>
          <w:p w14:paraId="07DBF8CB" w14:textId="77777777" w:rsidR="00AF0DDD" w:rsidRPr="00A703DD" w:rsidRDefault="00AF0DDD" w:rsidP="00AF0DDD">
            <w:pPr>
              <w:spacing w:after="0"/>
              <w:jc w:val="left"/>
              <w:rPr>
                <w:color w:val="314364" w:themeColor="text2"/>
                <w:sz w:val="18"/>
                <w:szCs w:val="18"/>
                <w:highlight w:val="yellow"/>
              </w:rPr>
            </w:pPr>
            <w:r w:rsidRPr="00D23F1D">
              <w:rPr>
                <w:color w:val="314364" w:themeColor="text2"/>
                <w:sz w:val="18"/>
                <w:szCs w:val="18"/>
              </w:rPr>
              <w:t>MO SR</w:t>
            </w:r>
          </w:p>
        </w:tc>
        <w:tc>
          <w:tcPr>
            <w:tcW w:w="2358" w:type="pct"/>
            <w:shd w:val="clear" w:color="auto" w:fill="auto"/>
          </w:tcPr>
          <w:p w14:paraId="1CE429D0" w14:textId="77777777" w:rsidR="00AF0DDD" w:rsidRPr="00A703DD" w:rsidRDefault="00AF0DDD" w:rsidP="00AF0DDD">
            <w:pPr>
              <w:spacing w:after="0"/>
              <w:ind w:right="299"/>
              <w:jc w:val="left"/>
              <w:rPr>
                <w:sz w:val="18"/>
                <w:szCs w:val="18"/>
                <w:highlight w:val="yellow"/>
              </w:rPr>
            </w:pPr>
            <w:r w:rsidRPr="002B3418">
              <w:rPr>
                <w:sz w:val="18"/>
                <w:szCs w:val="18"/>
              </w:rPr>
              <w:t>Ministerstvo obrany Slovenskej republiky</w:t>
            </w:r>
          </w:p>
        </w:tc>
        <w:tc>
          <w:tcPr>
            <w:tcW w:w="375" w:type="pct"/>
          </w:tcPr>
          <w:p w14:paraId="7824CE86" w14:textId="4629B96A" w:rsidR="00AF0DDD" w:rsidRPr="00A703DD" w:rsidRDefault="00AF0DDD" w:rsidP="00AF0DDD">
            <w:pPr>
              <w:spacing w:after="0"/>
              <w:jc w:val="left"/>
              <w:rPr>
                <w:sz w:val="18"/>
                <w:szCs w:val="18"/>
                <w:highlight w:val="yellow"/>
              </w:rPr>
            </w:pPr>
            <w:r>
              <w:rPr>
                <w:color w:val="314364" w:themeColor="text2"/>
                <w:sz w:val="18"/>
                <w:szCs w:val="18"/>
              </w:rPr>
              <w:t>VS</w:t>
            </w:r>
          </w:p>
        </w:tc>
        <w:tc>
          <w:tcPr>
            <w:tcW w:w="1671" w:type="pct"/>
          </w:tcPr>
          <w:p w14:paraId="3713F333" w14:textId="49BAED00" w:rsidR="00AF0DDD" w:rsidRPr="00A703DD" w:rsidRDefault="00AF0DDD" w:rsidP="00AF0DDD">
            <w:pPr>
              <w:spacing w:after="0"/>
              <w:jc w:val="left"/>
              <w:rPr>
                <w:sz w:val="18"/>
                <w:szCs w:val="18"/>
                <w:highlight w:val="yellow"/>
              </w:rPr>
            </w:pPr>
            <w:r w:rsidRPr="00A07685">
              <w:rPr>
                <w:sz w:val="18"/>
                <w:szCs w:val="18"/>
              </w:rPr>
              <w:t>verejná správa</w:t>
            </w:r>
          </w:p>
        </w:tc>
      </w:tr>
      <w:tr w:rsidR="00AF0DDD" w:rsidRPr="00A703DD" w14:paraId="49D26F59" w14:textId="77777777" w:rsidTr="006B7D1B">
        <w:trPr>
          <w:trHeight w:val="267"/>
          <w:jc w:val="center"/>
        </w:trPr>
        <w:tc>
          <w:tcPr>
            <w:tcW w:w="596" w:type="pct"/>
            <w:shd w:val="clear" w:color="auto" w:fill="auto"/>
          </w:tcPr>
          <w:p w14:paraId="420C7BED" w14:textId="77777777" w:rsidR="00AF0DDD" w:rsidRPr="00A703DD" w:rsidRDefault="00AF0DDD" w:rsidP="00AF0DDD">
            <w:pPr>
              <w:spacing w:after="0"/>
              <w:jc w:val="left"/>
              <w:rPr>
                <w:color w:val="314364" w:themeColor="text2"/>
                <w:sz w:val="18"/>
                <w:szCs w:val="18"/>
                <w:highlight w:val="yellow"/>
              </w:rPr>
            </w:pPr>
            <w:r w:rsidRPr="001C2B6B">
              <w:rPr>
                <w:color w:val="314364" w:themeColor="text2"/>
                <w:sz w:val="18"/>
                <w:szCs w:val="18"/>
              </w:rPr>
              <w:t>MPRV SR</w:t>
            </w:r>
          </w:p>
        </w:tc>
        <w:tc>
          <w:tcPr>
            <w:tcW w:w="2358" w:type="pct"/>
            <w:shd w:val="clear" w:color="auto" w:fill="auto"/>
          </w:tcPr>
          <w:p w14:paraId="73FAFC4D" w14:textId="77777777" w:rsidR="00AF0DDD" w:rsidRPr="00A703DD" w:rsidRDefault="00AF0DDD" w:rsidP="00AF0DDD">
            <w:pPr>
              <w:spacing w:after="0"/>
              <w:ind w:right="299"/>
              <w:jc w:val="left"/>
              <w:rPr>
                <w:sz w:val="18"/>
                <w:szCs w:val="18"/>
                <w:highlight w:val="yellow"/>
              </w:rPr>
            </w:pPr>
            <w:r w:rsidRPr="002B3418">
              <w:rPr>
                <w:sz w:val="18"/>
                <w:szCs w:val="18"/>
              </w:rPr>
              <w:t>Ministerstvo pôdohospodárstva a rozvoja vidieka Slovenskej republiky</w:t>
            </w:r>
          </w:p>
        </w:tc>
        <w:tc>
          <w:tcPr>
            <w:tcW w:w="375" w:type="pct"/>
          </w:tcPr>
          <w:p w14:paraId="7EAE0191" w14:textId="2322FC82" w:rsidR="00AF0DDD" w:rsidRPr="00A703DD" w:rsidRDefault="00AF0DDD" w:rsidP="00AF0DDD">
            <w:pPr>
              <w:spacing w:after="0"/>
              <w:jc w:val="left"/>
              <w:rPr>
                <w:sz w:val="18"/>
                <w:szCs w:val="18"/>
                <w:highlight w:val="yellow"/>
              </w:rPr>
            </w:pPr>
            <w:r>
              <w:rPr>
                <w:color w:val="314364" w:themeColor="text2"/>
                <w:sz w:val="18"/>
                <w:szCs w:val="18"/>
              </w:rPr>
              <w:t>VšZP</w:t>
            </w:r>
          </w:p>
        </w:tc>
        <w:tc>
          <w:tcPr>
            <w:tcW w:w="1671" w:type="pct"/>
          </w:tcPr>
          <w:p w14:paraId="747F1195" w14:textId="103DC319" w:rsidR="00AF0DDD" w:rsidRPr="00A703DD" w:rsidRDefault="00AF0DDD" w:rsidP="00AF0DDD">
            <w:pPr>
              <w:spacing w:after="0"/>
              <w:jc w:val="left"/>
              <w:rPr>
                <w:sz w:val="18"/>
                <w:szCs w:val="18"/>
                <w:highlight w:val="yellow"/>
              </w:rPr>
            </w:pPr>
            <w:r w:rsidRPr="00A07685">
              <w:rPr>
                <w:sz w:val="18"/>
                <w:szCs w:val="18"/>
              </w:rPr>
              <w:t>Všeobecná zdravotná poisťovňa, a. s.</w:t>
            </w:r>
          </w:p>
        </w:tc>
      </w:tr>
      <w:tr w:rsidR="00AF0DDD" w:rsidRPr="00A703DD" w14:paraId="6FC31A63" w14:textId="77777777" w:rsidTr="006B7D1B">
        <w:trPr>
          <w:trHeight w:val="267"/>
          <w:jc w:val="center"/>
        </w:trPr>
        <w:tc>
          <w:tcPr>
            <w:tcW w:w="596" w:type="pct"/>
            <w:shd w:val="clear" w:color="auto" w:fill="auto"/>
          </w:tcPr>
          <w:p w14:paraId="29068AAA" w14:textId="77777777" w:rsidR="00AF0DDD" w:rsidRPr="00A703DD" w:rsidRDefault="00AF0DDD" w:rsidP="00AF0DDD">
            <w:pPr>
              <w:spacing w:after="0"/>
              <w:jc w:val="left"/>
              <w:rPr>
                <w:color w:val="314364" w:themeColor="text2"/>
                <w:sz w:val="18"/>
                <w:szCs w:val="18"/>
                <w:highlight w:val="yellow"/>
              </w:rPr>
            </w:pPr>
            <w:r w:rsidRPr="009A38F9">
              <w:rPr>
                <w:color w:val="314364" w:themeColor="text2"/>
                <w:sz w:val="18"/>
                <w:szCs w:val="18"/>
              </w:rPr>
              <w:t>MPSVR SR</w:t>
            </w:r>
          </w:p>
        </w:tc>
        <w:tc>
          <w:tcPr>
            <w:tcW w:w="2358" w:type="pct"/>
            <w:shd w:val="clear" w:color="auto" w:fill="auto"/>
          </w:tcPr>
          <w:p w14:paraId="7B0273B8" w14:textId="77777777" w:rsidR="00AF0DDD" w:rsidRPr="00A703DD" w:rsidRDefault="00AF0DDD" w:rsidP="00AF0DDD">
            <w:pPr>
              <w:spacing w:after="0"/>
              <w:ind w:right="299"/>
              <w:jc w:val="left"/>
              <w:rPr>
                <w:sz w:val="18"/>
                <w:szCs w:val="18"/>
                <w:highlight w:val="yellow"/>
              </w:rPr>
            </w:pPr>
            <w:r w:rsidRPr="002B3418">
              <w:rPr>
                <w:sz w:val="18"/>
                <w:szCs w:val="18"/>
              </w:rPr>
              <w:t>Ministerstvo práce, sociálnych vecí a rodiny Slovenskej republiky</w:t>
            </w:r>
          </w:p>
        </w:tc>
        <w:tc>
          <w:tcPr>
            <w:tcW w:w="375" w:type="pct"/>
          </w:tcPr>
          <w:p w14:paraId="281E637D" w14:textId="2C724E94" w:rsidR="00AF0DDD" w:rsidRPr="00A703DD" w:rsidRDefault="00AF0DDD" w:rsidP="00AF0DDD">
            <w:pPr>
              <w:spacing w:after="0"/>
              <w:jc w:val="left"/>
              <w:rPr>
                <w:sz w:val="18"/>
                <w:szCs w:val="18"/>
                <w:highlight w:val="yellow"/>
              </w:rPr>
            </w:pPr>
            <w:r w:rsidRPr="00B67559">
              <w:rPr>
                <w:color w:val="314364" w:themeColor="text2"/>
                <w:sz w:val="18"/>
                <w:szCs w:val="18"/>
              </w:rPr>
              <w:t>VÚC</w:t>
            </w:r>
          </w:p>
        </w:tc>
        <w:tc>
          <w:tcPr>
            <w:tcW w:w="1671" w:type="pct"/>
          </w:tcPr>
          <w:p w14:paraId="30DB7FD0" w14:textId="383D5BF5" w:rsidR="00AF0DDD" w:rsidRPr="00A703DD" w:rsidRDefault="00AF0DDD" w:rsidP="00AF0DDD">
            <w:pPr>
              <w:spacing w:after="0"/>
              <w:jc w:val="left"/>
              <w:rPr>
                <w:sz w:val="18"/>
                <w:szCs w:val="18"/>
                <w:highlight w:val="yellow"/>
              </w:rPr>
            </w:pPr>
            <w:r w:rsidRPr="00A07685">
              <w:rPr>
                <w:sz w:val="18"/>
                <w:szCs w:val="18"/>
              </w:rPr>
              <w:t>vyšší územný celok</w:t>
            </w:r>
          </w:p>
        </w:tc>
      </w:tr>
      <w:tr w:rsidR="00AF0DDD" w:rsidRPr="00A703DD" w14:paraId="644F710E" w14:textId="77777777" w:rsidTr="006B7D1B">
        <w:trPr>
          <w:trHeight w:val="267"/>
          <w:jc w:val="center"/>
        </w:trPr>
        <w:tc>
          <w:tcPr>
            <w:tcW w:w="596" w:type="pct"/>
            <w:shd w:val="clear" w:color="auto" w:fill="auto"/>
          </w:tcPr>
          <w:p w14:paraId="2AD84146" w14:textId="77777777" w:rsidR="00AF0DDD" w:rsidRPr="00A703DD" w:rsidRDefault="00AF0DDD" w:rsidP="00AF0DDD">
            <w:pPr>
              <w:spacing w:after="0"/>
              <w:jc w:val="left"/>
              <w:rPr>
                <w:color w:val="314364" w:themeColor="text2"/>
                <w:sz w:val="18"/>
                <w:szCs w:val="18"/>
                <w:highlight w:val="yellow"/>
              </w:rPr>
            </w:pPr>
            <w:r>
              <w:rPr>
                <w:color w:val="314364" w:themeColor="text2"/>
                <w:sz w:val="18"/>
                <w:szCs w:val="18"/>
              </w:rPr>
              <w:t>MS SR</w:t>
            </w:r>
          </w:p>
        </w:tc>
        <w:tc>
          <w:tcPr>
            <w:tcW w:w="2358" w:type="pct"/>
            <w:shd w:val="clear" w:color="auto" w:fill="auto"/>
          </w:tcPr>
          <w:p w14:paraId="454CF744" w14:textId="77777777" w:rsidR="00AF0DDD" w:rsidRPr="00A703DD" w:rsidRDefault="00AF0DDD" w:rsidP="00AF0DDD">
            <w:pPr>
              <w:spacing w:after="0"/>
              <w:ind w:right="299"/>
              <w:jc w:val="left"/>
              <w:rPr>
                <w:sz w:val="18"/>
                <w:szCs w:val="18"/>
                <w:highlight w:val="yellow"/>
              </w:rPr>
            </w:pPr>
            <w:r w:rsidRPr="002B3418">
              <w:rPr>
                <w:sz w:val="18"/>
                <w:szCs w:val="18"/>
              </w:rPr>
              <w:t>Ministerstvo spravodlivosti Slovenskej republiky</w:t>
            </w:r>
          </w:p>
        </w:tc>
        <w:tc>
          <w:tcPr>
            <w:tcW w:w="375" w:type="pct"/>
          </w:tcPr>
          <w:p w14:paraId="34B6C791" w14:textId="24FD97D4" w:rsidR="00AF0DDD" w:rsidRPr="00A703DD" w:rsidRDefault="00AF0DDD" w:rsidP="00AF0DDD">
            <w:pPr>
              <w:spacing w:after="0"/>
              <w:jc w:val="left"/>
              <w:rPr>
                <w:sz w:val="18"/>
                <w:szCs w:val="18"/>
                <w:highlight w:val="yellow"/>
              </w:rPr>
            </w:pPr>
            <w:r>
              <w:rPr>
                <w:color w:val="314364" w:themeColor="text2"/>
                <w:sz w:val="18"/>
                <w:szCs w:val="18"/>
              </w:rPr>
              <w:t>VVŠ</w:t>
            </w:r>
          </w:p>
        </w:tc>
        <w:tc>
          <w:tcPr>
            <w:tcW w:w="1671" w:type="pct"/>
          </w:tcPr>
          <w:p w14:paraId="6312D3AD" w14:textId="2FB660FB" w:rsidR="00AF0DDD" w:rsidRPr="00A703DD" w:rsidRDefault="00AF0DDD" w:rsidP="00AF0DDD">
            <w:pPr>
              <w:spacing w:after="0"/>
              <w:jc w:val="left"/>
              <w:rPr>
                <w:sz w:val="18"/>
                <w:szCs w:val="18"/>
                <w:highlight w:val="yellow"/>
              </w:rPr>
            </w:pPr>
            <w:r>
              <w:rPr>
                <w:sz w:val="18"/>
                <w:szCs w:val="18"/>
              </w:rPr>
              <w:t>v</w:t>
            </w:r>
            <w:r w:rsidRPr="00A07685">
              <w:rPr>
                <w:sz w:val="18"/>
                <w:szCs w:val="18"/>
              </w:rPr>
              <w:t>erejné vysoké školy</w:t>
            </w:r>
          </w:p>
        </w:tc>
      </w:tr>
      <w:tr w:rsidR="00AF0DDD" w:rsidRPr="00A703DD" w14:paraId="070B83BC" w14:textId="77777777" w:rsidTr="006B7D1B">
        <w:trPr>
          <w:trHeight w:val="267"/>
          <w:jc w:val="center"/>
        </w:trPr>
        <w:tc>
          <w:tcPr>
            <w:tcW w:w="596" w:type="pct"/>
            <w:shd w:val="clear" w:color="auto" w:fill="auto"/>
          </w:tcPr>
          <w:p w14:paraId="56B124CA" w14:textId="77777777" w:rsidR="00AF0DDD" w:rsidRPr="00A703DD" w:rsidRDefault="00AF0DDD" w:rsidP="00AF0DDD">
            <w:pPr>
              <w:spacing w:after="0"/>
              <w:jc w:val="left"/>
              <w:rPr>
                <w:color w:val="314364" w:themeColor="text2"/>
                <w:sz w:val="18"/>
                <w:szCs w:val="18"/>
                <w:highlight w:val="yellow"/>
              </w:rPr>
            </w:pPr>
            <w:r w:rsidRPr="009A38F9">
              <w:rPr>
                <w:color w:val="314364" w:themeColor="text2"/>
                <w:sz w:val="18"/>
                <w:szCs w:val="18"/>
              </w:rPr>
              <w:t>MŠVVaŠ SR</w:t>
            </w:r>
          </w:p>
        </w:tc>
        <w:tc>
          <w:tcPr>
            <w:tcW w:w="2358" w:type="pct"/>
            <w:shd w:val="clear" w:color="auto" w:fill="auto"/>
          </w:tcPr>
          <w:p w14:paraId="64DD3924" w14:textId="77777777" w:rsidR="00AF0DDD" w:rsidRPr="00A703DD" w:rsidRDefault="00AF0DDD" w:rsidP="00AF0DDD">
            <w:pPr>
              <w:spacing w:after="0"/>
              <w:ind w:right="299"/>
              <w:jc w:val="left"/>
              <w:rPr>
                <w:sz w:val="18"/>
                <w:szCs w:val="18"/>
                <w:highlight w:val="yellow"/>
              </w:rPr>
            </w:pPr>
            <w:r w:rsidRPr="002B3418">
              <w:rPr>
                <w:sz w:val="18"/>
                <w:szCs w:val="18"/>
              </w:rPr>
              <w:t>Ministerstvo školstva, vedy, výskumu a športu Slovenskej republiky</w:t>
            </w:r>
          </w:p>
        </w:tc>
        <w:tc>
          <w:tcPr>
            <w:tcW w:w="375" w:type="pct"/>
          </w:tcPr>
          <w:p w14:paraId="15E5F92A" w14:textId="02B3432C" w:rsidR="00AF0DDD" w:rsidRPr="00A703DD" w:rsidRDefault="00AF0DDD" w:rsidP="00AF0DDD">
            <w:pPr>
              <w:spacing w:after="0"/>
              <w:jc w:val="left"/>
              <w:rPr>
                <w:sz w:val="18"/>
                <w:szCs w:val="18"/>
                <w:highlight w:val="yellow"/>
              </w:rPr>
            </w:pPr>
            <w:r>
              <w:rPr>
                <w:color w:val="314364" w:themeColor="text2"/>
                <w:sz w:val="18"/>
                <w:szCs w:val="18"/>
              </w:rPr>
              <w:t>VZP</w:t>
            </w:r>
          </w:p>
        </w:tc>
        <w:tc>
          <w:tcPr>
            <w:tcW w:w="1671" w:type="pct"/>
          </w:tcPr>
          <w:p w14:paraId="329486FE" w14:textId="32249520" w:rsidR="00AF0DDD" w:rsidRPr="00A703DD" w:rsidRDefault="00AF0DDD" w:rsidP="00AF0DDD">
            <w:pPr>
              <w:spacing w:after="0"/>
              <w:jc w:val="left"/>
              <w:rPr>
                <w:sz w:val="18"/>
                <w:szCs w:val="18"/>
                <w:highlight w:val="yellow"/>
              </w:rPr>
            </w:pPr>
            <w:r w:rsidRPr="00A07685">
              <w:rPr>
                <w:sz w:val="18"/>
                <w:szCs w:val="18"/>
              </w:rPr>
              <w:t>verejné zdravotné poistenie</w:t>
            </w:r>
          </w:p>
        </w:tc>
      </w:tr>
      <w:tr w:rsidR="00AF0DDD" w:rsidRPr="00A703DD" w14:paraId="3ADBFD4D" w14:textId="77777777" w:rsidTr="006B7D1B">
        <w:trPr>
          <w:trHeight w:val="267"/>
          <w:jc w:val="center"/>
        </w:trPr>
        <w:tc>
          <w:tcPr>
            <w:tcW w:w="596" w:type="pct"/>
            <w:shd w:val="clear" w:color="auto" w:fill="auto"/>
          </w:tcPr>
          <w:p w14:paraId="5FC98562" w14:textId="77777777" w:rsidR="00AF0DDD" w:rsidRPr="00A703DD" w:rsidRDefault="00AF0DDD" w:rsidP="00AF0DDD">
            <w:pPr>
              <w:spacing w:after="0"/>
              <w:jc w:val="left"/>
              <w:rPr>
                <w:color w:val="314364" w:themeColor="text2"/>
                <w:sz w:val="18"/>
                <w:szCs w:val="18"/>
                <w:highlight w:val="yellow"/>
              </w:rPr>
            </w:pPr>
            <w:r w:rsidRPr="00AD1167">
              <w:rPr>
                <w:color w:val="314364" w:themeColor="text2"/>
                <w:sz w:val="18"/>
                <w:szCs w:val="18"/>
              </w:rPr>
              <w:t>MV SR</w:t>
            </w:r>
          </w:p>
        </w:tc>
        <w:tc>
          <w:tcPr>
            <w:tcW w:w="2358" w:type="pct"/>
            <w:shd w:val="clear" w:color="auto" w:fill="auto"/>
          </w:tcPr>
          <w:p w14:paraId="510EE262" w14:textId="77777777" w:rsidR="00AF0DDD" w:rsidRPr="00A703DD" w:rsidRDefault="00AF0DDD" w:rsidP="00AF0DDD">
            <w:pPr>
              <w:spacing w:after="0"/>
              <w:ind w:right="299"/>
              <w:jc w:val="left"/>
              <w:rPr>
                <w:sz w:val="18"/>
                <w:szCs w:val="18"/>
                <w:highlight w:val="yellow"/>
              </w:rPr>
            </w:pPr>
            <w:r w:rsidRPr="002B3418">
              <w:rPr>
                <w:sz w:val="18"/>
                <w:szCs w:val="18"/>
              </w:rPr>
              <w:t>Ministerstvo vnútra Slovenskej republiky</w:t>
            </w:r>
          </w:p>
        </w:tc>
        <w:tc>
          <w:tcPr>
            <w:tcW w:w="375" w:type="pct"/>
          </w:tcPr>
          <w:p w14:paraId="430FA504" w14:textId="4079B190" w:rsidR="00AF0DDD" w:rsidRPr="00A703DD" w:rsidRDefault="00AF0DDD" w:rsidP="00AF0DDD">
            <w:pPr>
              <w:spacing w:after="0"/>
              <w:jc w:val="left"/>
              <w:rPr>
                <w:sz w:val="18"/>
                <w:szCs w:val="18"/>
                <w:highlight w:val="yellow"/>
              </w:rPr>
            </w:pPr>
            <w:r w:rsidRPr="00CB0C0D">
              <w:rPr>
                <w:color w:val="314364" w:themeColor="text2"/>
                <w:sz w:val="18"/>
                <w:szCs w:val="18"/>
              </w:rPr>
              <w:t>V4</w:t>
            </w:r>
          </w:p>
        </w:tc>
        <w:tc>
          <w:tcPr>
            <w:tcW w:w="1671" w:type="pct"/>
          </w:tcPr>
          <w:p w14:paraId="4A3A5502" w14:textId="179DAFFD" w:rsidR="00AF0DDD" w:rsidRPr="00A703DD" w:rsidRDefault="00AF0DDD" w:rsidP="00AF0DDD">
            <w:pPr>
              <w:spacing w:after="0"/>
              <w:jc w:val="left"/>
              <w:rPr>
                <w:sz w:val="18"/>
                <w:szCs w:val="18"/>
                <w:highlight w:val="yellow"/>
              </w:rPr>
            </w:pPr>
            <w:r w:rsidRPr="00A07685">
              <w:rPr>
                <w:sz w:val="18"/>
                <w:szCs w:val="18"/>
              </w:rPr>
              <w:t>Vyšehradská skupina</w:t>
            </w:r>
          </w:p>
        </w:tc>
      </w:tr>
      <w:tr w:rsidR="00AF0DDD" w:rsidRPr="00A703DD" w14:paraId="277483EF" w14:textId="77777777" w:rsidTr="006B7D1B">
        <w:trPr>
          <w:trHeight w:val="267"/>
          <w:jc w:val="center"/>
        </w:trPr>
        <w:tc>
          <w:tcPr>
            <w:tcW w:w="596" w:type="pct"/>
            <w:shd w:val="clear" w:color="auto" w:fill="auto"/>
          </w:tcPr>
          <w:p w14:paraId="24914911" w14:textId="77777777" w:rsidR="00AF0DDD" w:rsidRPr="00A703DD" w:rsidRDefault="00AF0DDD" w:rsidP="00AF0DDD">
            <w:pPr>
              <w:spacing w:after="0"/>
              <w:jc w:val="left"/>
              <w:rPr>
                <w:color w:val="314364" w:themeColor="text2"/>
                <w:sz w:val="18"/>
                <w:szCs w:val="18"/>
                <w:highlight w:val="yellow"/>
              </w:rPr>
            </w:pPr>
            <w:r>
              <w:rPr>
                <w:color w:val="314364" w:themeColor="text2"/>
                <w:sz w:val="18"/>
                <w:szCs w:val="18"/>
              </w:rPr>
              <w:t>MZ SR</w:t>
            </w:r>
          </w:p>
        </w:tc>
        <w:tc>
          <w:tcPr>
            <w:tcW w:w="2358" w:type="pct"/>
            <w:shd w:val="clear" w:color="auto" w:fill="auto"/>
          </w:tcPr>
          <w:p w14:paraId="74ACDFB3" w14:textId="77777777" w:rsidR="00AF0DDD" w:rsidRPr="00A703DD" w:rsidRDefault="00AF0DDD" w:rsidP="00AF0DDD">
            <w:pPr>
              <w:spacing w:after="0"/>
              <w:ind w:right="299"/>
              <w:jc w:val="left"/>
              <w:rPr>
                <w:sz w:val="18"/>
                <w:szCs w:val="18"/>
                <w:highlight w:val="yellow"/>
              </w:rPr>
            </w:pPr>
            <w:r>
              <w:rPr>
                <w:sz w:val="18"/>
                <w:szCs w:val="18"/>
              </w:rPr>
              <w:t>Ministerstvo zdravotníctva Slovenskej republiky</w:t>
            </w:r>
          </w:p>
        </w:tc>
        <w:tc>
          <w:tcPr>
            <w:tcW w:w="375" w:type="pct"/>
          </w:tcPr>
          <w:p w14:paraId="270EBDA8" w14:textId="17754C1D" w:rsidR="00AF0DDD" w:rsidRPr="00172759" w:rsidRDefault="00AF0DDD" w:rsidP="00AF0DDD">
            <w:pPr>
              <w:spacing w:after="0"/>
              <w:jc w:val="left"/>
              <w:rPr>
                <w:color w:val="314364" w:themeColor="text2"/>
                <w:sz w:val="18"/>
                <w:szCs w:val="18"/>
              </w:rPr>
            </w:pPr>
            <w:r>
              <w:rPr>
                <w:color w:val="314364" w:themeColor="text2"/>
                <w:sz w:val="18"/>
                <w:szCs w:val="18"/>
              </w:rPr>
              <w:t>ŤZP</w:t>
            </w:r>
          </w:p>
        </w:tc>
        <w:tc>
          <w:tcPr>
            <w:tcW w:w="1671" w:type="pct"/>
          </w:tcPr>
          <w:p w14:paraId="7B8E9199" w14:textId="09F5A7CA" w:rsidR="00AF0DDD" w:rsidRPr="00A703DD" w:rsidRDefault="00AF0DDD" w:rsidP="00AF0DDD">
            <w:pPr>
              <w:spacing w:after="0"/>
              <w:jc w:val="left"/>
              <w:rPr>
                <w:sz w:val="18"/>
                <w:szCs w:val="18"/>
                <w:highlight w:val="yellow"/>
              </w:rPr>
            </w:pPr>
            <w:r w:rsidRPr="00A07685">
              <w:rPr>
                <w:sz w:val="18"/>
                <w:szCs w:val="18"/>
              </w:rPr>
              <w:t>ťažké zdravotné postihnutie</w:t>
            </w:r>
          </w:p>
        </w:tc>
      </w:tr>
      <w:tr w:rsidR="00AF0DDD" w:rsidRPr="00A703DD" w14:paraId="0F07B53C" w14:textId="77777777" w:rsidTr="006B7D1B">
        <w:trPr>
          <w:trHeight w:val="267"/>
          <w:jc w:val="center"/>
        </w:trPr>
        <w:tc>
          <w:tcPr>
            <w:tcW w:w="596" w:type="pct"/>
            <w:shd w:val="clear" w:color="auto" w:fill="auto"/>
          </w:tcPr>
          <w:p w14:paraId="3BF62A49" w14:textId="77777777" w:rsidR="00AF0DDD" w:rsidRPr="00A703DD" w:rsidRDefault="00AF0DDD" w:rsidP="00AF0DDD">
            <w:pPr>
              <w:spacing w:after="0"/>
              <w:jc w:val="left"/>
              <w:rPr>
                <w:color w:val="314364" w:themeColor="text2"/>
                <w:sz w:val="18"/>
                <w:szCs w:val="18"/>
                <w:highlight w:val="yellow"/>
              </w:rPr>
            </w:pPr>
            <w:r w:rsidRPr="009E389A">
              <w:rPr>
                <w:color w:val="314364" w:themeColor="text2"/>
                <w:sz w:val="18"/>
                <w:szCs w:val="18"/>
              </w:rPr>
              <w:t>MZ</w:t>
            </w:r>
            <w:r>
              <w:rPr>
                <w:color w:val="314364" w:themeColor="text2"/>
                <w:sz w:val="18"/>
                <w:szCs w:val="18"/>
              </w:rPr>
              <w:t>VEZ SR</w:t>
            </w:r>
          </w:p>
        </w:tc>
        <w:tc>
          <w:tcPr>
            <w:tcW w:w="2358" w:type="pct"/>
            <w:shd w:val="clear" w:color="auto" w:fill="auto"/>
          </w:tcPr>
          <w:p w14:paraId="6DC110C7" w14:textId="77777777" w:rsidR="00AF0DDD" w:rsidRPr="00A703DD" w:rsidRDefault="00AF0DDD" w:rsidP="00AF0DDD">
            <w:pPr>
              <w:spacing w:after="0"/>
              <w:ind w:right="299"/>
              <w:jc w:val="left"/>
              <w:rPr>
                <w:sz w:val="18"/>
                <w:szCs w:val="18"/>
                <w:highlight w:val="yellow"/>
              </w:rPr>
            </w:pPr>
            <w:r w:rsidRPr="002B3418">
              <w:rPr>
                <w:sz w:val="18"/>
                <w:szCs w:val="18"/>
              </w:rPr>
              <w:t>Ministerstvo zahraničných vecí a európskych záležitostí Slovenskej republiky</w:t>
            </w:r>
          </w:p>
        </w:tc>
        <w:tc>
          <w:tcPr>
            <w:tcW w:w="375" w:type="pct"/>
          </w:tcPr>
          <w:p w14:paraId="22AD8F77" w14:textId="3032AD27" w:rsidR="00AF0DDD" w:rsidRPr="00172759" w:rsidRDefault="00AF0DDD" w:rsidP="00AF0DDD">
            <w:pPr>
              <w:spacing w:after="0"/>
              <w:jc w:val="left"/>
              <w:rPr>
                <w:color w:val="314364" w:themeColor="text2"/>
                <w:sz w:val="18"/>
                <w:szCs w:val="18"/>
              </w:rPr>
            </w:pPr>
            <w:r>
              <w:rPr>
                <w:color w:val="314364" w:themeColor="text2"/>
                <w:sz w:val="18"/>
                <w:szCs w:val="18"/>
              </w:rPr>
              <w:t>ZP</w:t>
            </w:r>
          </w:p>
        </w:tc>
        <w:tc>
          <w:tcPr>
            <w:tcW w:w="1671" w:type="pct"/>
          </w:tcPr>
          <w:p w14:paraId="776594BB" w14:textId="2329708F" w:rsidR="00AF0DDD" w:rsidRPr="00A703DD" w:rsidRDefault="00AF0DDD" w:rsidP="00AF0DDD">
            <w:pPr>
              <w:spacing w:after="0"/>
              <w:jc w:val="left"/>
              <w:rPr>
                <w:sz w:val="18"/>
                <w:szCs w:val="18"/>
                <w:highlight w:val="yellow"/>
              </w:rPr>
            </w:pPr>
            <w:r>
              <w:rPr>
                <w:sz w:val="18"/>
                <w:szCs w:val="18"/>
              </w:rPr>
              <w:t>z</w:t>
            </w:r>
            <w:r w:rsidRPr="00A07685">
              <w:rPr>
                <w:sz w:val="18"/>
                <w:szCs w:val="18"/>
              </w:rPr>
              <w:t>dravotná poisťovňa</w:t>
            </w:r>
          </w:p>
        </w:tc>
      </w:tr>
      <w:tr w:rsidR="00AF0DDD" w:rsidRPr="00A703DD" w14:paraId="5F5AE082" w14:textId="77777777" w:rsidTr="006B7D1B">
        <w:trPr>
          <w:trHeight w:val="267"/>
          <w:jc w:val="center"/>
        </w:trPr>
        <w:tc>
          <w:tcPr>
            <w:tcW w:w="596" w:type="pct"/>
            <w:shd w:val="clear" w:color="auto" w:fill="auto"/>
          </w:tcPr>
          <w:p w14:paraId="35C07678" w14:textId="77777777" w:rsidR="00AF0DDD" w:rsidRPr="00A703DD" w:rsidRDefault="00AF0DDD" w:rsidP="00AF0DDD">
            <w:pPr>
              <w:spacing w:after="0"/>
              <w:jc w:val="left"/>
              <w:rPr>
                <w:color w:val="314364" w:themeColor="text2"/>
                <w:sz w:val="18"/>
                <w:szCs w:val="18"/>
                <w:highlight w:val="yellow"/>
              </w:rPr>
            </w:pPr>
            <w:r w:rsidRPr="00F71F53">
              <w:rPr>
                <w:color w:val="314364" w:themeColor="text2"/>
                <w:sz w:val="18"/>
                <w:szCs w:val="18"/>
              </w:rPr>
              <w:t>MŽP SR</w:t>
            </w:r>
          </w:p>
        </w:tc>
        <w:tc>
          <w:tcPr>
            <w:tcW w:w="2358" w:type="pct"/>
            <w:shd w:val="clear" w:color="auto" w:fill="auto"/>
          </w:tcPr>
          <w:p w14:paraId="338DB1DC" w14:textId="77777777" w:rsidR="00AF0DDD" w:rsidRPr="002E29A6" w:rsidRDefault="00AF0DDD" w:rsidP="00AF0DDD">
            <w:pPr>
              <w:spacing w:after="0"/>
              <w:ind w:right="299"/>
              <w:jc w:val="left"/>
              <w:rPr>
                <w:sz w:val="18"/>
                <w:szCs w:val="18"/>
                <w:highlight w:val="yellow"/>
              </w:rPr>
            </w:pPr>
            <w:r w:rsidRPr="002B3418">
              <w:rPr>
                <w:sz w:val="18"/>
                <w:szCs w:val="18"/>
              </w:rPr>
              <w:t>Ministerstvo životného prostredia Slovenskej republiky</w:t>
            </w:r>
          </w:p>
        </w:tc>
        <w:tc>
          <w:tcPr>
            <w:tcW w:w="375" w:type="pct"/>
          </w:tcPr>
          <w:p w14:paraId="5DED1DB6" w14:textId="07CFEB0E" w:rsidR="00AF0DDD" w:rsidRPr="00A703DD" w:rsidRDefault="00AF0DDD" w:rsidP="00AF0DDD">
            <w:pPr>
              <w:spacing w:after="0"/>
              <w:jc w:val="left"/>
              <w:rPr>
                <w:color w:val="314364" w:themeColor="text2"/>
                <w:sz w:val="18"/>
                <w:szCs w:val="18"/>
                <w:highlight w:val="yellow"/>
              </w:rPr>
            </w:pPr>
            <w:r w:rsidRPr="00846EB5">
              <w:rPr>
                <w:color w:val="314364" w:themeColor="text2"/>
                <w:sz w:val="18"/>
                <w:szCs w:val="18"/>
              </w:rPr>
              <w:t>ZÚK</w:t>
            </w:r>
          </w:p>
        </w:tc>
        <w:tc>
          <w:tcPr>
            <w:tcW w:w="1671" w:type="pct"/>
          </w:tcPr>
          <w:p w14:paraId="6C99B252" w14:textId="4E79280A" w:rsidR="00AF0DDD" w:rsidRPr="00A703DD" w:rsidRDefault="00AF0DDD" w:rsidP="00AF0DDD">
            <w:pPr>
              <w:spacing w:after="0"/>
              <w:jc w:val="left"/>
              <w:rPr>
                <w:sz w:val="18"/>
                <w:szCs w:val="18"/>
                <w:highlight w:val="yellow"/>
              </w:rPr>
            </w:pPr>
            <w:r>
              <w:rPr>
                <w:sz w:val="18"/>
                <w:szCs w:val="18"/>
              </w:rPr>
              <w:t>záverečný účet kapitoly</w:t>
            </w:r>
          </w:p>
        </w:tc>
      </w:tr>
      <w:tr w:rsidR="00AF0DDD" w:rsidRPr="00A703DD" w14:paraId="432742D9" w14:textId="77777777" w:rsidTr="006B7D1B">
        <w:trPr>
          <w:trHeight w:val="267"/>
          <w:jc w:val="center"/>
        </w:trPr>
        <w:tc>
          <w:tcPr>
            <w:tcW w:w="596" w:type="pct"/>
            <w:shd w:val="clear" w:color="auto" w:fill="auto"/>
          </w:tcPr>
          <w:p w14:paraId="3C63CAA5" w14:textId="77777777" w:rsidR="00AF0DDD" w:rsidRPr="00A703DD" w:rsidRDefault="00AF0DDD" w:rsidP="00AF0DDD">
            <w:pPr>
              <w:spacing w:after="0"/>
              <w:jc w:val="left"/>
              <w:rPr>
                <w:color w:val="314364" w:themeColor="text2"/>
                <w:sz w:val="18"/>
                <w:szCs w:val="18"/>
                <w:highlight w:val="yellow"/>
              </w:rPr>
            </w:pPr>
            <w:r>
              <w:rPr>
                <w:color w:val="314364" w:themeColor="text2"/>
                <w:sz w:val="18"/>
                <w:szCs w:val="18"/>
              </w:rPr>
              <w:t>NCZI</w:t>
            </w:r>
          </w:p>
        </w:tc>
        <w:tc>
          <w:tcPr>
            <w:tcW w:w="2358" w:type="pct"/>
            <w:shd w:val="clear" w:color="auto" w:fill="auto"/>
          </w:tcPr>
          <w:p w14:paraId="5B61F99A" w14:textId="77777777" w:rsidR="00AF0DDD" w:rsidRPr="00A703DD" w:rsidRDefault="00AF0DDD" w:rsidP="00AF0DDD">
            <w:pPr>
              <w:spacing w:after="0"/>
              <w:ind w:right="299"/>
              <w:jc w:val="left"/>
              <w:rPr>
                <w:sz w:val="18"/>
                <w:szCs w:val="18"/>
                <w:highlight w:val="yellow"/>
              </w:rPr>
            </w:pPr>
            <w:r w:rsidRPr="002B3418">
              <w:rPr>
                <w:sz w:val="18"/>
                <w:szCs w:val="18"/>
              </w:rPr>
              <w:t>Národné centrum zdravotníckych informácií</w:t>
            </w:r>
          </w:p>
        </w:tc>
        <w:tc>
          <w:tcPr>
            <w:tcW w:w="375" w:type="pct"/>
          </w:tcPr>
          <w:p w14:paraId="58B164BB" w14:textId="1901EB11" w:rsidR="00AF0DDD" w:rsidRPr="00846EB5" w:rsidRDefault="00AF0DDD" w:rsidP="00AF0DDD">
            <w:pPr>
              <w:spacing w:after="0"/>
              <w:jc w:val="left"/>
              <w:rPr>
                <w:color w:val="314364" w:themeColor="text2"/>
                <w:sz w:val="18"/>
                <w:szCs w:val="18"/>
              </w:rPr>
            </w:pPr>
            <w:r>
              <w:rPr>
                <w:color w:val="314364" w:themeColor="text2"/>
                <w:sz w:val="18"/>
                <w:szCs w:val="18"/>
              </w:rPr>
              <w:t>ZZ</w:t>
            </w:r>
          </w:p>
        </w:tc>
        <w:tc>
          <w:tcPr>
            <w:tcW w:w="1671" w:type="pct"/>
          </w:tcPr>
          <w:p w14:paraId="28724755" w14:textId="79A3A012" w:rsidR="00AF0DDD" w:rsidRPr="00846EB5" w:rsidRDefault="00AF0DDD" w:rsidP="00AF0DDD">
            <w:pPr>
              <w:spacing w:after="0"/>
              <w:jc w:val="left"/>
              <w:rPr>
                <w:sz w:val="18"/>
                <w:szCs w:val="18"/>
              </w:rPr>
            </w:pPr>
            <w:r>
              <w:rPr>
                <w:sz w:val="18"/>
                <w:szCs w:val="18"/>
              </w:rPr>
              <w:t>z</w:t>
            </w:r>
            <w:r w:rsidRPr="003A4CBE">
              <w:rPr>
                <w:sz w:val="18"/>
                <w:szCs w:val="18"/>
              </w:rPr>
              <w:t>dravotnícke zariadenia</w:t>
            </w:r>
          </w:p>
        </w:tc>
      </w:tr>
      <w:tr w:rsidR="00AF0DDD" w:rsidRPr="00A703DD" w14:paraId="1310DEE6" w14:textId="77777777" w:rsidTr="006B7D1B">
        <w:trPr>
          <w:trHeight w:val="267"/>
          <w:jc w:val="center"/>
        </w:trPr>
        <w:tc>
          <w:tcPr>
            <w:tcW w:w="596" w:type="pct"/>
            <w:shd w:val="clear" w:color="auto" w:fill="auto"/>
          </w:tcPr>
          <w:p w14:paraId="543C56CC" w14:textId="77777777" w:rsidR="00AF0DDD" w:rsidRPr="00A703DD" w:rsidRDefault="00AF0DDD" w:rsidP="00AF0DDD">
            <w:pPr>
              <w:spacing w:after="0"/>
              <w:jc w:val="left"/>
              <w:rPr>
                <w:color w:val="314364" w:themeColor="text2"/>
                <w:sz w:val="18"/>
                <w:szCs w:val="18"/>
                <w:highlight w:val="yellow"/>
              </w:rPr>
            </w:pPr>
            <w:r>
              <w:rPr>
                <w:color w:val="314364" w:themeColor="text2"/>
                <w:sz w:val="18"/>
                <w:szCs w:val="18"/>
              </w:rPr>
              <w:t>NDS, a. s.</w:t>
            </w:r>
          </w:p>
        </w:tc>
        <w:tc>
          <w:tcPr>
            <w:tcW w:w="2358" w:type="pct"/>
            <w:shd w:val="clear" w:color="auto" w:fill="auto"/>
          </w:tcPr>
          <w:p w14:paraId="29DAB364" w14:textId="77777777" w:rsidR="00AF0DDD" w:rsidRPr="00A703DD" w:rsidRDefault="00AF0DDD" w:rsidP="00AF0DDD">
            <w:pPr>
              <w:spacing w:after="0"/>
              <w:ind w:right="299"/>
              <w:jc w:val="left"/>
              <w:rPr>
                <w:sz w:val="18"/>
                <w:szCs w:val="18"/>
                <w:highlight w:val="yellow"/>
              </w:rPr>
            </w:pPr>
            <w:r w:rsidRPr="002B3418">
              <w:rPr>
                <w:sz w:val="18"/>
                <w:szCs w:val="18"/>
              </w:rPr>
              <w:t xml:space="preserve">Národná diaľničná spoločnosť, a. s. </w:t>
            </w:r>
          </w:p>
        </w:tc>
        <w:tc>
          <w:tcPr>
            <w:tcW w:w="375" w:type="pct"/>
          </w:tcPr>
          <w:p w14:paraId="4620D0A7" w14:textId="7F5997E0" w:rsidR="00AF0DDD" w:rsidRPr="00432E68" w:rsidRDefault="00AF0DDD" w:rsidP="00AF0DDD">
            <w:pPr>
              <w:spacing w:after="0"/>
              <w:jc w:val="left"/>
              <w:rPr>
                <w:color w:val="314364" w:themeColor="text2"/>
                <w:sz w:val="18"/>
                <w:szCs w:val="18"/>
                <w:highlight w:val="yellow"/>
              </w:rPr>
            </w:pPr>
          </w:p>
        </w:tc>
        <w:tc>
          <w:tcPr>
            <w:tcW w:w="1671" w:type="pct"/>
          </w:tcPr>
          <w:p w14:paraId="73F181E3" w14:textId="0F20FB69" w:rsidR="00AF0DDD" w:rsidRPr="00432E68" w:rsidRDefault="00AF0DDD" w:rsidP="00AF0DDD">
            <w:pPr>
              <w:spacing w:after="0"/>
              <w:jc w:val="left"/>
              <w:rPr>
                <w:sz w:val="18"/>
                <w:szCs w:val="18"/>
                <w:highlight w:val="yellow"/>
              </w:rPr>
            </w:pPr>
          </w:p>
        </w:tc>
      </w:tr>
      <w:tr w:rsidR="00AF0DDD" w:rsidRPr="00A703DD" w14:paraId="4D6A7783" w14:textId="77777777" w:rsidTr="006B7D1B">
        <w:trPr>
          <w:trHeight w:val="267"/>
          <w:jc w:val="center"/>
        </w:trPr>
        <w:tc>
          <w:tcPr>
            <w:tcW w:w="596" w:type="pct"/>
            <w:shd w:val="clear" w:color="auto" w:fill="auto"/>
          </w:tcPr>
          <w:p w14:paraId="0943D3BB" w14:textId="77777777" w:rsidR="00AF0DDD" w:rsidRDefault="00AF0DDD" w:rsidP="00AF0DDD">
            <w:pPr>
              <w:spacing w:after="0"/>
              <w:jc w:val="left"/>
              <w:rPr>
                <w:color w:val="314364" w:themeColor="text2"/>
                <w:sz w:val="18"/>
                <w:szCs w:val="18"/>
                <w:highlight w:val="yellow"/>
              </w:rPr>
            </w:pPr>
            <w:r w:rsidRPr="00F71F53">
              <w:rPr>
                <w:color w:val="314364" w:themeColor="text2"/>
                <w:sz w:val="18"/>
                <w:szCs w:val="18"/>
              </w:rPr>
              <w:t>NIKA</w:t>
            </w:r>
          </w:p>
        </w:tc>
        <w:tc>
          <w:tcPr>
            <w:tcW w:w="2358" w:type="pct"/>
            <w:shd w:val="clear" w:color="auto" w:fill="auto"/>
          </w:tcPr>
          <w:p w14:paraId="0A1E6CED" w14:textId="77777777" w:rsidR="00AF0DDD" w:rsidRDefault="00AF0DDD" w:rsidP="00AF0DDD">
            <w:pPr>
              <w:spacing w:after="0"/>
              <w:ind w:right="299"/>
              <w:jc w:val="left"/>
              <w:rPr>
                <w:sz w:val="18"/>
                <w:szCs w:val="18"/>
                <w:highlight w:val="yellow"/>
              </w:rPr>
            </w:pPr>
            <w:r w:rsidRPr="002B3418">
              <w:rPr>
                <w:sz w:val="18"/>
                <w:szCs w:val="18"/>
              </w:rPr>
              <w:t>Národná implementačná a koordinačná autorita</w:t>
            </w:r>
          </w:p>
        </w:tc>
        <w:tc>
          <w:tcPr>
            <w:tcW w:w="375" w:type="pct"/>
          </w:tcPr>
          <w:p w14:paraId="4C457838" w14:textId="04F3F3FB" w:rsidR="00AF0DDD" w:rsidRPr="00432E68" w:rsidRDefault="00AF0DDD" w:rsidP="00AF0DDD">
            <w:pPr>
              <w:spacing w:after="0"/>
              <w:jc w:val="left"/>
              <w:rPr>
                <w:color w:val="314364" w:themeColor="text2"/>
                <w:sz w:val="18"/>
                <w:szCs w:val="18"/>
                <w:highlight w:val="yellow"/>
              </w:rPr>
            </w:pPr>
          </w:p>
        </w:tc>
        <w:tc>
          <w:tcPr>
            <w:tcW w:w="1671" w:type="pct"/>
          </w:tcPr>
          <w:p w14:paraId="2021D80F" w14:textId="77B56516" w:rsidR="00AF0DDD" w:rsidRPr="00432E68" w:rsidRDefault="00AF0DDD" w:rsidP="00AF0DDD">
            <w:pPr>
              <w:spacing w:after="0"/>
              <w:jc w:val="left"/>
              <w:rPr>
                <w:sz w:val="18"/>
                <w:szCs w:val="18"/>
                <w:highlight w:val="yellow"/>
              </w:rPr>
            </w:pPr>
          </w:p>
        </w:tc>
      </w:tr>
    </w:tbl>
    <w:p w14:paraId="35A08F4D" w14:textId="14AFD695" w:rsidR="001609D9" w:rsidRDefault="001609D9" w:rsidP="002C027A">
      <w:pPr>
        <w:pStyle w:val="vodZverZhrnutie"/>
      </w:pPr>
      <w:bookmarkStart w:id="1" w:name="_Toc136418383"/>
      <w:r>
        <w:lastRenderedPageBreak/>
        <w:t>Zhrnutie</w:t>
      </w:r>
      <w:bookmarkEnd w:id="1"/>
    </w:p>
    <w:p w14:paraId="7F5012C2" w14:textId="17B78E09" w:rsidR="00E51039" w:rsidRPr="00AF7E26" w:rsidRDefault="00E51039" w:rsidP="00E51039">
      <w:pPr>
        <w:spacing w:after="160" w:line="259" w:lineRule="auto"/>
        <w:rPr>
          <w:rFonts w:eastAsia="Calibri" w:cs="Segoe UI"/>
          <w:i/>
        </w:rPr>
      </w:pPr>
      <w:r w:rsidRPr="00AF7E26">
        <w:rPr>
          <w:rFonts w:eastAsia="Calibri" w:cs="Segoe UI"/>
          <w:i/>
        </w:rPr>
        <w:t>Stanovisko NKÚ SR k návrhu ŠZÚ SR za rok 202</w:t>
      </w:r>
      <w:r w:rsidR="00A703DD">
        <w:rPr>
          <w:rFonts w:eastAsia="Calibri" w:cs="Segoe UI"/>
          <w:i/>
        </w:rPr>
        <w:t>2</w:t>
      </w:r>
      <w:r w:rsidRPr="00AF7E26">
        <w:rPr>
          <w:rFonts w:eastAsia="Calibri" w:cs="Segoe UI"/>
          <w:i/>
        </w:rPr>
        <w:t xml:space="preserve"> je vypracované v súlade s ustanovením § 5 ods. 1 zákona o NKÚ SR a vychádza z kontrol</w:t>
      </w:r>
      <w:r w:rsidR="00653F42">
        <w:rPr>
          <w:rFonts w:eastAsia="Calibri" w:cs="Segoe UI"/>
          <w:i/>
        </w:rPr>
        <w:t xml:space="preserve"> </w:t>
      </w:r>
      <w:r w:rsidR="00E00D7D">
        <w:rPr>
          <w:rFonts w:eastAsia="Calibri" w:cs="Segoe UI"/>
          <w:i/>
        </w:rPr>
        <w:t xml:space="preserve">a analýz </w:t>
      </w:r>
      <w:r w:rsidR="00653F42">
        <w:rPr>
          <w:rFonts w:eastAsia="Calibri" w:cs="Segoe UI"/>
          <w:i/>
        </w:rPr>
        <w:t>vykonaných NKÚ SR v rokoch 202</w:t>
      </w:r>
      <w:r w:rsidR="00A703DD">
        <w:rPr>
          <w:rFonts w:eastAsia="Calibri" w:cs="Segoe UI"/>
          <w:i/>
        </w:rPr>
        <w:t>2</w:t>
      </w:r>
      <w:r w:rsidRPr="00AF7E26">
        <w:rPr>
          <w:rFonts w:eastAsia="Calibri" w:cs="Segoe UI"/>
          <w:i/>
        </w:rPr>
        <w:t xml:space="preserve"> a 202</w:t>
      </w:r>
      <w:r w:rsidR="00A703DD">
        <w:rPr>
          <w:rFonts w:eastAsia="Calibri" w:cs="Segoe UI"/>
          <w:i/>
        </w:rPr>
        <w:t>3</w:t>
      </w:r>
      <w:r w:rsidRPr="00AF7E26">
        <w:rPr>
          <w:rFonts w:eastAsia="Calibri" w:cs="Segoe UI"/>
          <w:i/>
        </w:rPr>
        <w:t xml:space="preserve"> v kapitolách </w:t>
      </w:r>
      <w:r w:rsidR="004A6E96" w:rsidRPr="00AF7E26">
        <w:rPr>
          <w:rFonts w:eastAsia="Calibri" w:cs="Segoe UI"/>
          <w:i/>
        </w:rPr>
        <w:t>ŠR</w:t>
      </w:r>
      <w:r w:rsidRPr="00AF7E26">
        <w:rPr>
          <w:rFonts w:eastAsia="Calibri" w:cs="Segoe UI"/>
          <w:i/>
        </w:rPr>
        <w:t xml:space="preserve"> a v ostatných subjektoch VS. Pri príprave stanoviska boli NKÚ SR predložené pracovné verzie návrhov </w:t>
      </w:r>
      <w:r w:rsidR="005A24B8" w:rsidRPr="00AF7E26">
        <w:rPr>
          <w:rFonts w:eastAsia="Calibri" w:cs="Segoe UI"/>
          <w:i/>
        </w:rPr>
        <w:t>ZÚ</w:t>
      </w:r>
      <w:r w:rsidR="00432E68">
        <w:rPr>
          <w:rFonts w:eastAsia="Calibri" w:cs="Segoe UI"/>
          <w:i/>
        </w:rPr>
        <w:t>K</w:t>
      </w:r>
      <w:r w:rsidRPr="00AF7E26">
        <w:rPr>
          <w:rFonts w:eastAsia="Calibri" w:cs="Segoe UI"/>
          <w:i/>
        </w:rPr>
        <w:t xml:space="preserve"> za rok 202</w:t>
      </w:r>
      <w:r w:rsidR="00A703DD">
        <w:rPr>
          <w:rFonts w:eastAsia="Calibri" w:cs="Segoe UI"/>
          <w:i/>
        </w:rPr>
        <w:t>2</w:t>
      </w:r>
      <w:r w:rsidRPr="00AF7E26">
        <w:rPr>
          <w:rFonts w:eastAsia="Calibri" w:cs="Segoe UI"/>
          <w:i/>
        </w:rPr>
        <w:t xml:space="preserve"> v kapitolách MZ SR,</w:t>
      </w:r>
      <w:r w:rsidR="00277985">
        <w:rPr>
          <w:rFonts w:eastAsia="Calibri" w:cs="Segoe UI"/>
          <w:i/>
        </w:rPr>
        <w:t xml:space="preserve"> MŠVVaŠ SR,</w:t>
      </w:r>
      <w:r w:rsidRPr="00AF7E26">
        <w:rPr>
          <w:rFonts w:eastAsia="Calibri" w:cs="Segoe UI"/>
          <w:i/>
        </w:rPr>
        <w:t xml:space="preserve"> M</w:t>
      </w:r>
      <w:r w:rsidR="00653F42">
        <w:rPr>
          <w:rFonts w:eastAsia="Calibri" w:cs="Segoe UI"/>
          <w:i/>
        </w:rPr>
        <w:t>PSVR</w:t>
      </w:r>
      <w:r w:rsidRPr="00AF7E26">
        <w:rPr>
          <w:rFonts w:eastAsia="Calibri" w:cs="Segoe UI"/>
          <w:i/>
        </w:rPr>
        <w:t xml:space="preserve"> SR </w:t>
      </w:r>
      <w:r w:rsidR="00277985">
        <w:rPr>
          <w:rFonts w:eastAsia="Calibri" w:cs="Segoe UI"/>
          <w:i/>
        </w:rPr>
        <w:t xml:space="preserve">a MO SR </w:t>
      </w:r>
      <w:r w:rsidRPr="00AF7E26">
        <w:rPr>
          <w:rFonts w:eastAsia="Calibri" w:cs="Segoe UI"/>
          <w:i/>
        </w:rPr>
        <w:t xml:space="preserve">z dôvodu, že termín na spracovanie návrhov </w:t>
      </w:r>
      <w:r w:rsidR="005A24B8" w:rsidRPr="00AF7E26">
        <w:rPr>
          <w:rFonts w:eastAsia="Calibri" w:cs="Segoe UI"/>
          <w:i/>
        </w:rPr>
        <w:t>ZÚ</w:t>
      </w:r>
      <w:r w:rsidR="00432E68">
        <w:rPr>
          <w:rFonts w:eastAsia="Calibri" w:cs="Segoe UI"/>
          <w:i/>
        </w:rPr>
        <w:t>K</w:t>
      </w:r>
      <w:r w:rsidRPr="00AF7E26">
        <w:rPr>
          <w:rFonts w:eastAsia="Calibri" w:cs="Segoe UI"/>
          <w:i/>
        </w:rPr>
        <w:t xml:space="preserve"> bol stanovený do 31. 5. 202</w:t>
      </w:r>
      <w:r w:rsidR="00A703DD">
        <w:rPr>
          <w:rFonts w:eastAsia="Calibri" w:cs="Segoe UI"/>
          <w:i/>
        </w:rPr>
        <w:t>3</w:t>
      </w:r>
      <w:r w:rsidRPr="00AF7E26">
        <w:rPr>
          <w:rFonts w:eastAsia="Calibri" w:cs="Segoe UI"/>
          <w:i/>
        </w:rPr>
        <w:t>.</w:t>
      </w:r>
    </w:p>
    <w:p w14:paraId="279D3CC7" w14:textId="6CFB866A" w:rsidR="004B7D48" w:rsidRPr="00AF0DDD" w:rsidRDefault="00436F9A" w:rsidP="00436F9A">
      <w:pPr>
        <w:rPr>
          <w:rFonts w:eastAsia="Calibri" w:cs="Segoe UI"/>
          <w:b/>
          <w:szCs w:val="20"/>
        </w:rPr>
      </w:pPr>
      <w:r w:rsidRPr="00436F9A">
        <w:rPr>
          <w:rFonts w:eastAsia="Calibri" w:cs="Segoe UI"/>
          <w:szCs w:val="20"/>
        </w:rPr>
        <w:t>Rok 2022 bol rokom zmien a neočakávaných udalostí, na ktoré musel reagovať aj</w:t>
      </w:r>
      <w:r>
        <w:rPr>
          <w:rFonts w:eastAsia="Calibri" w:cs="Segoe UI"/>
          <w:szCs w:val="20"/>
        </w:rPr>
        <w:t xml:space="preserve"> ŠR</w:t>
      </w:r>
      <w:r w:rsidRPr="00436F9A">
        <w:rPr>
          <w:rFonts w:eastAsia="Calibri" w:cs="Segoe UI"/>
          <w:szCs w:val="20"/>
        </w:rPr>
        <w:t xml:space="preserve"> a ktoré sú popísané v </w:t>
      </w:r>
      <w:r>
        <w:rPr>
          <w:rFonts w:eastAsia="Calibri" w:cs="Segoe UI"/>
          <w:szCs w:val="20"/>
        </w:rPr>
        <w:t>ŠZÚ</w:t>
      </w:r>
      <w:r w:rsidRPr="00436F9A">
        <w:rPr>
          <w:rFonts w:eastAsia="Calibri" w:cs="Segoe UI"/>
          <w:szCs w:val="20"/>
        </w:rPr>
        <w:t xml:space="preserve"> a v stanovisku NKÚ SR k nemu. </w:t>
      </w:r>
      <w:r w:rsidR="00432E68" w:rsidRPr="00E53F4E">
        <w:rPr>
          <w:rFonts w:eastAsia="Calibri" w:cs="Segoe UI"/>
          <w:szCs w:val="20"/>
        </w:rPr>
        <w:t xml:space="preserve">NKÚ SR sa </w:t>
      </w:r>
      <w:r w:rsidR="00E03B8D" w:rsidRPr="00E53F4E">
        <w:rPr>
          <w:rFonts w:eastAsia="Calibri" w:cs="Segoe UI"/>
          <w:szCs w:val="20"/>
        </w:rPr>
        <w:t xml:space="preserve">v stanovisku </w:t>
      </w:r>
      <w:r w:rsidR="00432E68" w:rsidRPr="00E53F4E">
        <w:rPr>
          <w:rFonts w:eastAsia="Calibri" w:cs="Segoe UI"/>
          <w:szCs w:val="20"/>
        </w:rPr>
        <w:t xml:space="preserve">pozrel </w:t>
      </w:r>
      <w:r w:rsidR="00E03B8D" w:rsidRPr="00E53F4E">
        <w:rPr>
          <w:rFonts w:eastAsia="Calibri" w:cs="Segoe UI"/>
          <w:szCs w:val="20"/>
        </w:rPr>
        <w:t xml:space="preserve">aj </w:t>
      </w:r>
      <w:r w:rsidR="00432E68" w:rsidRPr="00E53F4E">
        <w:rPr>
          <w:rFonts w:eastAsia="Calibri" w:cs="Segoe UI"/>
          <w:szCs w:val="20"/>
        </w:rPr>
        <w:t xml:space="preserve">na to, </w:t>
      </w:r>
      <w:r w:rsidR="00E03B8D" w:rsidRPr="00E53F4E">
        <w:rPr>
          <w:rFonts w:eastAsia="Calibri" w:cs="Segoe UI"/>
          <w:szCs w:val="20"/>
        </w:rPr>
        <w:t xml:space="preserve">ako sa hospodárenie štátu vysporiadalo s </w:t>
      </w:r>
      <w:r w:rsidR="00432E68" w:rsidRPr="00E53F4E">
        <w:rPr>
          <w:rFonts w:eastAsia="Calibri" w:cs="Segoe UI"/>
          <w:szCs w:val="20"/>
        </w:rPr>
        <w:t>rizik</w:t>
      </w:r>
      <w:r w:rsidR="00E03B8D" w:rsidRPr="00E53F4E">
        <w:rPr>
          <w:rFonts w:eastAsia="Calibri" w:cs="Segoe UI"/>
          <w:szCs w:val="20"/>
        </w:rPr>
        <w:t>ami</w:t>
      </w:r>
      <w:r w:rsidR="00432E68" w:rsidRPr="00E53F4E">
        <w:rPr>
          <w:rFonts w:eastAsia="Calibri" w:cs="Segoe UI"/>
          <w:szCs w:val="20"/>
        </w:rPr>
        <w:t xml:space="preserve">, </w:t>
      </w:r>
      <w:r w:rsidR="00E03B8D" w:rsidRPr="00E53F4E">
        <w:rPr>
          <w:rFonts w:eastAsia="Calibri" w:cs="Segoe UI"/>
          <w:szCs w:val="20"/>
        </w:rPr>
        <w:t xml:space="preserve">na </w:t>
      </w:r>
      <w:r w:rsidR="00432E68" w:rsidRPr="00E53F4E">
        <w:rPr>
          <w:rFonts w:eastAsia="Calibri" w:cs="Segoe UI"/>
          <w:szCs w:val="20"/>
        </w:rPr>
        <w:t xml:space="preserve">ktoré </w:t>
      </w:r>
      <w:r w:rsidR="00E03B8D" w:rsidRPr="00E53F4E">
        <w:rPr>
          <w:rFonts w:eastAsia="Calibri" w:cs="Segoe UI"/>
          <w:szCs w:val="20"/>
        </w:rPr>
        <w:t>NKÚ SR upozornil</w:t>
      </w:r>
      <w:r w:rsidR="00432E68" w:rsidRPr="00E53F4E">
        <w:rPr>
          <w:rFonts w:eastAsia="Calibri" w:cs="Segoe UI"/>
          <w:szCs w:val="20"/>
        </w:rPr>
        <w:t xml:space="preserve"> v</w:t>
      </w:r>
      <w:r w:rsidR="004B7D48" w:rsidRPr="00E53F4E">
        <w:rPr>
          <w:rFonts w:eastAsia="Calibri" w:cs="Segoe UI"/>
          <w:szCs w:val="20"/>
        </w:rPr>
        <w:t xml:space="preserve"> stanovisku k </w:t>
      </w:r>
      <w:r w:rsidR="00432E68" w:rsidRPr="00E53F4E">
        <w:rPr>
          <w:rFonts w:eastAsia="Calibri" w:cs="Segoe UI"/>
          <w:szCs w:val="20"/>
        </w:rPr>
        <w:t xml:space="preserve">návrhu ŠR na rok 2022. </w:t>
      </w:r>
      <w:r w:rsidR="00AF0DDD" w:rsidRPr="00AF0DDD">
        <w:rPr>
          <w:rFonts w:eastAsia="Calibri" w:cs="Segoe UI"/>
          <w:b/>
          <w:szCs w:val="20"/>
        </w:rPr>
        <w:t>P</w:t>
      </w:r>
      <w:r w:rsidR="00432E68" w:rsidRPr="00AF0DDD">
        <w:rPr>
          <w:rFonts w:eastAsia="Calibri" w:cs="Segoe UI"/>
          <w:b/>
          <w:szCs w:val="20"/>
        </w:rPr>
        <w:t xml:space="preserve">od informáciami za rozpočet </w:t>
      </w:r>
      <w:r w:rsidR="00152C77" w:rsidRPr="00AF0DDD">
        <w:rPr>
          <w:rFonts w:eastAsia="Calibri" w:cs="Segoe UI"/>
          <w:b/>
          <w:szCs w:val="20"/>
        </w:rPr>
        <w:t xml:space="preserve">v tomto stanovisku </w:t>
      </w:r>
      <w:r w:rsidR="00432E68" w:rsidRPr="00AF0DDD">
        <w:rPr>
          <w:rFonts w:eastAsia="Calibri" w:cs="Segoe UI"/>
          <w:b/>
          <w:szCs w:val="20"/>
        </w:rPr>
        <w:t xml:space="preserve">uvádzame údaje z pôvodne schváleného rozpočtu na konci roka 2021. Údaje </w:t>
      </w:r>
      <w:r w:rsidR="00AF0DDD" w:rsidRPr="00AF0DDD">
        <w:rPr>
          <w:rFonts w:eastAsia="Calibri" w:cs="Segoe UI"/>
          <w:b/>
          <w:szCs w:val="20"/>
        </w:rPr>
        <w:t>vyplývajúce z</w:t>
      </w:r>
      <w:r w:rsidR="00432E68" w:rsidRPr="00AF0DDD">
        <w:rPr>
          <w:rFonts w:eastAsia="Calibri" w:cs="Segoe UI"/>
          <w:b/>
          <w:szCs w:val="20"/>
        </w:rPr>
        <w:t xml:space="preserve"> novel</w:t>
      </w:r>
      <w:r w:rsidR="00AF0DDD" w:rsidRPr="00AF0DDD">
        <w:rPr>
          <w:rFonts w:eastAsia="Calibri" w:cs="Segoe UI"/>
          <w:b/>
          <w:szCs w:val="20"/>
        </w:rPr>
        <w:t>y</w:t>
      </w:r>
      <w:r w:rsidR="00432E68" w:rsidRPr="00AF0DDD">
        <w:rPr>
          <w:rFonts w:eastAsia="Calibri" w:cs="Segoe UI"/>
          <w:b/>
          <w:szCs w:val="20"/>
        </w:rPr>
        <w:t xml:space="preserve"> rozpočtu z novembra 2022 uvádza</w:t>
      </w:r>
      <w:r w:rsidR="004B7D48" w:rsidRPr="00AF0DDD">
        <w:rPr>
          <w:rFonts w:eastAsia="Calibri" w:cs="Segoe UI"/>
          <w:b/>
          <w:szCs w:val="20"/>
        </w:rPr>
        <w:t>me</w:t>
      </w:r>
      <w:r w:rsidR="00432E68" w:rsidRPr="00AF0DDD">
        <w:rPr>
          <w:rFonts w:eastAsia="Calibri" w:cs="Segoe UI"/>
          <w:b/>
          <w:szCs w:val="20"/>
        </w:rPr>
        <w:t xml:space="preserve"> ako novelizovaný rozpočet.</w:t>
      </w:r>
    </w:p>
    <w:p w14:paraId="23AA9C46" w14:textId="24191CE9" w:rsidR="00436F9A" w:rsidRPr="00436F9A" w:rsidRDefault="00436F9A" w:rsidP="00436F9A">
      <w:pPr>
        <w:rPr>
          <w:rFonts w:eastAsia="Calibri" w:cs="Segoe UI"/>
          <w:szCs w:val="20"/>
        </w:rPr>
      </w:pPr>
      <w:r w:rsidRPr="00436F9A">
        <w:rPr>
          <w:rFonts w:eastAsia="Calibri" w:cs="Segoe UI"/>
          <w:szCs w:val="20"/>
        </w:rPr>
        <w:t>Pri príprave rozpočtu sa vytvorili rezervy spojené s</w:t>
      </w:r>
      <w:r w:rsidR="00C4202A">
        <w:rPr>
          <w:rFonts w:eastAsia="Calibri" w:cs="Segoe UI"/>
          <w:szCs w:val="20"/>
        </w:rPr>
        <w:t> pandémiou COVID-19</w:t>
      </w:r>
      <w:r w:rsidR="00AF0DDD">
        <w:rPr>
          <w:rFonts w:eastAsia="Calibri" w:cs="Segoe UI"/>
          <w:szCs w:val="20"/>
        </w:rPr>
        <w:t xml:space="preserve">, ktoré </w:t>
      </w:r>
      <w:r w:rsidRPr="00436F9A">
        <w:rPr>
          <w:rFonts w:eastAsia="Calibri" w:cs="Segoe UI"/>
          <w:szCs w:val="20"/>
        </w:rPr>
        <w:t>však nebolo potrebné čerpať</w:t>
      </w:r>
      <w:r>
        <w:rPr>
          <w:rFonts w:eastAsia="Calibri" w:cs="Segoe UI"/>
          <w:szCs w:val="20"/>
        </w:rPr>
        <w:t>,</w:t>
      </w:r>
      <w:r w:rsidRPr="00436F9A">
        <w:rPr>
          <w:rFonts w:eastAsia="Calibri" w:cs="Segoe UI"/>
          <w:szCs w:val="20"/>
        </w:rPr>
        <w:t xml:space="preserve"> keďže vývoj </w:t>
      </w:r>
      <w:r w:rsidR="00AF0DDD">
        <w:rPr>
          <w:rFonts w:eastAsia="Calibri" w:cs="Segoe UI"/>
          <w:szCs w:val="20"/>
        </w:rPr>
        <w:t xml:space="preserve">pandémie </w:t>
      </w:r>
      <w:r w:rsidRPr="00436F9A">
        <w:rPr>
          <w:rFonts w:eastAsia="Calibri" w:cs="Segoe UI"/>
          <w:szCs w:val="20"/>
        </w:rPr>
        <w:t>bol miernejší, než sa predpokladalo</w:t>
      </w:r>
      <w:r w:rsidRPr="001B4E3D">
        <w:rPr>
          <w:rFonts w:eastAsia="Calibri" w:cs="Segoe UI"/>
          <w:b/>
          <w:szCs w:val="20"/>
        </w:rPr>
        <w:t xml:space="preserve">. </w:t>
      </w:r>
      <w:r w:rsidR="00152C77" w:rsidRPr="001B4E3D">
        <w:rPr>
          <w:rFonts w:eastAsia="Calibri" w:cs="Segoe UI"/>
          <w:b/>
          <w:szCs w:val="20"/>
        </w:rPr>
        <w:t>G</w:t>
      </w:r>
      <w:r w:rsidRPr="001B4E3D">
        <w:rPr>
          <w:rFonts w:eastAsia="Calibri" w:cs="Segoe UI"/>
          <w:b/>
          <w:szCs w:val="20"/>
        </w:rPr>
        <w:t xml:space="preserve">eopolitická situácia </w:t>
      </w:r>
      <w:r w:rsidR="00152C77" w:rsidRPr="001B4E3D">
        <w:rPr>
          <w:rFonts w:eastAsia="Calibri" w:cs="Segoe UI"/>
          <w:b/>
          <w:szCs w:val="20"/>
        </w:rPr>
        <w:t xml:space="preserve">však </w:t>
      </w:r>
      <w:r w:rsidRPr="001B4E3D">
        <w:rPr>
          <w:rFonts w:eastAsia="Calibri" w:cs="Segoe UI"/>
          <w:b/>
          <w:szCs w:val="20"/>
        </w:rPr>
        <w:t xml:space="preserve">bola </w:t>
      </w:r>
      <w:r w:rsidR="00471E8A" w:rsidRPr="001B4E3D">
        <w:rPr>
          <w:rFonts w:eastAsia="Calibri" w:cs="Segoe UI"/>
          <w:b/>
          <w:szCs w:val="20"/>
        </w:rPr>
        <w:t xml:space="preserve">horšia </w:t>
      </w:r>
      <w:r w:rsidRPr="001B4E3D">
        <w:rPr>
          <w:rFonts w:eastAsia="Calibri" w:cs="Segoe UI"/>
          <w:b/>
          <w:szCs w:val="20"/>
        </w:rPr>
        <w:t>a od februára 2022 čelí aj S</w:t>
      </w:r>
      <w:r w:rsidR="00152C77" w:rsidRPr="001B4E3D">
        <w:rPr>
          <w:rFonts w:eastAsia="Calibri" w:cs="Segoe UI"/>
          <w:b/>
          <w:szCs w:val="20"/>
        </w:rPr>
        <w:t>R</w:t>
      </w:r>
      <w:r w:rsidRPr="001B4E3D">
        <w:rPr>
          <w:rFonts w:eastAsia="Calibri" w:cs="Segoe UI"/>
          <w:b/>
          <w:szCs w:val="20"/>
        </w:rPr>
        <w:t xml:space="preserve"> dopadom konfliktu na Ukrajine.</w:t>
      </w:r>
      <w:r w:rsidRPr="00436F9A">
        <w:rPr>
          <w:rFonts w:eastAsia="Calibri" w:cs="Segoe UI"/>
          <w:szCs w:val="20"/>
        </w:rPr>
        <w:t xml:space="preserve"> Tieto dve udalosti ovplyv</w:t>
      </w:r>
      <w:r w:rsidR="00152C77">
        <w:rPr>
          <w:rFonts w:eastAsia="Calibri" w:cs="Segoe UI"/>
          <w:szCs w:val="20"/>
        </w:rPr>
        <w:t>nili</w:t>
      </w:r>
      <w:r w:rsidRPr="00436F9A">
        <w:rPr>
          <w:rFonts w:eastAsia="Calibri" w:cs="Segoe UI"/>
          <w:szCs w:val="20"/>
        </w:rPr>
        <w:t xml:space="preserve"> </w:t>
      </w:r>
      <w:r w:rsidR="00E03B8D">
        <w:rPr>
          <w:rFonts w:eastAsia="Calibri" w:cs="Segoe UI"/>
          <w:szCs w:val="20"/>
        </w:rPr>
        <w:t xml:space="preserve">aj </w:t>
      </w:r>
      <w:r w:rsidRPr="00436F9A">
        <w:rPr>
          <w:rFonts w:eastAsia="Calibri" w:cs="Segoe UI"/>
          <w:szCs w:val="20"/>
        </w:rPr>
        <w:t xml:space="preserve">rozpočtové hospodárenie a preto sa </w:t>
      </w:r>
      <w:r w:rsidR="00152C77">
        <w:rPr>
          <w:rFonts w:eastAsia="Calibri" w:cs="Segoe UI"/>
          <w:szCs w:val="20"/>
        </w:rPr>
        <w:t>súvisiacim</w:t>
      </w:r>
      <w:r w:rsidRPr="00436F9A">
        <w:rPr>
          <w:rFonts w:eastAsia="Calibri" w:cs="Segoe UI"/>
          <w:szCs w:val="20"/>
        </w:rPr>
        <w:t xml:space="preserve"> rizikám venujeme </w:t>
      </w:r>
      <w:r w:rsidR="00152C77">
        <w:rPr>
          <w:rFonts w:eastAsia="Calibri" w:cs="Segoe UI"/>
          <w:szCs w:val="20"/>
        </w:rPr>
        <w:t xml:space="preserve">v tomto stanovisku </w:t>
      </w:r>
      <w:r w:rsidRPr="00436F9A">
        <w:rPr>
          <w:rFonts w:eastAsia="Calibri" w:cs="Segoe UI"/>
          <w:szCs w:val="20"/>
        </w:rPr>
        <w:t>podrobnejšie</w:t>
      </w:r>
      <w:r w:rsidR="00E03B8D">
        <w:rPr>
          <w:rFonts w:eastAsia="Calibri" w:cs="Segoe UI"/>
          <w:szCs w:val="20"/>
        </w:rPr>
        <w:t>.</w:t>
      </w:r>
    </w:p>
    <w:p w14:paraId="7A54B9CA" w14:textId="58EFC89E" w:rsidR="000637F1" w:rsidRDefault="00C4202A" w:rsidP="00C4202A">
      <w:pPr>
        <w:rPr>
          <w:rFonts w:eastAsia="Calibri" w:cs="Segoe UI"/>
          <w:szCs w:val="20"/>
        </w:rPr>
      </w:pPr>
      <w:r w:rsidRPr="000637F1">
        <w:rPr>
          <w:rFonts w:eastAsia="Calibri" w:cs="Segoe UI"/>
          <w:b/>
          <w:szCs w:val="20"/>
        </w:rPr>
        <w:t>Makroekonomický rámec bol na jednej strane ovplyvnený ekonomickým oživením po pandémii a na druhej strane tlmený v</w:t>
      </w:r>
      <w:r w:rsidR="00152C77" w:rsidRPr="000637F1">
        <w:rPr>
          <w:rFonts w:eastAsia="Calibri" w:cs="Segoe UI"/>
          <w:b/>
          <w:szCs w:val="20"/>
        </w:rPr>
        <w:t>ysokými cenami vstupov a energií</w:t>
      </w:r>
      <w:r w:rsidRPr="000637F1">
        <w:rPr>
          <w:rFonts w:eastAsia="Calibri" w:cs="Segoe UI"/>
          <w:b/>
          <w:szCs w:val="20"/>
        </w:rPr>
        <w:t>.</w:t>
      </w:r>
      <w:r w:rsidRPr="00436F9A">
        <w:rPr>
          <w:rFonts w:eastAsia="Calibri" w:cs="Segoe UI"/>
          <w:szCs w:val="20"/>
        </w:rPr>
        <w:t xml:space="preserve"> </w:t>
      </w:r>
      <w:r w:rsidR="00B36D5E">
        <w:rPr>
          <w:rFonts w:eastAsia="Calibri" w:cs="Segoe UI"/>
          <w:szCs w:val="20"/>
        </w:rPr>
        <w:t>Spotrebiteľská i</w:t>
      </w:r>
      <w:r w:rsidRPr="00436F9A">
        <w:rPr>
          <w:rFonts w:eastAsia="Calibri" w:cs="Segoe UI"/>
          <w:szCs w:val="20"/>
        </w:rPr>
        <w:t xml:space="preserve">nflácia </w:t>
      </w:r>
      <w:r w:rsidR="00E03B8D">
        <w:rPr>
          <w:rFonts w:eastAsia="Calibri" w:cs="Segoe UI"/>
          <w:szCs w:val="20"/>
        </w:rPr>
        <w:t xml:space="preserve">dosiahla ku koncu roka maximum </w:t>
      </w:r>
      <w:r w:rsidRPr="00436F9A">
        <w:rPr>
          <w:rFonts w:eastAsia="Calibri" w:cs="Segoe UI"/>
          <w:szCs w:val="20"/>
        </w:rPr>
        <w:t xml:space="preserve">15,4 </w:t>
      </w:r>
      <w:r w:rsidR="00E03B8D">
        <w:rPr>
          <w:rFonts w:eastAsia="Calibri" w:cs="Segoe UI"/>
          <w:szCs w:val="20"/>
        </w:rPr>
        <w:t> </w:t>
      </w:r>
      <w:r w:rsidRPr="00436F9A">
        <w:rPr>
          <w:rFonts w:eastAsia="Calibri" w:cs="Segoe UI"/>
          <w:szCs w:val="20"/>
        </w:rPr>
        <w:t xml:space="preserve">%. Vysoká inflácia sa prejavila aj vo vyššom </w:t>
      </w:r>
      <w:r>
        <w:rPr>
          <w:rFonts w:eastAsia="Calibri" w:cs="Segoe UI"/>
          <w:szCs w:val="20"/>
        </w:rPr>
        <w:t>výbere daní</w:t>
      </w:r>
      <w:r w:rsidRPr="00436F9A">
        <w:rPr>
          <w:rFonts w:eastAsia="Calibri" w:cs="Segoe UI"/>
          <w:szCs w:val="20"/>
        </w:rPr>
        <w:t xml:space="preserve"> do ŠR. Inflácia a vyššie ceny vstupov sa premietli do vyššej ceny produktov a tým aj </w:t>
      </w:r>
      <w:r w:rsidR="00A6398A">
        <w:rPr>
          <w:rFonts w:eastAsia="Calibri" w:cs="Segoe UI"/>
          <w:szCs w:val="20"/>
        </w:rPr>
        <w:t xml:space="preserve">do </w:t>
      </w:r>
      <w:r w:rsidR="001B4E3D">
        <w:rPr>
          <w:rFonts w:eastAsia="Calibri" w:cs="Segoe UI"/>
          <w:szCs w:val="20"/>
        </w:rPr>
        <w:t xml:space="preserve">spotreby domácností a </w:t>
      </w:r>
      <w:r w:rsidR="00E03B8D">
        <w:rPr>
          <w:rFonts w:eastAsia="Calibri" w:cs="Segoe UI"/>
          <w:szCs w:val="20"/>
        </w:rPr>
        <w:t xml:space="preserve">tvorby </w:t>
      </w:r>
      <w:r w:rsidR="000637F1">
        <w:rPr>
          <w:rFonts w:eastAsia="Calibri" w:cs="Segoe UI"/>
          <w:szCs w:val="20"/>
        </w:rPr>
        <w:t>HDP.</w:t>
      </w:r>
      <w:r w:rsidR="00A6398A">
        <w:rPr>
          <w:rFonts w:eastAsia="Calibri" w:cs="Segoe UI"/>
          <w:szCs w:val="20"/>
        </w:rPr>
        <w:t xml:space="preserve"> </w:t>
      </w:r>
      <w:r w:rsidR="001B4E3D">
        <w:rPr>
          <w:rFonts w:eastAsia="Calibri" w:cs="Segoe UI"/>
          <w:szCs w:val="20"/>
        </w:rPr>
        <w:t xml:space="preserve">Príjmy rozpočtu boli teda vyššie aj vďaka </w:t>
      </w:r>
      <w:r w:rsidR="00775113">
        <w:rPr>
          <w:rFonts w:eastAsia="Calibri" w:cs="Segoe UI"/>
          <w:szCs w:val="20"/>
        </w:rPr>
        <w:t>vyšším príjmom od</w:t>
      </w:r>
      <w:r w:rsidR="001B4E3D">
        <w:rPr>
          <w:rFonts w:eastAsia="Calibri" w:cs="Segoe UI"/>
          <w:szCs w:val="20"/>
        </w:rPr>
        <w:t xml:space="preserve"> obyvateľov.</w:t>
      </w:r>
    </w:p>
    <w:p w14:paraId="7D358C49" w14:textId="5FB4F1FA" w:rsidR="00C4202A" w:rsidRPr="00436F9A" w:rsidRDefault="00C4202A" w:rsidP="00C4202A">
      <w:pPr>
        <w:rPr>
          <w:rFonts w:eastAsia="Calibri" w:cs="Segoe UI"/>
          <w:szCs w:val="20"/>
        </w:rPr>
      </w:pPr>
      <w:r w:rsidRPr="00AF0DDD">
        <w:rPr>
          <w:rFonts w:eastAsia="Calibri" w:cs="Segoe UI"/>
          <w:b/>
          <w:szCs w:val="20"/>
        </w:rPr>
        <w:t xml:space="preserve">Inflácia, vyššie príjmy a nižšie skutočné výdavky oproti rozpočtu zlepšili výsledkové ukazovatele </w:t>
      </w:r>
      <w:r w:rsidR="00BF208C" w:rsidRPr="00AF0DDD">
        <w:rPr>
          <w:rFonts w:eastAsia="Calibri" w:cs="Segoe UI"/>
          <w:b/>
          <w:szCs w:val="20"/>
        </w:rPr>
        <w:t xml:space="preserve">tak </w:t>
      </w:r>
      <w:r w:rsidRPr="00AF0DDD">
        <w:rPr>
          <w:rFonts w:eastAsia="Calibri" w:cs="Segoe UI"/>
          <w:b/>
          <w:szCs w:val="20"/>
        </w:rPr>
        <w:t xml:space="preserve">oproti rozpočtu, </w:t>
      </w:r>
      <w:r w:rsidR="00152C77" w:rsidRPr="00AF0DDD">
        <w:rPr>
          <w:rFonts w:eastAsia="Calibri" w:cs="Segoe UI"/>
          <w:b/>
          <w:szCs w:val="20"/>
        </w:rPr>
        <w:t>ako</w:t>
      </w:r>
      <w:r w:rsidRPr="00AF0DDD">
        <w:rPr>
          <w:rFonts w:eastAsia="Calibri" w:cs="Segoe UI"/>
          <w:b/>
          <w:szCs w:val="20"/>
        </w:rPr>
        <w:t xml:space="preserve"> </w:t>
      </w:r>
      <w:r w:rsidR="00BF208C" w:rsidRPr="00AF0DDD">
        <w:rPr>
          <w:rFonts w:eastAsia="Calibri" w:cs="Segoe UI"/>
          <w:b/>
          <w:szCs w:val="20"/>
        </w:rPr>
        <w:t xml:space="preserve">aj </w:t>
      </w:r>
      <w:r w:rsidRPr="00AF0DDD">
        <w:rPr>
          <w:rFonts w:eastAsia="Calibri" w:cs="Segoe UI"/>
          <w:b/>
          <w:szCs w:val="20"/>
        </w:rPr>
        <w:t>oproti roku 2021.</w:t>
      </w:r>
      <w:r w:rsidRPr="00436F9A">
        <w:rPr>
          <w:rFonts w:eastAsia="Calibri" w:cs="Segoe UI"/>
          <w:szCs w:val="20"/>
        </w:rPr>
        <w:t xml:space="preserve"> Maastrichtský dlh </w:t>
      </w:r>
      <w:r>
        <w:rPr>
          <w:rFonts w:eastAsia="Calibri" w:cs="Segoe UI"/>
          <w:szCs w:val="20"/>
        </w:rPr>
        <w:t>VS</w:t>
      </w:r>
      <w:r w:rsidRPr="00436F9A">
        <w:rPr>
          <w:rFonts w:eastAsia="Calibri" w:cs="Segoe UI"/>
          <w:szCs w:val="20"/>
        </w:rPr>
        <w:t xml:space="preserve"> klesol o 3,4 p. b. na 57,8 % HDP a schodok dosiahol 2,04 % HDP oproti 5,4 % v roku 2021 a 4,9 % plánovaných v rozpočte na </w:t>
      </w:r>
      <w:r w:rsidR="00775113">
        <w:rPr>
          <w:rFonts w:eastAsia="Calibri" w:cs="Segoe UI"/>
          <w:szCs w:val="20"/>
        </w:rPr>
        <w:t xml:space="preserve">rok </w:t>
      </w:r>
      <w:r w:rsidRPr="00436F9A">
        <w:rPr>
          <w:rFonts w:eastAsia="Calibri" w:cs="Segoe UI"/>
          <w:szCs w:val="20"/>
        </w:rPr>
        <w:t xml:space="preserve">2022. </w:t>
      </w:r>
    </w:p>
    <w:p w14:paraId="0A5A3AF1" w14:textId="7E7EDB33" w:rsidR="00B36D5E" w:rsidRDefault="00436F9A" w:rsidP="00436F9A">
      <w:pPr>
        <w:rPr>
          <w:rFonts w:eastAsia="Calibri" w:cs="Segoe UI"/>
          <w:szCs w:val="20"/>
        </w:rPr>
      </w:pPr>
      <w:r w:rsidRPr="00436F9A">
        <w:rPr>
          <w:rFonts w:eastAsia="Calibri" w:cs="Segoe UI"/>
          <w:szCs w:val="20"/>
        </w:rPr>
        <w:t>Neočakávané udalosti</w:t>
      </w:r>
      <w:r w:rsidR="00E82B21">
        <w:rPr>
          <w:rFonts w:eastAsia="Calibri" w:cs="Segoe UI"/>
          <w:szCs w:val="20"/>
        </w:rPr>
        <w:t xml:space="preserve"> sa</w:t>
      </w:r>
      <w:r w:rsidRPr="00436F9A">
        <w:rPr>
          <w:rFonts w:eastAsia="Calibri" w:cs="Segoe UI"/>
          <w:szCs w:val="20"/>
        </w:rPr>
        <w:t xml:space="preserve"> premiet</w:t>
      </w:r>
      <w:r w:rsidR="00E82B21">
        <w:rPr>
          <w:rFonts w:eastAsia="Calibri" w:cs="Segoe UI"/>
          <w:szCs w:val="20"/>
        </w:rPr>
        <w:t>li</w:t>
      </w:r>
      <w:r w:rsidRPr="00436F9A">
        <w:rPr>
          <w:rFonts w:eastAsia="Calibri" w:cs="Segoe UI"/>
          <w:szCs w:val="20"/>
        </w:rPr>
        <w:t xml:space="preserve"> aj do </w:t>
      </w:r>
      <w:r>
        <w:rPr>
          <w:rFonts w:eastAsia="Calibri" w:cs="Segoe UI"/>
          <w:szCs w:val="20"/>
        </w:rPr>
        <w:t>z</w:t>
      </w:r>
      <w:r w:rsidRPr="00436F9A">
        <w:rPr>
          <w:rFonts w:eastAsia="Calibri" w:cs="Segoe UI"/>
          <w:szCs w:val="20"/>
        </w:rPr>
        <w:t>ákona o ŠR, ktorý bol v novembri 2022 novelizovaný. Zmena sa týkala nárastu celkových daňových príjmov o 1,5 mld. eur a</w:t>
      </w:r>
      <w:r w:rsidR="00775113">
        <w:rPr>
          <w:rFonts w:eastAsia="Calibri" w:cs="Segoe UI"/>
          <w:szCs w:val="20"/>
        </w:rPr>
        <w:t> </w:t>
      </w:r>
      <w:r w:rsidRPr="00436F9A">
        <w:rPr>
          <w:rFonts w:eastAsia="Calibri" w:cs="Segoe UI"/>
          <w:szCs w:val="20"/>
        </w:rPr>
        <w:t>rovnak</w:t>
      </w:r>
      <w:r w:rsidR="00775113">
        <w:rPr>
          <w:rFonts w:eastAsia="Calibri" w:cs="Segoe UI"/>
          <w:szCs w:val="20"/>
        </w:rPr>
        <w:t>o vysokého</w:t>
      </w:r>
      <w:r w:rsidRPr="00436F9A">
        <w:rPr>
          <w:rFonts w:eastAsia="Calibri" w:cs="Segoe UI"/>
          <w:szCs w:val="20"/>
        </w:rPr>
        <w:t xml:space="preserve"> rast</w:t>
      </w:r>
      <w:r w:rsidR="00B36D5E">
        <w:rPr>
          <w:rFonts w:eastAsia="Calibri" w:cs="Segoe UI"/>
          <w:szCs w:val="20"/>
        </w:rPr>
        <w:t xml:space="preserve">u </w:t>
      </w:r>
      <w:r w:rsidRPr="00436F9A">
        <w:rPr>
          <w:rFonts w:eastAsia="Calibri" w:cs="Segoe UI"/>
          <w:szCs w:val="20"/>
        </w:rPr>
        <w:t xml:space="preserve">celkových výdavkov, čiže bez </w:t>
      </w:r>
      <w:r w:rsidR="00B36D5E">
        <w:rPr>
          <w:rFonts w:eastAsia="Calibri" w:cs="Segoe UI"/>
          <w:szCs w:val="20"/>
        </w:rPr>
        <w:t xml:space="preserve">vplyvu na </w:t>
      </w:r>
      <w:r w:rsidRPr="00436F9A">
        <w:rPr>
          <w:rFonts w:eastAsia="Calibri" w:cs="Segoe UI"/>
          <w:szCs w:val="20"/>
        </w:rPr>
        <w:t>hotovostn</w:t>
      </w:r>
      <w:r w:rsidR="00B36D5E">
        <w:rPr>
          <w:rFonts w:eastAsia="Calibri" w:cs="Segoe UI"/>
          <w:szCs w:val="20"/>
        </w:rPr>
        <w:t>ý</w:t>
      </w:r>
      <w:r w:rsidRPr="00436F9A">
        <w:rPr>
          <w:rFonts w:eastAsia="Calibri" w:cs="Segoe UI"/>
          <w:szCs w:val="20"/>
        </w:rPr>
        <w:t xml:space="preserve"> schod</w:t>
      </w:r>
      <w:r w:rsidR="00B36D5E">
        <w:rPr>
          <w:rFonts w:eastAsia="Calibri" w:cs="Segoe UI"/>
          <w:szCs w:val="20"/>
        </w:rPr>
        <w:t>o</w:t>
      </w:r>
      <w:r w:rsidRPr="00436F9A">
        <w:rPr>
          <w:rFonts w:eastAsia="Calibri" w:cs="Segoe UI"/>
          <w:szCs w:val="20"/>
        </w:rPr>
        <w:t xml:space="preserve">k ŠR. </w:t>
      </w:r>
      <w:r w:rsidRPr="00AF0DDD">
        <w:rPr>
          <w:rFonts w:eastAsia="Calibri" w:cs="Segoe UI"/>
          <w:b/>
          <w:szCs w:val="20"/>
        </w:rPr>
        <w:t xml:space="preserve">Novelizácia rozpočtu sa najviac dotkla </w:t>
      </w:r>
      <w:r w:rsidR="00F00B0B">
        <w:rPr>
          <w:rFonts w:eastAsia="Calibri" w:cs="Segoe UI"/>
          <w:b/>
          <w:szCs w:val="20"/>
        </w:rPr>
        <w:t>ministerst</w:t>
      </w:r>
      <w:r w:rsidR="00E82B21">
        <w:rPr>
          <w:rFonts w:eastAsia="Calibri" w:cs="Segoe UI"/>
          <w:b/>
          <w:szCs w:val="20"/>
        </w:rPr>
        <w:t>iev</w:t>
      </w:r>
      <w:r w:rsidR="00F00B0B">
        <w:rPr>
          <w:rFonts w:eastAsia="Calibri" w:cs="Segoe UI"/>
          <w:b/>
          <w:szCs w:val="20"/>
        </w:rPr>
        <w:t xml:space="preserve"> práce</w:t>
      </w:r>
      <w:r w:rsidR="00E82B21">
        <w:rPr>
          <w:rFonts w:eastAsia="Calibri" w:cs="Segoe UI"/>
          <w:b/>
          <w:szCs w:val="20"/>
        </w:rPr>
        <w:t xml:space="preserve"> a</w:t>
      </w:r>
      <w:r w:rsidR="00775113">
        <w:rPr>
          <w:rFonts w:eastAsia="Calibri" w:cs="Segoe UI"/>
          <w:b/>
          <w:szCs w:val="20"/>
        </w:rPr>
        <w:t xml:space="preserve"> </w:t>
      </w:r>
      <w:r w:rsidR="00F00B0B">
        <w:rPr>
          <w:rFonts w:eastAsia="Calibri" w:cs="Segoe UI"/>
          <w:b/>
          <w:szCs w:val="20"/>
        </w:rPr>
        <w:t xml:space="preserve">hospodárstva </w:t>
      </w:r>
      <w:r w:rsidRPr="00AF0DDD">
        <w:rPr>
          <w:rFonts w:eastAsia="Calibri" w:cs="Segoe UI"/>
          <w:b/>
          <w:szCs w:val="20"/>
        </w:rPr>
        <w:t xml:space="preserve">a VPS, </w:t>
      </w:r>
      <w:r w:rsidR="00775113">
        <w:rPr>
          <w:rFonts w:eastAsia="Calibri" w:cs="Segoe UI"/>
          <w:b/>
          <w:szCs w:val="20"/>
        </w:rPr>
        <w:t>v ktorých</w:t>
      </w:r>
      <w:r w:rsidRPr="00AF0DDD">
        <w:rPr>
          <w:rFonts w:eastAsia="Calibri" w:cs="Segoe UI"/>
          <w:b/>
          <w:szCs w:val="20"/>
        </w:rPr>
        <w:t xml:space="preserve"> sa navyšovali výdavky najmä z</w:t>
      </w:r>
      <w:r w:rsidR="006613CC" w:rsidRPr="00AF0DDD">
        <w:rPr>
          <w:rFonts w:eastAsia="Calibri" w:cs="Segoe UI"/>
          <w:b/>
          <w:szCs w:val="20"/>
        </w:rPr>
        <w:t> dôvodu zmiernen</w:t>
      </w:r>
      <w:r w:rsidRPr="00AF0DDD">
        <w:rPr>
          <w:rFonts w:eastAsia="Calibri" w:cs="Segoe UI"/>
          <w:b/>
          <w:szCs w:val="20"/>
        </w:rPr>
        <w:t>ia sociálno-ekonomických dopadov nerozpočtovaných udalostí.</w:t>
      </w:r>
      <w:r w:rsidRPr="00436F9A">
        <w:rPr>
          <w:rFonts w:eastAsia="Calibri" w:cs="Segoe UI"/>
          <w:szCs w:val="20"/>
        </w:rPr>
        <w:t xml:space="preserve"> Najväčšou výzvou boli mimoriadne okolnosti pre </w:t>
      </w:r>
      <w:r w:rsidR="006613CC">
        <w:rPr>
          <w:rFonts w:eastAsia="Calibri" w:cs="Segoe UI"/>
          <w:szCs w:val="20"/>
        </w:rPr>
        <w:t>rezorty</w:t>
      </w:r>
      <w:r w:rsidRPr="00436F9A">
        <w:rPr>
          <w:rFonts w:eastAsia="Calibri" w:cs="Segoe UI"/>
          <w:szCs w:val="20"/>
        </w:rPr>
        <w:t xml:space="preserve"> </w:t>
      </w:r>
      <w:r w:rsidR="00F00B0B">
        <w:rPr>
          <w:rFonts w:eastAsia="Calibri" w:cs="Segoe UI"/>
          <w:szCs w:val="20"/>
        </w:rPr>
        <w:t xml:space="preserve">práce, </w:t>
      </w:r>
      <w:r w:rsidRPr="00436F9A">
        <w:rPr>
          <w:rFonts w:eastAsia="Calibri" w:cs="Segoe UI"/>
          <w:szCs w:val="20"/>
        </w:rPr>
        <w:t>zdravotníctva</w:t>
      </w:r>
      <w:r w:rsidR="00F00B0B">
        <w:rPr>
          <w:rFonts w:eastAsia="Calibri" w:cs="Segoe UI"/>
          <w:szCs w:val="20"/>
        </w:rPr>
        <w:t xml:space="preserve"> </w:t>
      </w:r>
      <w:r w:rsidR="00690429">
        <w:rPr>
          <w:rFonts w:eastAsia="Calibri" w:cs="Segoe UI"/>
          <w:szCs w:val="20"/>
        </w:rPr>
        <w:t>a</w:t>
      </w:r>
      <w:r w:rsidR="00B36D5E">
        <w:rPr>
          <w:rFonts w:eastAsia="Calibri" w:cs="Segoe UI"/>
          <w:szCs w:val="20"/>
        </w:rPr>
        <w:t> </w:t>
      </w:r>
      <w:r w:rsidRPr="00436F9A">
        <w:rPr>
          <w:rFonts w:eastAsia="Calibri" w:cs="Segoe UI"/>
          <w:szCs w:val="20"/>
        </w:rPr>
        <w:t>obrany</w:t>
      </w:r>
      <w:r w:rsidR="00B36D5E">
        <w:rPr>
          <w:rFonts w:eastAsia="Calibri" w:cs="Segoe UI"/>
          <w:szCs w:val="20"/>
        </w:rPr>
        <w:t xml:space="preserve">. </w:t>
      </w:r>
      <w:r w:rsidRPr="00436F9A">
        <w:rPr>
          <w:rFonts w:eastAsia="Calibri" w:cs="Segoe UI"/>
          <w:szCs w:val="20"/>
        </w:rPr>
        <w:t xml:space="preserve">Cez tieto tri rozpočtové kapitoly </w:t>
      </w:r>
      <w:r w:rsidR="00E82B21">
        <w:rPr>
          <w:rFonts w:eastAsia="Calibri" w:cs="Segoe UI"/>
          <w:szCs w:val="20"/>
        </w:rPr>
        <w:t>sa</w:t>
      </w:r>
      <w:r w:rsidRPr="00436F9A">
        <w:rPr>
          <w:rFonts w:eastAsia="Calibri" w:cs="Segoe UI"/>
          <w:szCs w:val="20"/>
        </w:rPr>
        <w:t xml:space="preserve"> rozpúšťa</w:t>
      </w:r>
      <w:r w:rsidR="00E82B21">
        <w:rPr>
          <w:rFonts w:eastAsia="Calibri" w:cs="Segoe UI"/>
          <w:szCs w:val="20"/>
        </w:rPr>
        <w:t>l</w:t>
      </w:r>
      <w:r w:rsidRPr="00436F9A">
        <w:rPr>
          <w:rFonts w:eastAsia="Calibri" w:cs="Segoe UI"/>
          <w:szCs w:val="20"/>
        </w:rPr>
        <w:t xml:space="preserve"> fiškálny vankúš pôvodne zameraný na boj s pandémiou a neskôr využívaný na zmiernenie dopadov konfliktu na Ukrajine, vys</w:t>
      </w:r>
      <w:r w:rsidR="00B36D5E">
        <w:rPr>
          <w:rFonts w:eastAsia="Calibri" w:cs="Segoe UI"/>
          <w:szCs w:val="20"/>
        </w:rPr>
        <w:t>okých cien energií či inflácie.</w:t>
      </w:r>
    </w:p>
    <w:p w14:paraId="6D130D5C" w14:textId="75F3B1EB" w:rsidR="00B7776D" w:rsidRPr="00436F9A" w:rsidRDefault="00B7776D" w:rsidP="00B7776D">
      <w:pPr>
        <w:rPr>
          <w:rFonts w:eastAsia="Calibri" w:cs="Segoe UI"/>
          <w:szCs w:val="20"/>
        </w:rPr>
      </w:pPr>
      <w:r w:rsidRPr="00F00B0B">
        <w:rPr>
          <w:rFonts w:eastAsia="Calibri" w:cs="Segoe UI"/>
          <w:b/>
          <w:szCs w:val="20"/>
        </w:rPr>
        <w:t xml:space="preserve">Celkové výdavky kapitoly </w:t>
      </w:r>
      <w:r w:rsidR="00F00B0B" w:rsidRPr="00F00B0B">
        <w:rPr>
          <w:rFonts w:eastAsia="Calibri" w:cs="Segoe UI"/>
          <w:b/>
          <w:szCs w:val="20"/>
        </w:rPr>
        <w:t xml:space="preserve">ministerstva práce </w:t>
      </w:r>
      <w:r w:rsidRPr="00F00B0B">
        <w:rPr>
          <w:rFonts w:eastAsia="Calibri" w:cs="Segoe UI"/>
          <w:b/>
          <w:szCs w:val="20"/>
        </w:rPr>
        <w:t>v súvislosti s COVID-19 dosiahli 407 mil. eur (najmä na projekt Prvá pomoc) a v súvislosti s Ukrajinou 14 mil. eur.</w:t>
      </w:r>
      <w:r w:rsidRPr="00436F9A">
        <w:rPr>
          <w:rFonts w:eastAsia="Calibri" w:cs="Segoe UI"/>
          <w:szCs w:val="20"/>
        </w:rPr>
        <w:t xml:space="preserve"> </w:t>
      </w:r>
      <w:r w:rsidR="00E82B21">
        <w:rPr>
          <w:rFonts w:eastAsia="Calibri" w:cs="Segoe UI"/>
          <w:szCs w:val="20"/>
        </w:rPr>
        <w:t>Celkové</w:t>
      </w:r>
      <w:r w:rsidRPr="00436F9A">
        <w:rPr>
          <w:rFonts w:eastAsia="Calibri" w:cs="Segoe UI"/>
          <w:szCs w:val="20"/>
        </w:rPr>
        <w:t xml:space="preserve"> vyššie výdavky však boli spojené </w:t>
      </w:r>
      <w:r>
        <w:rPr>
          <w:rFonts w:eastAsia="Calibri" w:cs="Segoe UI"/>
          <w:szCs w:val="20"/>
        </w:rPr>
        <w:t xml:space="preserve">aj </w:t>
      </w:r>
      <w:r w:rsidRPr="00436F9A">
        <w:rPr>
          <w:rFonts w:eastAsia="Calibri" w:cs="Segoe UI"/>
          <w:szCs w:val="20"/>
        </w:rPr>
        <w:t>so zmierňovaním vplyvov vysokej inflácie a nadväzujúcich dôsledkov. Prostredníctvom S</w:t>
      </w:r>
      <w:r>
        <w:rPr>
          <w:rFonts w:eastAsia="Calibri" w:cs="Segoe UI"/>
          <w:szCs w:val="20"/>
        </w:rPr>
        <w:t>ociálnej poisťovne</w:t>
      </w:r>
      <w:r w:rsidRPr="00436F9A">
        <w:rPr>
          <w:rFonts w:eastAsia="Calibri" w:cs="Segoe UI"/>
          <w:szCs w:val="20"/>
        </w:rPr>
        <w:t xml:space="preserve"> boli vyplatené tzv. 13. a 14. dôchodky a ďalšie opatrenia v sociálnej oblasti. </w:t>
      </w:r>
    </w:p>
    <w:p w14:paraId="3267B728" w14:textId="242B7B1E" w:rsidR="00436F9A" w:rsidRPr="00436F9A" w:rsidRDefault="00EA0990" w:rsidP="00436F9A">
      <w:pPr>
        <w:rPr>
          <w:rFonts w:eastAsia="Calibri" w:cs="Segoe UI"/>
          <w:szCs w:val="20"/>
        </w:rPr>
      </w:pPr>
      <w:r>
        <w:rPr>
          <w:rFonts w:eastAsia="Calibri" w:cs="Segoe UI"/>
          <w:szCs w:val="20"/>
        </w:rPr>
        <w:t>V</w:t>
      </w:r>
      <w:r w:rsidRPr="00EA0990">
        <w:rPr>
          <w:rFonts w:eastAsia="Calibri" w:cs="Segoe UI"/>
          <w:szCs w:val="20"/>
        </w:rPr>
        <w:t xml:space="preserve"> roku 2022 </w:t>
      </w:r>
      <w:r>
        <w:rPr>
          <w:rFonts w:eastAsia="Calibri" w:cs="Segoe UI"/>
          <w:szCs w:val="20"/>
        </w:rPr>
        <w:t xml:space="preserve">bolo </w:t>
      </w:r>
      <w:r w:rsidRPr="00EA0990">
        <w:rPr>
          <w:rFonts w:eastAsia="Calibri" w:cs="Segoe UI"/>
          <w:szCs w:val="20"/>
        </w:rPr>
        <w:t>na zdravotníctvo vynaložených z verejných zdrojov 7,1 mld. eur</w:t>
      </w:r>
      <w:r w:rsidR="00F00B0B">
        <w:rPr>
          <w:rFonts w:eastAsia="Calibri" w:cs="Segoe UI"/>
          <w:szCs w:val="20"/>
        </w:rPr>
        <w:t>, z</w:t>
      </w:r>
      <w:r w:rsidR="006613CC">
        <w:rPr>
          <w:rFonts w:eastAsia="Calibri" w:cs="Segoe UI"/>
          <w:szCs w:val="20"/>
        </w:rPr>
        <w:t xml:space="preserve"> </w:t>
      </w:r>
      <w:r>
        <w:rPr>
          <w:rFonts w:eastAsia="Calibri" w:cs="Segoe UI"/>
          <w:szCs w:val="20"/>
        </w:rPr>
        <w:t>t</w:t>
      </w:r>
      <w:r w:rsidR="006613CC">
        <w:rPr>
          <w:rFonts w:eastAsia="Calibri" w:cs="Segoe UI"/>
          <w:szCs w:val="20"/>
        </w:rPr>
        <w:t xml:space="preserve">oho 2,2 mld. eur </w:t>
      </w:r>
      <w:r w:rsidR="00775113">
        <w:rPr>
          <w:rFonts w:eastAsia="Calibri" w:cs="Segoe UI"/>
          <w:szCs w:val="20"/>
        </w:rPr>
        <w:t>z</w:t>
      </w:r>
      <w:r w:rsidR="00436F9A" w:rsidRPr="00436F9A">
        <w:rPr>
          <w:rFonts w:eastAsia="Calibri" w:cs="Segoe UI"/>
          <w:szCs w:val="20"/>
        </w:rPr>
        <w:t xml:space="preserve"> MZ SR, vrátane 1,3 mld. eur ako poistné za poistencov štátu. </w:t>
      </w:r>
      <w:r w:rsidRPr="00EA0990">
        <w:rPr>
          <w:rFonts w:eastAsia="Calibri" w:cs="Segoe UI"/>
          <w:szCs w:val="20"/>
        </w:rPr>
        <w:t>Táto suma bola v priebehu roka oproti rozpočtu navýšená o 186 mil. eur, no a</w:t>
      </w:r>
      <w:r w:rsidR="00F00B0B">
        <w:rPr>
          <w:rFonts w:eastAsia="Calibri" w:cs="Segoe UI"/>
          <w:szCs w:val="20"/>
        </w:rPr>
        <w:t>ni</w:t>
      </w:r>
      <w:r w:rsidRPr="00EA0990">
        <w:rPr>
          <w:rFonts w:eastAsia="Calibri" w:cs="Segoe UI"/>
          <w:szCs w:val="20"/>
        </w:rPr>
        <w:t xml:space="preserve"> potom nedosiahla výšku z roku 2021, čo v kontexte vysokej inflácie znamenalo </w:t>
      </w:r>
      <w:r>
        <w:rPr>
          <w:rFonts w:eastAsia="Calibri" w:cs="Segoe UI"/>
          <w:szCs w:val="20"/>
        </w:rPr>
        <w:t>jej reálne zníženie</w:t>
      </w:r>
      <w:r w:rsidRPr="00EA0990">
        <w:rPr>
          <w:rFonts w:eastAsia="Calibri" w:cs="Segoe UI"/>
          <w:szCs w:val="20"/>
        </w:rPr>
        <w:t>.</w:t>
      </w:r>
      <w:r>
        <w:rPr>
          <w:rFonts w:eastAsia="Calibri" w:cs="Segoe UI"/>
          <w:szCs w:val="20"/>
        </w:rPr>
        <w:t xml:space="preserve"> </w:t>
      </w:r>
      <w:r w:rsidR="00436F9A" w:rsidRPr="00775113">
        <w:rPr>
          <w:rFonts w:eastAsia="Calibri" w:cs="Segoe UI"/>
          <w:b/>
          <w:szCs w:val="20"/>
        </w:rPr>
        <w:t xml:space="preserve">Počas roka 2022 bolo v rámci rozpočtu </w:t>
      </w:r>
      <w:r w:rsidR="00775113">
        <w:rPr>
          <w:rFonts w:eastAsia="Calibri" w:cs="Segoe UI"/>
          <w:b/>
          <w:szCs w:val="20"/>
        </w:rPr>
        <w:t>MZ SR</w:t>
      </w:r>
      <w:r w:rsidR="00436F9A" w:rsidRPr="00775113">
        <w:rPr>
          <w:rFonts w:eastAsia="Calibri" w:cs="Segoe UI"/>
          <w:b/>
          <w:szCs w:val="20"/>
        </w:rPr>
        <w:t xml:space="preserve"> vynaložených 418,1 mil. eur v s</w:t>
      </w:r>
      <w:r w:rsidR="00C4202A" w:rsidRPr="00775113">
        <w:rPr>
          <w:rFonts w:eastAsia="Calibri" w:cs="Segoe UI"/>
          <w:b/>
          <w:szCs w:val="20"/>
        </w:rPr>
        <w:t>úvislosti</w:t>
      </w:r>
      <w:r w:rsidR="00436F9A" w:rsidRPr="00775113">
        <w:rPr>
          <w:rFonts w:eastAsia="Calibri" w:cs="Segoe UI"/>
          <w:b/>
          <w:szCs w:val="20"/>
        </w:rPr>
        <w:t xml:space="preserve"> s C</w:t>
      </w:r>
      <w:r w:rsidR="00C4202A" w:rsidRPr="00775113">
        <w:rPr>
          <w:rFonts w:eastAsia="Calibri" w:cs="Segoe UI"/>
          <w:b/>
          <w:szCs w:val="20"/>
        </w:rPr>
        <w:t>OVID</w:t>
      </w:r>
      <w:r w:rsidR="00436F9A" w:rsidRPr="00775113">
        <w:rPr>
          <w:rFonts w:eastAsia="Calibri" w:cs="Segoe UI"/>
          <w:b/>
          <w:szCs w:val="20"/>
        </w:rPr>
        <w:t>-19, a to najmä na vakcíny, ktorých bolo ku koncu roka 2022 na sklade vyše 6,1 mil. dávok.</w:t>
      </w:r>
      <w:r w:rsidR="00436F9A" w:rsidRPr="00436F9A">
        <w:rPr>
          <w:rFonts w:eastAsia="Calibri" w:cs="Segoe UI"/>
          <w:szCs w:val="20"/>
        </w:rPr>
        <w:t xml:space="preserve"> </w:t>
      </w:r>
      <w:r w:rsidR="00FF6A3F" w:rsidRPr="00FF6A3F">
        <w:rPr>
          <w:rFonts w:eastAsia="Calibri" w:cs="Segoe UI"/>
          <w:szCs w:val="20"/>
        </w:rPr>
        <w:t xml:space="preserve">Nutnosť odoberania vakcín súvisí so zmluvnými podmienkami, ktoré s </w:t>
      </w:r>
      <w:r w:rsidR="00FF6A3F" w:rsidRPr="00FF6A3F">
        <w:rPr>
          <w:rFonts w:eastAsia="Calibri" w:cs="Segoe UI"/>
          <w:szCs w:val="20"/>
        </w:rPr>
        <w:lastRenderedPageBreak/>
        <w:t xml:space="preserve">výrobcami vakcín </w:t>
      </w:r>
      <w:proofErr w:type="spellStart"/>
      <w:r w:rsidR="00FF6A3F" w:rsidRPr="00FF6A3F">
        <w:rPr>
          <w:rFonts w:eastAsia="Calibri" w:cs="Segoe UI"/>
          <w:szCs w:val="20"/>
        </w:rPr>
        <w:t>vyrokovala</w:t>
      </w:r>
      <w:proofErr w:type="spellEnd"/>
      <w:r w:rsidR="00FF6A3F" w:rsidRPr="00FF6A3F">
        <w:rPr>
          <w:rFonts w:eastAsia="Calibri" w:cs="Segoe UI"/>
          <w:szCs w:val="20"/>
        </w:rPr>
        <w:t xml:space="preserve"> za členské štáty EK. Keďže ide o európsky problém, </w:t>
      </w:r>
      <w:r w:rsidR="00FF6A3F" w:rsidRPr="00AF0DDD">
        <w:rPr>
          <w:rFonts w:eastAsia="Calibri" w:cs="Segoe UI"/>
          <w:b/>
          <w:szCs w:val="20"/>
        </w:rPr>
        <w:t xml:space="preserve">NKÚ SR sa obráti na EDA s podnetom na audit </w:t>
      </w:r>
      <w:r w:rsidR="00DE1EDE">
        <w:rPr>
          <w:rFonts w:eastAsia="Calibri" w:cs="Segoe UI"/>
          <w:b/>
          <w:szCs w:val="20"/>
        </w:rPr>
        <w:t xml:space="preserve">zmlúv </w:t>
      </w:r>
      <w:r w:rsidR="00AF0DDD" w:rsidRPr="00AF0DDD">
        <w:rPr>
          <w:rFonts w:eastAsia="Calibri" w:cs="Segoe UI"/>
          <w:b/>
          <w:szCs w:val="20"/>
        </w:rPr>
        <w:t xml:space="preserve">uzatvorených </w:t>
      </w:r>
      <w:r w:rsidR="00DE1EDE">
        <w:rPr>
          <w:rFonts w:eastAsia="Calibri" w:cs="Segoe UI"/>
          <w:b/>
          <w:szCs w:val="20"/>
        </w:rPr>
        <w:t>na úrovni EÚ</w:t>
      </w:r>
      <w:r w:rsidR="00AF0DDD" w:rsidRPr="00AF0DDD">
        <w:rPr>
          <w:rFonts w:eastAsia="Calibri" w:cs="Segoe UI"/>
          <w:b/>
          <w:szCs w:val="20"/>
        </w:rPr>
        <w:t xml:space="preserve"> </w:t>
      </w:r>
      <w:r w:rsidR="00DE1EDE">
        <w:rPr>
          <w:rFonts w:eastAsia="Calibri" w:cs="Segoe UI"/>
          <w:b/>
          <w:szCs w:val="20"/>
        </w:rPr>
        <w:t>z</w:t>
      </w:r>
      <w:r w:rsidR="00AF0DDD" w:rsidRPr="00AF0DDD">
        <w:rPr>
          <w:rFonts w:eastAsia="Calibri" w:cs="Segoe UI"/>
          <w:b/>
          <w:szCs w:val="20"/>
        </w:rPr>
        <w:t xml:space="preserve">a </w:t>
      </w:r>
      <w:r w:rsidR="00DE1EDE">
        <w:rPr>
          <w:rFonts w:eastAsia="Calibri" w:cs="Segoe UI"/>
          <w:b/>
          <w:szCs w:val="20"/>
        </w:rPr>
        <w:t xml:space="preserve">účelom </w:t>
      </w:r>
      <w:r w:rsidR="00AF0DDD" w:rsidRPr="00AF0DDD">
        <w:rPr>
          <w:rFonts w:eastAsia="Calibri" w:cs="Segoe UI"/>
          <w:b/>
          <w:szCs w:val="20"/>
        </w:rPr>
        <w:t>nákup</w:t>
      </w:r>
      <w:r w:rsidR="00DE1EDE">
        <w:rPr>
          <w:rFonts w:eastAsia="Calibri" w:cs="Segoe UI"/>
          <w:b/>
          <w:szCs w:val="20"/>
        </w:rPr>
        <w:t>u</w:t>
      </w:r>
      <w:r w:rsidR="00AF0DDD" w:rsidRPr="00AF0DDD">
        <w:rPr>
          <w:rFonts w:eastAsia="Calibri" w:cs="Segoe UI"/>
          <w:b/>
          <w:szCs w:val="20"/>
        </w:rPr>
        <w:t xml:space="preserve"> vakcín</w:t>
      </w:r>
      <w:r w:rsidR="00FF6A3F" w:rsidRPr="00AF0DDD">
        <w:rPr>
          <w:rFonts w:eastAsia="Calibri" w:cs="Segoe UI"/>
          <w:b/>
          <w:szCs w:val="20"/>
        </w:rPr>
        <w:t>.</w:t>
      </w:r>
      <w:r w:rsidR="00FF6A3F">
        <w:rPr>
          <w:rFonts w:eastAsia="Calibri" w:cs="Segoe UI"/>
          <w:szCs w:val="20"/>
        </w:rPr>
        <w:t xml:space="preserve"> Aj v roku 2022</w:t>
      </w:r>
      <w:r w:rsidR="00436F9A" w:rsidRPr="00436F9A">
        <w:rPr>
          <w:rFonts w:eastAsia="Calibri" w:cs="Segoe UI"/>
          <w:szCs w:val="20"/>
        </w:rPr>
        <w:t xml:space="preserve"> pokračoval</w:t>
      </w:r>
      <w:r w:rsidR="00FF6A3F">
        <w:rPr>
          <w:rFonts w:eastAsia="Calibri" w:cs="Segoe UI"/>
          <w:szCs w:val="20"/>
        </w:rPr>
        <w:t>o</w:t>
      </w:r>
      <w:r w:rsidR="00436F9A" w:rsidRPr="00436F9A">
        <w:rPr>
          <w:rFonts w:eastAsia="Calibri" w:cs="Segoe UI"/>
          <w:szCs w:val="20"/>
        </w:rPr>
        <w:t xml:space="preserve"> zadlžovan</w:t>
      </w:r>
      <w:r w:rsidR="00FF6A3F">
        <w:rPr>
          <w:rFonts w:eastAsia="Calibri" w:cs="Segoe UI"/>
          <w:szCs w:val="20"/>
        </w:rPr>
        <w:t>ie</w:t>
      </w:r>
      <w:r w:rsidR="00436F9A" w:rsidRPr="00436F9A">
        <w:rPr>
          <w:rFonts w:eastAsia="Calibri" w:cs="Segoe UI"/>
          <w:szCs w:val="20"/>
        </w:rPr>
        <w:t xml:space="preserve"> zdravotníckych zariadení a neplaten</w:t>
      </w:r>
      <w:r w:rsidR="00FF6A3F">
        <w:rPr>
          <w:rFonts w:eastAsia="Calibri" w:cs="Segoe UI"/>
          <w:szCs w:val="20"/>
        </w:rPr>
        <w:t>ie</w:t>
      </w:r>
      <w:r w:rsidR="00436F9A" w:rsidRPr="00436F9A">
        <w:rPr>
          <w:rFonts w:eastAsia="Calibri" w:cs="Segoe UI"/>
          <w:szCs w:val="20"/>
        </w:rPr>
        <w:t xml:space="preserve"> odvodov do S</w:t>
      </w:r>
      <w:r w:rsidR="006613CC">
        <w:rPr>
          <w:rFonts w:eastAsia="Calibri" w:cs="Segoe UI"/>
          <w:szCs w:val="20"/>
        </w:rPr>
        <w:t>ociálnej poisťovne</w:t>
      </w:r>
      <w:r w:rsidR="00436F9A" w:rsidRPr="00436F9A">
        <w:rPr>
          <w:rFonts w:eastAsia="Calibri" w:cs="Segoe UI"/>
          <w:szCs w:val="20"/>
        </w:rPr>
        <w:t>.</w:t>
      </w:r>
      <w:r w:rsidR="00CE2E45">
        <w:rPr>
          <w:rFonts w:eastAsia="Calibri" w:cs="Segoe UI"/>
          <w:szCs w:val="20"/>
        </w:rPr>
        <w:t xml:space="preserve"> Zadlžovanie podporovalo aj neplnenie úsporných opatrení v liekovej politike.</w:t>
      </w:r>
      <w:r w:rsidR="00436F9A" w:rsidRPr="00436F9A">
        <w:rPr>
          <w:rFonts w:eastAsia="Calibri" w:cs="Segoe UI"/>
          <w:szCs w:val="20"/>
        </w:rPr>
        <w:t xml:space="preserve"> Aj napriek oddlženiu v roku 2022 v celkovej sume 317 mil. eur, záväzky stále vznikajú, len voči S</w:t>
      </w:r>
      <w:r w:rsidR="00FF6A3F">
        <w:rPr>
          <w:rFonts w:eastAsia="Calibri" w:cs="Segoe UI"/>
          <w:szCs w:val="20"/>
        </w:rPr>
        <w:t>ociálnej poisťovni</w:t>
      </w:r>
      <w:r w:rsidR="00436F9A" w:rsidRPr="00436F9A">
        <w:rPr>
          <w:rFonts w:eastAsia="Calibri" w:cs="Segoe UI"/>
          <w:szCs w:val="20"/>
        </w:rPr>
        <w:t xml:space="preserve"> o 12,6 mil. eur mesačne. </w:t>
      </w:r>
      <w:r w:rsidR="00436F9A" w:rsidRPr="00AF0DDD">
        <w:rPr>
          <w:rFonts w:eastAsia="Calibri" w:cs="Segoe UI"/>
          <w:b/>
          <w:szCs w:val="20"/>
        </w:rPr>
        <w:t xml:space="preserve">Úhrady záväzkov </w:t>
      </w:r>
      <w:r w:rsidR="00FF6A3F" w:rsidRPr="00AF0DDD">
        <w:rPr>
          <w:rFonts w:eastAsia="Calibri" w:cs="Segoe UI"/>
          <w:b/>
          <w:szCs w:val="20"/>
        </w:rPr>
        <w:t>zdravotníckych zariadení</w:t>
      </w:r>
      <w:r w:rsidR="00436F9A" w:rsidRPr="00AF0DDD">
        <w:rPr>
          <w:rFonts w:eastAsia="Calibri" w:cs="Segoe UI"/>
          <w:b/>
          <w:szCs w:val="20"/>
        </w:rPr>
        <w:t xml:space="preserve"> po lehote splatnosti kvalifikuje EK ako nesprávne uplatňovanie smernice o oneskorených platbách, pričom v apríli 2023 bol prípad posunutý Súdnemu dvoru EÚ.</w:t>
      </w:r>
      <w:r w:rsidR="00436F9A" w:rsidRPr="00436F9A">
        <w:rPr>
          <w:rFonts w:eastAsia="Calibri" w:cs="Segoe UI"/>
          <w:szCs w:val="20"/>
        </w:rPr>
        <w:t xml:space="preserve"> </w:t>
      </w:r>
    </w:p>
    <w:p w14:paraId="69A48B2B" w14:textId="4301F7CA" w:rsidR="00436F9A" w:rsidRDefault="00436F9A" w:rsidP="00436F9A">
      <w:pPr>
        <w:rPr>
          <w:rFonts w:eastAsia="Calibri" w:cs="Segoe UI"/>
          <w:szCs w:val="20"/>
        </w:rPr>
      </w:pPr>
      <w:r w:rsidRPr="00775113">
        <w:rPr>
          <w:rFonts w:eastAsia="Calibri" w:cs="Segoe UI"/>
          <w:b/>
          <w:szCs w:val="20"/>
        </w:rPr>
        <w:t>Rozpočet M</w:t>
      </w:r>
      <w:r w:rsidR="00B0039F" w:rsidRPr="00775113">
        <w:rPr>
          <w:rFonts w:eastAsia="Calibri" w:cs="Segoe UI"/>
          <w:b/>
          <w:szCs w:val="20"/>
        </w:rPr>
        <w:t>O</w:t>
      </w:r>
      <w:r w:rsidRPr="00775113">
        <w:rPr>
          <w:rFonts w:eastAsia="Calibri" w:cs="Segoe UI"/>
          <w:b/>
          <w:szCs w:val="20"/>
        </w:rPr>
        <w:t xml:space="preserve"> SR mal výrazne vyššie čerpanie </w:t>
      </w:r>
      <w:r w:rsidRPr="00E82B21">
        <w:rPr>
          <w:rFonts w:eastAsia="Calibri" w:cs="Segoe UI"/>
          <w:szCs w:val="20"/>
        </w:rPr>
        <w:t>(1,96 mld. eur)</w:t>
      </w:r>
      <w:r w:rsidRPr="00775113">
        <w:rPr>
          <w:rFonts w:eastAsia="Calibri" w:cs="Segoe UI"/>
          <w:b/>
          <w:szCs w:val="20"/>
        </w:rPr>
        <w:t xml:space="preserve"> než bol schválený rozpočet </w:t>
      </w:r>
      <w:r w:rsidR="00C4202A" w:rsidRPr="00E82B21">
        <w:rPr>
          <w:rFonts w:eastAsia="Calibri" w:cs="Segoe UI"/>
          <w:szCs w:val="20"/>
        </w:rPr>
        <w:t>(</w:t>
      </w:r>
      <w:r w:rsidRPr="00E82B21">
        <w:rPr>
          <w:rFonts w:eastAsia="Calibri" w:cs="Segoe UI"/>
          <w:szCs w:val="20"/>
        </w:rPr>
        <w:t>1,3 mld. eur</w:t>
      </w:r>
      <w:r w:rsidR="00C4202A" w:rsidRPr="00E82B21">
        <w:rPr>
          <w:rFonts w:eastAsia="Calibri" w:cs="Segoe UI"/>
          <w:szCs w:val="20"/>
        </w:rPr>
        <w:t>)</w:t>
      </w:r>
      <w:r w:rsidRPr="00E82B21">
        <w:rPr>
          <w:rFonts w:eastAsia="Calibri" w:cs="Segoe UI"/>
          <w:szCs w:val="20"/>
        </w:rPr>
        <w:t xml:space="preserve">. </w:t>
      </w:r>
      <w:r w:rsidRPr="00436F9A">
        <w:rPr>
          <w:rFonts w:eastAsia="Calibri" w:cs="Segoe UI"/>
          <w:szCs w:val="20"/>
        </w:rPr>
        <w:t>Navýšenie však nebolo pre mimoriadne okolnosti</w:t>
      </w:r>
      <w:r w:rsidR="00B0039F">
        <w:rPr>
          <w:rFonts w:eastAsia="Calibri" w:cs="Segoe UI"/>
          <w:szCs w:val="20"/>
        </w:rPr>
        <w:t>,</w:t>
      </w:r>
      <w:r w:rsidRPr="00436F9A">
        <w:rPr>
          <w:rFonts w:eastAsia="Calibri" w:cs="Segoe UI"/>
          <w:szCs w:val="20"/>
        </w:rPr>
        <w:t xml:space="preserve"> ale pre presun prostriedkov, ktoré boli alokované vo VPS na nákup špeciálnych automobilov. Celkové prostriedky ŠR týkajúce sa dopadov konfliktu na Ukrajine boli čerpané vo výške 194,5 mil. eur </w:t>
      </w:r>
      <w:r w:rsidR="0044420C">
        <w:rPr>
          <w:rFonts w:eastAsia="Calibri" w:cs="Segoe UI"/>
          <w:szCs w:val="20"/>
        </w:rPr>
        <w:t>(</w:t>
      </w:r>
      <w:r w:rsidRPr="00436F9A">
        <w:rPr>
          <w:rFonts w:eastAsia="Calibri" w:cs="Segoe UI"/>
          <w:szCs w:val="20"/>
        </w:rPr>
        <w:t xml:space="preserve">101,5 mil. eur </w:t>
      </w:r>
      <w:r w:rsidR="00775113">
        <w:rPr>
          <w:rFonts w:eastAsia="Calibri" w:cs="Segoe UI"/>
          <w:szCs w:val="20"/>
        </w:rPr>
        <w:t>z</w:t>
      </w:r>
      <w:r w:rsidRPr="00436F9A">
        <w:rPr>
          <w:rFonts w:eastAsia="Calibri" w:cs="Segoe UI"/>
          <w:szCs w:val="20"/>
        </w:rPr>
        <w:t xml:space="preserve"> MV SR, 20,7 mil. eur </w:t>
      </w:r>
      <w:r w:rsidR="00775113">
        <w:rPr>
          <w:rFonts w:eastAsia="Calibri" w:cs="Segoe UI"/>
          <w:szCs w:val="20"/>
        </w:rPr>
        <w:t>z</w:t>
      </w:r>
      <w:r w:rsidRPr="00436F9A">
        <w:rPr>
          <w:rFonts w:eastAsia="Calibri" w:cs="Segoe UI"/>
          <w:szCs w:val="20"/>
        </w:rPr>
        <w:t xml:space="preserve"> MO SR a </w:t>
      </w:r>
      <w:r w:rsidR="00496F9A">
        <w:rPr>
          <w:rFonts w:eastAsia="Calibri" w:cs="Segoe UI"/>
          <w:szCs w:val="20"/>
        </w:rPr>
        <w:t>14</w:t>
      </w:r>
      <w:r w:rsidRPr="00436F9A">
        <w:rPr>
          <w:rFonts w:eastAsia="Calibri" w:cs="Segoe UI"/>
          <w:szCs w:val="20"/>
        </w:rPr>
        <w:t xml:space="preserve"> mil. eur </w:t>
      </w:r>
      <w:r w:rsidR="00775113">
        <w:rPr>
          <w:rFonts w:eastAsia="Calibri" w:cs="Segoe UI"/>
          <w:szCs w:val="20"/>
        </w:rPr>
        <w:t>z</w:t>
      </w:r>
      <w:r w:rsidRPr="00436F9A">
        <w:rPr>
          <w:rFonts w:eastAsia="Calibri" w:cs="Segoe UI"/>
          <w:szCs w:val="20"/>
        </w:rPr>
        <w:t xml:space="preserve"> MPSVR SR</w:t>
      </w:r>
      <w:r w:rsidR="0044420C">
        <w:rPr>
          <w:rFonts w:eastAsia="Calibri" w:cs="Segoe UI"/>
          <w:szCs w:val="20"/>
        </w:rPr>
        <w:t>)</w:t>
      </w:r>
      <w:r w:rsidRPr="00436F9A">
        <w:rPr>
          <w:rFonts w:eastAsia="Calibri" w:cs="Segoe UI"/>
          <w:szCs w:val="20"/>
        </w:rPr>
        <w:t xml:space="preserve">. </w:t>
      </w:r>
      <w:r w:rsidR="00DD5D9D">
        <w:rPr>
          <w:rFonts w:eastAsia="Calibri" w:cs="Segoe UI"/>
          <w:szCs w:val="20"/>
        </w:rPr>
        <w:t>Na</w:t>
      </w:r>
      <w:r w:rsidRPr="00436F9A">
        <w:rPr>
          <w:rFonts w:eastAsia="Calibri" w:cs="Segoe UI"/>
          <w:szCs w:val="20"/>
        </w:rPr>
        <w:t xml:space="preserve"> darovan</w:t>
      </w:r>
      <w:r w:rsidR="00DD5D9D">
        <w:rPr>
          <w:rFonts w:eastAsia="Calibri" w:cs="Segoe UI"/>
          <w:szCs w:val="20"/>
        </w:rPr>
        <w:t>ie</w:t>
      </w:r>
      <w:r w:rsidRPr="00436F9A">
        <w:rPr>
          <w:rFonts w:eastAsia="Calibri" w:cs="Segoe UI"/>
          <w:szCs w:val="20"/>
        </w:rPr>
        <w:t xml:space="preserve"> </w:t>
      </w:r>
      <w:r w:rsidR="00C4202A">
        <w:rPr>
          <w:rFonts w:eastAsia="Calibri" w:cs="Segoe UI"/>
          <w:szCs w:val="20"/>
        </w:rPr>
        <w:t xml:space="preserve">vojenského materiálu </w:t>
      </w:r>
      <w:r w:rsidR="00DD5D9D">
        <w:rPr>
          <w:rFonts w:eastAsia="Calibri" w:cs="Segoe UI"/>
          <w:szCs w:val="20"/>
        </w:rPr>
        <w:t>išlo najviac prostriedkov</w:t>
      </w:r>
      <w:r w:rsidR="00A21EA8">
        <w:rPr>
          <w:rFonts w:eastAsia="Calibri" w:cs="Segoe UI"/>
          <w:szCs w:val="20"/>
        </w:rPr>
        <w:t>,</w:t>
      </w:r>
      <w:r w:rsidR="00DD5D9D">
        <w:rPr>
          <w:rFonts w:eastAsia="Calibri" w:cs="Segoe UI"/>
          <w:szCs w:val="20"/>
        </w:rPr>
        <w:t xml:space="preserve"> </w:t>
      </w:r>
      <w:r w:rsidR="00A21EA8" w:rsidRPr="00436F9A">
        <w:rPr>
          <w:rFonts w:eastAsia="Calibri" w:cs="Segoe UI"/>
          <w:szCs w:val="20"/>
        </w:rPr>
        <w:t>podľa celkových kvantifikovateľných výdavko</w:t>
      </w:r>
      <w:r w:rsidR="00A21EA8">
        <w:rPr>
          <w:rFonts w:eastAsia="Calibri" w:cs="Segoe UI"/>
          <w:szCs w:val="20"/>
        </w:rPr>
        <w:t xml:space="preserve">v v zmysle uznesení vlády SR, </w:t>
      </w:r>
      <w:r w:rsidR="00DD5D9D">
        <w:rPr>
          <w:rFonts w:eastAsia="Calibri" w:cs="Segoe UI"/>
          <w:szCs w:val="20"/>
        </w:rPr>
        <w:t>z MO SR, a to</w:t>
      </w:r>
      <w:r w:rsidR="00A21EA8">
        <w:rPr>
          <w:rFonts w:eastAsia="Calibri" w:cs="Segoe UI"/>
          <w:szCs w:val="20"/>
        </w:rPr>
        <w:t xml:space="preserve"> 118,2 mil. eur.</w:t>
      </w:r>
    </w:p>
    <w:p w14:paraId="28D19F47" w14:textId="7FFFCDCC" w:rsidR="00A43EC9" w:rsidRPr="00263BBB" w:rsidRDefault="00A43EC9" w:rsidP="00D721D8">
      <w:pPr>
        <w:rPr>
          <w:rFonts w:eastAsia="Calibri" w:cs="Segoe UI"/>
          <w:b/>
          <w:szCs w:val="20"/>
        </w:rPr>
      </w:pPr>
      <w:r>
        <w:rPr>
          <w:rFonts w:eastAsia="Calibri" w:cs="Segoe UI"/>
          <w:szCs w:val="20"/>
        </w:rPr>
        <w:t xml:space="preserve">Okrem kapitálových výdavkov v rezorte obrany sa v roku 2022 investovalo najviac v rezorte dopravy (855,7 mil. eur). </w:t>
      </w:r>
      <w:r w:rsidRPr="00A43EC9">
        <w:rPr>
          <w:rFonts w:eastAsia="Calibri" w:cs="Segoe UI"/>
          <w:b/>
          <w:szCs w:val="20"/>
        </w:rPr>
        <w:t xml:space="preserve">Rozpočet kapitálových výdavkov vybraných kapitol ŠR bol pôvodne schválený vo výške 2,7 mld. eur, </w:t>
      </w:r>
      <w:r w:rsidR="00263BBB">
        <w:rPr>
          <w:rFonts w:eastAsia="Calibri" w:cs="Segoe UI"/>
          <w:b/>
          <w:szCs w:val="20"/>
        </w:rPr>
        <w:t>z</w:t>
      </w:r>
      <w:r w:rsidRPr="00A43EC9">
        <w:rPr>
          <w:rFonts w:eastAsia="Calibri" w:cs="Segoe UI"/>
          <w:b/>
          <w:szCs w:val="20"/>
        </w:rPr>
        <w:t xml:space="preserve"> </w:t>
      </w:r>
      <w:r w:rsidR="00263BBB">
        <w:rPr>
          <w:rFonts w:eastAsia="Calibri" w:cs="Segoe UI"/>
          <w:b/>
          <w:szCs w:val="20"/>
        </w:rPr>
        <w:t>č</w:t>
      </w:r>
      <w:r w:rsidRPr="00A43EC9">
        <w:rPr>
          <w:rFonts w:eastAsia="Calibri" w:cs="Segoe UI"/>
          <w:b/>
          <w:szCs w:val="20"/>
        </w:rPr>
        <w:t>oho sa reálne alokovalo 1,6 mld. eur.</w:t>
      </w:r>
      <w:r>
        <w:rPr>
          <w:rFonts w:eastAsia="Calibri" w:cs="Segoe UI"/>
          <w:b/>
          <w:szCs w:val="20"/>
        </w:rPr>
        <w:t xml:space="preserve"> </w:t>
      </w:r>
      <w:r w:rsidR="00263BBB" w:rsidRPr="00263BBB">
        <w:rPr>
          <w:rFonts w:eastAsia="Calibri" w:cs="Segoe UI"/>
          <w:szCs w:val="20"/>
        </w:rPr>
        <w:t xml:space="preserve">Rozpočtové opatrenia v priebehu roka sa netýkali len kapitálových výdavkov, ale </w:t>
      </w:r>
      <w:r w:rsidR="00263BBB">
        <w:rPr>
          <w:rFonts w:eastAsia="Calibri" w:cs="Segoe UI"/>
          <w:szCs w:val="20"/>
        </w:rPr>
        <w:t>napríklad aj kompenzácií z dôvodu zvýšených cien energií</w:t>
      </w:r>
      <w:r w:rsidR="00E82B21">
        <w:rPr>
          <w:rFonts w:eastAsia="Calibri" w:cs="Segoe UI"/>
          <w:szCs w:val="20"/>
        </w:rPr>
        <w:t xml:space="preserve"> (980 mil. eur)</w:t>
      </w:r>
      <w:r w:rsidR="00263BBB">
        <w:rPr>
          <w:rFonts w:eastAsia="Calibri" w:cs="Segoe UI"/>
          <w:szCs w:val="20"/>
        </w:rPr>
        <w:t xml:space="preserve">. </w:t>
      </w:r>
      <w:r w:rsidR="00263BBB" w:rsidRPr="00263BBB">
        <w:rPr>
          <w:rFonts w:eastAsia="Calibri" w:cs="Segoe UI"/>
          <w:b/>
          <w:szCs w:val="20"/>
        </w:rPr>
        <w:t>NKÚ SR upozorňuje, že počet rozpočtových opatrení sa naďalej zvyšuje a výrazne ovplyvňujú schválený rozpočet.</w:t>
      </w:r>
    </w:p>
    <w:p w14:paraId="7D1EA1B3" w14:textId="618DB6A0" w:rsidR="00D721D8" w:rsidRPr="00436F9A" w:rsidRDefault="00D721D8" w:rsidP="00D721D8">
      <w:pPr>
        <w:rPr>
          <w:rFonts w:eastAsia="Calibri" w:cs="Segoe UI"/>
          <w:szCs w:val="20"/>
        </w:rPr>
      </w:pPr>
      <w:r w:rsidRPr="00E53F4E">
        <w:rPr>
          <w:rFonts w:eastAsia="Calibri" w:cs="Segoe UI"/>
          <w:b/>
          <w:szCs w:val="20"/>
        </w:rPr>
        <w:t xml:space="preserve">NKÚ SR </w:t>
      </w:r>
      <w:r w:rsidR="00A21EA8" w:rsidRPr="00E53F4E">
        <w:rPr>
          <w:rFonts w:eastAsia="Calibri" w:cs="Segoe UI"/>
          <w:b/>
          <w:szCs w:val="20"/>
        </w:rPr>
        <w:t>poukázal</w:t>
      </w:r>
      <w:r w:rsidRPr="00E53F4E">
        <w:rPr>
          <w:rFonts w:eastAsia="Calibri" w:cs="Segoe UI"/>
          <w:b/>
          <w:szCs w:val="20"/>
        </w:rPr>
        <w:t xml:space="preserve"> už v stanovisku k návrhu ŠR na rok 2022 na nedostatočné fungovanie programového rozpočtovania</w:t>
      </w:r>
      <w:r w:rsidR="00AF0DDD" w:rsidRPr="00E53F4E">
        <w:rPr>
          <w:rFonts w:eastAsia="Calibri" w:cs="Segoe UI"/>
          <w:b/>
          <w:szCs w:val="20"/>
        </w:rPr>
        <w:t xml:space="preserve">, čo sa potvrdilo aj pri </w:t>
      </w:r>
      <w:r w:rsidRPr="00E53F4E">
        <w:rPr>
          <w:rFonts w:eastAsia="Calibri" w:cs="Segoe UI"/>
          <w:b/>
          <w:szCs w:val="20"/>
        </w:rPr>
        <w:t>hodnotení dosahovania cieľov</w:t>
      </w:r>
      <w:r w:rsidR="00AF0DDD" w:rsidRPr="00E53F4E">
        <w:rPr>
          <w:rFonts w:eastAsia="Calibri" w:cs="Segoe UI"/>
          <w:b/>
          <w:szCs w:val="20"/>
        </w:rPr>
        <w:t>, kde</w:t>
      </w:r>
      <w:r w:rsidRPr="00E53F4E">
        <w:rPr>
          <w:rFonts w:eastAsia="Calibri" w:cs="Segoe UI"/>
          <w:b/>
          <w:szCs w:val="20"/>
        </w:rPr>
        <w:t xml:space="preserve"> NKÚ SR konštatuje, že stále chýba jasné určenie zodpovednosti za komplexné hodnotenie dosahovania cieľov stanovených v rozpočte.</w:t>
      </w:r>
      <w:r w:rsidRPr="00436F9A">
        <w:rPr>
          <w:rFonts w:eastAsia="Calibri" w:cs="Segoe UI"/>
          <w:szCs w:val="20"/>
        </w:rPr>
        <w:t xml:space="preserve"> Toto hodnotenie nenájdeme ani v predloženom návrhu ŠZÚ za rok 2022. </w:t>
      </w:r>
      <w:r w:rsidRPr="00AF0DDD">
        <w:rPr>
          <w:rFonts w:eastAsia="Calibri" w:cs="Segoe UI"/>
          <w:b/>
          <w:szCs w:val="20"/>
        </w:rPr>
        <w:t xml:space="preserve">Z návrhu ŠZÚ nie je možné v mnohých prípadoch vyhodnotiť, aká bola efektívnosť, účinnosť </w:t>
      </w:r>
      <w:r w:rsidR="00496F9A">
        <w:rPr>
          <w:rFonts w:eastAsia="Calibri" w:cs="Segoe UI"/>
          <w:b/>
          <w:szCs w:val="20"/>
        </w:rPr>
        <w:t xml:space="preserve">a hospodárnosť </w:t>
      </w:r>
      <w:r w:rsidRPr="00AF0DDD">
        <w:rPr>
          <w:rFonts w:eastAsia="Calibri" w:cs="Segoe UI"/>
          <w:b/>
          <w:szCs w:val="20"/>
        </w:rPr>
        <w:t xml:space="preserve">vynaložených finančných prostriedkov na jednotlivé významné programy. </w:t>
      </w:r>
    </w:p>
    <w:p w14:paraId="687BD40C" w14:textId="32D47E25" w:rsidR="00436F9A" w:rsidRPr="00436F9A" w:rsidRDefault="00D721D8" w:rsidP="00436F9A">
      <w:pPr>
        <w:rPr>
          <w:rFonts w:eastAsia="Calibri" w:cs="Segoe UI"/>
          <w:szCs w:val="20"/>
        </w:rPr>
      </w:pPr>
      <w:r w:rsidRPr="00E53F4E">
        <w:rPr>
          <w:rFonts w:eastAsia="Calibri" w:cs="Segoe UI"/>
          <w:b/>
          <w:szCs w:val="20"/>
        </w:rPr>
        <w:t>V</w:t>
      </w:r>
      <w:r w:rsidR="00B36D5E" w:rsidRPr="00E53F4E">
        <w:rPr>
          <w:rFonts w:eastAsia="Calibri" w:cs="Segoe UI"/>
          <w:b/>
          <w:szCs w:val="20"/>
        </w:rPr>
        <w:t xml:space="preserve"> stanovisku k návrhu ŠR upozornil NKÚ SR </w:t>
      </w:r>
      <w:r w:rsidRPr="00E53F4E">
        <w:rPr>
          <w:rFonts w:eastAsia="Calibri" w:cs="Segoe UI"/>
          <w:b/>
          <w:szCs w:val="20"/>
        </w:rPr>
        <w:t xml:space="preserve">aj </w:t>
      </w:r>
      <w:r w:rsidR="00B36D5E" w:rsidRPr="00E53F4E">
        <w:rPr>
          <w:rFonts w:eastAsia="Calibri" w:cs="Segoe UI"/>
          <w:b/>
          <w:szCs w:val="20"/>
        </w:rPr>
        <w:t>na riziko nedočerpania prostriedkov fondov EÚ z PO 2014 – 2020.</w:t>
      </w:r>
      <w:r w:rsidR="00B36D5E">
        <w:rPr>
          <w:rFonts w:eastAsia="Calibri" w:cs="Segoe UI"/>
          <w:szCs w:val="20"/>
        </w:rPr>
        <w:t xml:space="preserve"> </w:t>
      </w:r>
      <w:r w:rsidR="00C4202A" w:rsidRPr="00AF0DDD">
        <w:rPr>
          <w:rFonts w:eastAsia="Calibri" w:cs="Segoe UI"/>
          <w:b/>
          <w:szCs w:val="20"/>
        </w:rPr>
        <w:t xml:space="preserve">V roku 2022 sa nezopakovalo vysoké dočerpávanie fondov EÚ z minulého </w:t>
      </w:r>
      <w:r w:rsidR="00B36D5E" w:rsidRPr="00AF0DDD">
        <w:rPr>
          <w:rFonts w:eastAsia="Calibri" w:cs="Segoe UI"/>
          <w:b/>
          <w:szCs w:val="20"/>
        </w:rPr>
        <w:t>PO</w:t>
      </w:r>
      <w:r w:rsidR="00C4202A" w:rsidRPr="00AF0DDD">
        <w:rPr>
          <w:rFonts w:eastAsia="Calibri" w:cs="Segoe UI"/>
          <w:b/>
          <w:szCs w:val="20"/>
        </w:rPr>
        <w:t xml:space="preserve">, keď bolo ku koncu roka vyčerpaných </w:t>
      </w:r>
      <w:r w:rsidR="00B36D5E" w:rsidRPr="00AF0DDD">
        <w:rPr>
          <w:rFonts w:eastAsia="Calibri" w:cs="Segoe UI"/>
          <w:b/>
          <w:szCs w:val="20"/>
        </w:rPr>
        <w:t xml:space="preserve">len </w:t>
      </w:r>
      <w:r w:rsidR="00C4202A" w:rsidRPr="00AF0DDD">
        <w:rPr>
          <w:rFonts w:eastAsia="Calibri" w:cs="Segoe UI"/>
          <w:b/>
          <w:szCs w:val="20"/>
        </w:rPr>
        <w:t>64,8 % z celkovej alokácie.</w:t>
      </w:r>
      <w:r w:rsidR="00C4202A" w:rsidRPr="00436F9A">
        <w:rPr>
          <w:rFonts w:eastAsia="Calibri" w:cs="Segoe UI"/>
          <w:szCs w:val="20"/>
        </w:rPr>
        <w:t xml:space="preserve"> </w:t>
      </w:r>
      <w:r w:rsidR="00436F9A" w:rsidRPr="00436F9A">
        <w:rPr>
          <w:rFonts w:eastAsia="Calibri" w:cs="Segoe UI"/>
          <w:szCs w:val="20"/>
        </w:rPr>
        <w:t xml:space="preserve">Nezrovnalosti stúpli na 391 mil. eur a </w:t>
      </w:r>
      <w:proofErr w:type="spellStart"/>
      <w:r w:rsidR="00436F9A" w:rsidRPr="00436F9A">
        <w:rPr>
          <w:rFonts w:eastAsia="Calibri" w:cs="Segoe UI"/>
          <w:szCs w:val="20"/>
        </w:rPr>
        <w:t>dekomitment</w:t>
      </w:r>
      <w:proofErr w:type="spellEnd"/>
      <w:r w:rsidR="00436F9A" w:rsidRPr="00436F9A">
        <w:rPr>
          <w:rFonts w:eastAsia="Calibri" w:cs="Segoe UI"/>
          <w:szCs w:val="20"/>
        </w:rPr>
        <w:t xml:space="preserve"> na 1,65 mil. eur pri problematickom OP Rybné hospodárstvo. Skutočné čerpanie </w:t>
      </w:r>
      <w:r w:rsidR="00AF0DDD">
        <w:rPr>
          <w:rFonts w:eastAsia="Calibri" w:cs="Segoe UI"/>
          <w:szCs w:val="20"/>
        </w:rPr>
        <w:t>z</w:t>
      </w:r>
      <w:r w:rsidR="00436F9A" w:rsidRPr="00436F9A">
        <w:rPr>
          <w:rFonts w:eastAsia="Calibri" w:cs="Segoe UI"/>
          <w:szCs w:val="20"/>
        </w:rPr>
        <w:t xml:space="preserve"> aktuáln</w:t>
      </w:r>
      <w:r w:rsidR="00AF0DDD">
        <w:rPr>
          <w:rFonts w:eastAsia="Calibri" w:cs="Segoe UI"/>
          <w:szCs w:val="20"/>
        </w:rPr>
        <w:t>eho</w:t>
      </w:r>
      <w:r w:rsidR="00436F9A" w:rsidRPr="00436F9A">
        <w:rPr>
          <w:rFonts w:eastAsia="Calibri" w:cs="Segoe UI"/>
          <w:szCs w:val="20"/>
        </w:rPr>
        <w:t xml:space="preserve"> </w:t>
      </w:r>
      <w:r w:rsidR="00B0039F">
        <w:rPr>
          <w:rFonts w:eastAsia="Calibri" w:cs="Segoe UI"/>
          <w:szCs w:val="20"/>
        </w:rPr>
        <w:t>PO</w:t>
      </w:r>
      <w:r w:rsidR="00436F9A" w:rsidRPr="00436F9A">
        <w:rPr>
          <w:rFonts w:eastAsia="Calibri" w:cs="Segoe UI"/>
          <w:szCs w:val="20"/>
        </w:rPr>
        <w:t xml:space="preserve"> 2021</w:t>
      </w:r>
      <w:r w:rsidR="0044420C">
        <w:rPr>
          <w:rFonts w:eastAsia="Calibri" w:cs="Segoe UI"/>
          <w:szCs w:val="20"/>
        </w:rPr>
        <w:t xml:space="preserve"> – </w:t>
      </w:r>
      <w:r w:rsidR="00436F9A" w:rsidRPr="00436F9A">
        <w:rPr>
          <w:rFonts w:eastAsia="Calibri" w:cs="Segoe UI"/>
          <w:szCs w:val="20"/>
        </w:rPr>
        <w:t>2027 bolo nulové. Výdavky z</w:t>
      </w:r>
      <w:r w:rsidR="00AF0DDD">
        <w:rPr>
          <w:rFonts w:eastAsia="Calibri" w:cs="Segoe UI"/>
          <w:szCs w:val="20"/>
        </w:rPr>
        <w:t> </w:t>
      </w:r>
      <w:r w:rsidR="00DE1EDE">
        <w:rPr>
          <w:rFonts w:eastAsia="Calibri" w:cs="Segoe UI"/>
          <w:szCs w:val="20"/>
        </w:rPr>
        <w:t xml:space="preserve">POO </w:t>
      </w:r>
      <w:r w:rsidR="00436F9A" w:rsidRPr="00436F9A">
        <w:rPr>
          <w:rFonts w:eastAsia="Calibri" w:cs="Segoe UI"/>
          <w:szCs w:val="20"/>
        </w:rPr>
        <w:t xml:space="preserve">sa rozpočtujú v čase vyhlasovania, preto môžu pôsobiť nadhodnotene a čerpanie nedostatočne. </w:t>
      </w:r>
      <w:r w:rsidR="0044420C">
        <w:rPr>
          <w:rFonts w:eastAsia="Calibri" w:cs="Segoe UI"/>
          <w:szCs w:val="20"/>
        </w:rPr>
        <w:t>Z </w:t>
      </w:r>
      <w:r w:rsidR="00DE1EDE">
        <w:rPr>
          <w:rFonts w:eastAsia="Calibri" w:cs="Segoe UI"/>
          <w:szCs w:val="20"/>
        </w:rPr>
        <w:t>POO</w:t>
      </w:r>
      <w:r w:rsidR="0044420C">
        <w:rPr>
          <w:rFonts w:eastAsia="Calibri" w:cs="Segoe UI"/>
          <w:szCs w:val="20"/>
        </w:rPr>
        <w:t xml:space="preserve"> obnovy </w:t>
      </w:r>
      <w:r w:rsidR="00436F9A" w:rsidRPr="00436F9A">
        <w:rPr>
          <w:rFonts w:eastAsia="Calibri" w:cs="Segoe UI"/>
          <w:szCs w:val="20"/>
        </w:rPr>
        <w:t>bolo čerpaných 49 mil. eur (3,76 % rozpočt</w:t>
      </w:r>
      <w:r w:rsidR="0044420C">
        <w:rPr>
          <w:rFonts w:eastAsia="Calibri" w:cs="Segoe UI"/>
          <w:szCs w:val="20"/>
        </w:rPr>
        <w:t>u</w:t>
      </w:r>
      <w:r w:rsidR="00436F9A" w:rsidRPr="00436F9A">
        <w:rPr>
          <w:rFonts w:eastAsia="Calibri" w:cs="Segoe UI"/>
          <w:szCs w:val="20"/>
        </w:rPr>
        <w:t>), z čoho boli kapitálové výdavky 2,3 mil. eur, zvyšok boli bežné</w:t>
      </w:r>
      <w:r w:rsidR="00B0039F">
        <w:rPr>
          <w:rFonts w:eastAsia="Calibri" w:cs="Segoe UI"/>
          <w:szCs w:val="20"/>
        </w:rPr>
        <w:t xml:space="preserve"> výdavky</w:t>
      </w:r>
      <w:r w:rsidR="00FC01BD">
        <w:rPr>
          <w:rFonts w:eastAsia="Calibri" w:cs="Segoe UI"/>
          <w:szCs w:val="20"/>
        </w:rPr>
        <w:t>.</w:t>
      </w:r>
      <w:r w:rsidR="00436F9A" w:rsidRPr="00436F9A">
        <w:rPr>
          <w:rFonts w:eastAsia="Calibri" w:cs="Segoe UI"/>
          <w:szCs w:val="20"/>
        </w:rPr>
        <w:t xml:space="preserve"> </w:t>
      </w:r>
      <w:r w:rsidR="00E82B21" w:rsidRPr="00E82B21">
        <w:rPr>
          <w:rFonts w:eastAsia="Calibri" w:cs="Segoe UI"/>
          <w:b/>
          <w:szCs w:val="20"/>
        </w:rPr>
        <w:t>N</w:t>
      </w:r>
      <w:r w:rsidR="00436F9A" w:rsidRPr="00E82B21">
        <w:rPr>
          <w:rFonts w:eastAsia="Calibri" w:cs="Segoe UI"/>
          <w:b/>
          <w:szCs w:val="20"/>
        </w:rPr>
        <w:t>a odmeny zamestnancov išlo 920 tis. eur opr</w:t>
      </w:r>
      <w:r w:rsidR="00B0039F" w:rsidRPr="00E82B21">
        <w:rPr>
          <w:rFonts w:eastAsia="Calibri" w:cs="Segoe UI"/>
          <w:b/>
          <w:szCs w:val="20"/>
        </w:rPr>
        <w:t>oti rozpočtovaným 175 tis. eur.</w:t>
      </w:r>
      <w:r w:rsidR="0044420C" w:rsidRPr="0044420C">
        <w:t xml:space="preserve"> </w:t>
      </w:r>
      <w:r w:rsidR="0044420C" w:rsidRPr="0044420C">
        <w:rPr>
          <w:rFonts w:eastAsia="Calibri" w:cs="Segoe UI"/>
          <w:szCs w:val="20"/>
        </w:rPr>
        <w:t>Školstvo je jednou z troch oblastí, do ktorých mal smerovať najväčší objem prostriedkov</w:t>
      </w:r>
      <w:r w:rsidR="0044420C">
        <w:rPr>
          <w:rFonts w:eastAsia="Calibri" w:cs="Segoe UI"/>
          <w:szCs w:val="20"/>
        </w:rPr>
        <w:t>.</w:t>
      </w:r>
      <w:r w:rsidR="0044420C" w:rsidRPr="0044420C">
        <w:rPr>
          <w:rFonts w:eastAsia="Calibri" w:cs="Segoe UI"/>
          <w:szCs w:val="20"/>
        </w:rPr>
        <w:t xml:space="preserve"> </w:t>
      </w:r>
      <w:r w:rsidR="0044420C" w:rsidRPr="0044420C">
        <w:rPr>
          <w:rFonts w:eastAsia="Calibri" w:cs="Segoe UI"/>
          <w:b/>
          <w:szCs w:val="20"/>
        </w:rPr>
        <w:t>Na dobudovanie kapacít materských škôl malo ísť 71,9 mil. eur, ale k 31. 12. 2022 bolo na tento účel vyčerpaných</w:t>
      </w:r>
      <w:r w:rsidR="0044420C">
        <w:rPr>
          <w:rFonts w:eastAsia="Calibri" w:cs="Segoe UI"/>
          <w:b/>
          <w:szCs w:val="20"/>
        </w:rPr>
        <w:t xml:space="preserve"> len </w:t>
      </w:r>
      <w:r w:rsidR="0044420C" w:rsidRPr="0044420C">
        <w:rPr>
          <w:rFonts w:eastAsia="Calibri" w:cs="Segoe UI"/>
          <w:b/>
          <w:szCs w:val="20"/>
        </w:rPr>
        <w:t>1,3 %.</w:t>
      </w:r>
      <w:r w:rsidR="0044420C" w:rsidRPr="0044420C">
        <w:rPr>
          <w:rFonts w:eastAsia="Calibri" w:cs="Segoe UI"/>
          <w:szCs w:val="20"/>
        </w:rPr>
        <w:t xml:space="preserve"> Vo vysokom školstve malo 30,7 mil. eur slúžiť na kapitálové investície, ale </w:t>
      </w:r>
      <w:r w:rsidR="00E82B21">
        <w:rPr>
          <w:rFonts w:eastAsia="Calibri" w:cs="Segoe UI"/>
          <w:szCs w:val="20"/>
        </w:rPr>
        <w:t>tieto prostriedky sa vôbec nečerpali.</w:t>
      </w:r>
    </w:p>
    <w:p w14:paraId="7C0BCA13" w14:textId="268874B8" w:rsidR="00B0039F" w:rsidRDefault="00436F9A" w:rsidP="00436F9A">
      <w:pPr>
        <w:rPr>
          <w:rFonts w:eastAsia="Calibri" w:cs="Segoe UI"/>
          <w:szCs w:val="20"/>
        </w:rPr>
      </w:pPr>
      <w:r w:rsidRPr="00436F9A">
        <w:rPr>
          <w:rFonts w:eastAsia="Calibri" w:cs="Segoe UI"/>
          <w:szCs w:val="20"/>
        </w:rPr>
        <w:t xml:space="preserve">Mimoriadne udalosti zastihli aj samosprávu, </w:t>
      </w:r>
      <w:r w:rsidR="00E82B21">
        <w:rPr>
          <w:rFonts w:eastAsia="Calibri" w:cs="Segoe UI"/>
          <w:szCs w:val="20"/>
        </w:rPr>
        <w:t>vrátane</w:t>
      </w:r>
      <w:r w:rsidRPr="00436F9A">
        <w:rPr>
          <w:rFonts w:eastAsia="Calibri" w:cs="Segoe UI"/>
          <w:szCs w:val="20"/>
        </w:rPr>
        <w:t xml:space="preserve"> množstv</w:t>
      </w:r>
      <w:r w:rsidR="00E82B21">
        <w:rPr>
          <w:rFonts w:eastAsia="Calibri" w:cs="Segoe UI"/>
          <w:szCs w:val="20"/>
        </w:rPr>
        <w:t>a</w:t>
      </w:r>
      <w:r w:rsidRPr="00436F9A">
        <w:rPr>
          <w:rFonts w:eastAsia="Calibri" w:cs="Segoe UI"/>
          <w:szCs w:val="20"/>
        </w:rPr>
        <w:t xml:space="preserve"> legislatívnych zmien </w:t>
      </w:r>
      <w:r w:rsidR="00E82B21">
        <w:rPr>
          <w:rFonts w:eastAsia="Calibri" w:cs="Segoe UI"/>
          <w:szCs w:val="20"/>
        </w:rPr>
        <w:t>(napríklad</w:t>
      </w:r>
      <w:r w:rsidRPr="00436F9A">
        <w:rPr>
          <w:rFonts w:eastAsia="Calibri" w:cs="Segoe UI"/>
          <w:szCs w:val="20"/>
        </w:rPr>
        <w:t xml:space="preserve"> dopadu na rozpočet z nárokov na finančné prostriedky v rámci preneseného výkonu</w:t>
      </w:r>
      <w:r w:rsidR="00B0039F">
        <w:rPr>
          <w:rFonts w:eastAsia="Calibri" w:cs="Segoe UI"/>
          <w:szCs w:val="20"/>
        </w:rPr>
        <w:t xml:space="preserve"> štátnej správy</w:t>
      </w:r>
      <w:r w:rsidR="00E82B21">
        <w:rPr>
          <w:rFonts w:eastAsia="Calibri" w:cs="Segoe UI"/>
          <w:szCs w:val="20"/>
        </w:rPr>
        <w:t>)</w:t>
      </w:r>
      <w:r w:rsidRPr="00436F9A">
        <w:rPr>
          <w:rFonts w:eastAsia="Calibri" w:cs="Segoe UI"/>
          <w:szCs w:val="20"/>
        </w:rPr>
        <w:t>. Napriek povinnosti mať vyrovnané hospodárenie</w:t>
      </w:r>
      <w:r w:rsidR="00B0039F">
        <w:rPr>
          <w:rFonts w:eastAsia="Calibri" w:cs="Segoe UI"/>
          <w:szCs w:val="20"/>
        </w:rPr>
        <w:t>,</w:t>
      </w:r>
      <w:r w:rsidRPr="00436F9A">
        <w:rPr>
          <w:rFonts w:eastAsia="Calibri" w:cs="Segoe UI"/>
          <w:szCs w:val="20"/>
        </w:rPr>
        <w:t xml:space="preserve"> rástli výdavky samosprávy rýchlejšie ako príjmy aj v roku 2022. Celkový schodok územnej samosprávy (obce </w:t>
      </w:r>
      <w:r w:rsidR="00D377E9">
        <w:rPr>
          <w:rFonts w:eastAsia="Calibri" w:cs="Segoe UI"/>
          <w:szCs w:val="20"/>
        </w:rPr>
        <w:t>a</w:t>
      </w:r>
      <w:r w:rsidRPr="00436F9A">
        <w:rPr>
          <w:rFonts w:eastAsia="Calibri" w:cs="Segoe UI"/>
          <w:szCs w:val="20"/>
        </w:rPr>
        <w:t xml:space="preserve"> VÚC) bol 42</w:t>
      </w:r>
      <w:bookmarkStart w:id="2" w:name="_GoBack"/>
      <w:bookmarkEnd w:id="2"/>
      <w:r w:rsidRPr="00436F9A">
        <w:rPr>
          <w:rFonts w:eastAsia="Calibri" w:cs="Segoe UI"/>
          <w:szCs w:val="20"/>
        </w:rPr>
        <w:t xml:space="preserve">0 mil. eur, čo bolo o 238,5 mil. eur viac oproti rozpočtu. </w:t>
      </w:r>
      <w:r w:rsidR="00D721D8" w:rsidRPr="00AF0DDD">
        <w:rPr>
          <w:rFonts w:eastAsia="Calibri" w:cs="Segoe UI"/>
          <w:b/>
          <w:szCs w:val="20"/>
        </w:rPr>
        <w:t xml:space="preserve">Aj napriek </w:t>
      </w:r>
      <w:r w:rsidR="00AF0DDD" w:rsidRPr="00AF0DDD">
        <w:rPr>
          <w:rFonts w:eastAsia="Calibri" w:cs="Segoe UI"/>
          <w:b/>
          <w:szCs w:val="20"/>
        </w:rPr>
        <w:t>vyšším výdavkom</w:t>
      </w:r>
      <w:r w:rsidR="00D721D8" w:rsidRPr="00AF0DDD">
        <w:rPr>
          <w:rFonts w:eastAsia="Calibri" w:cs="Segoe UI"/>
          <w:b/>
          <w:szCs w:val="20"/>
        </w:rPr>
        <w:t xml:space="preserve"> sa územná samospráva podieľa</w:t>
      </w:r>
      <w:r w:rsidR="00AF0DDD" w:rsidRPr="00AF0DDD">
        <w:rPr>
          <w:rFonts w:eastAsia="Calibri" w:cs="Segoe UI"/>
          <w:b/>
          <w:szCs w:val="20"/>
        </w:rPr>
        <w:t>la</w:t>
      </w:r>
      <w:r w:rsidR="00D721D8" w:rsidRPr="00AF0DDD">
        <w:rPr>
          <w:rFonts w:eastAsia="Calibri" w:cs="Segoe UI"/>
          <w:b/>
          <w:szCs w:val="20"/>
        </w:rPr>
        <w:t xml:space="preserve"> na celkovom dlhu VS len 3,8 %.</w:t>
      </w:r>
      <w:r w:rsidR="00D721D8">
        <w:rPr>
          <w:rFonts w:eastAsia="Calibri" w:cs="Segoe UI"/>
          <w:szCs w:val="20"/>
        </w:rPr>
        <w:t xml:space="preserve"> </w:t>
      </w:r>
      <w:r w:rsidRPr="00436F9A">
        <w:rPr>
          <w:rFonts w:eastAsia="Calibri" w:cs="Segoe UI"/>
          <w:szCs w:val="20"/>
        </w:rPr>
        <w:t xml:space="preserve">Rok 2022 bol pre samosprávy volebným a aj tentokrát sa potvrdilo, že to znamená vyššie kapitálové výdavky oproti </w:t>
      </w:r>
      <w:r w:rsidR="00B0039F">
        <w:rPr>
          <w:rFonts w:eastAsia="Calibri" w:cs="Segoe UI"/>
          <w:szCs w:val="20"/>
        </w:rPr>
        <w:t>iným</w:t>
      </w:r>
      <w:r w:rsidRPr="00436F9A">
        <w:rPr>
          <w:rFonts w:eastAsia="Calibri" w:cs="Segoe UI"/>
          <w:szCs w:val="20"/>
        </w:rPr>
        <w:t xml:space="preserve"> rok</w:t>
      </w:r>
      <w:r w:rsidR="00B0039F">
        <w:rPr>
          <w:rFonts w:eastAsia="Calibri" w:cs="Segoe UI"/>
          <w:szCs w:val="20"/>
        </w:rPr>
        <w:t>om.</w:t>
      </w:r>
    </w:p>
    <w:p w14:paraId="1E4DEB4E" w14:textId="236A4C09" w:rsidR="00980D1C" w:rsidRDefault="00FC34FC">
      <w:pPr>
        <w:spacing w:after="160" w:line="259" w:lineRule="auto"/>
        <w:jc w:val="left"/>
        <w:rPr>
          <w:rFonts w:eastAsiaTheme="majorEastAsia" w:cstheme="majorBidi"/>
          <w:b/>
          <w:color w:val="314364"/>
          <w:position w:val="10"/>
          <w:sz w:val="32"/>
          <w:szCs w:val="32"/>
        </w:rPr>
      </w:pPr>
      <w:bookmarkStart w:id="3" w:name="_Toc136418384"/>
      <w:bookmarkStart w:id="4" w:name="_Toc53475707"/>
      <w:bookmarkEnd w:id="0"/>
      <w:r>
        <w:rPr>
          <w:noProof/>
          <w:lang w:eastAsia="sk-SK"/>
        </w:rPr>
        <w:lastRenderedPageBreak/>
        <w:drawing>
          <wp:anchor distT="0" distB="0" distL="114300" distR="114300" simplePos="0" relativeHeight="251658240" behindDoc="0" locked="0" layoutInCell="1" allowOverlap="1" wp14:anchorId="387F44F9" wp14:editId="26CE9018">
            <wp:simplePos x="0" y="0"/>
            <wp:positionH relativeFrom="margin">
              <wp:posOffset>-344805</wp:posOffset>
            </wp:positionH>
            <wp:positionV relativeFrom="margin">
              <wp:posOffset>-128270</wp:posOffset>
            </wp:positionV>
            <wp:extent cx="6477000" cy="9161145"/>
            <wp:effectExtent l="0" t="0" r="0" b="1905"/>
            <wp:wrapSquare wrapText="bothSides"/>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fografika SZU 20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0" cy="9161145"/>
                    </a:xfrm>
                    <a:prstGeom prst="rect">
                      <a:avLst/>
                    </a:prstGeom>
                  </pic:spPr>
                </pic:pic>
              </a:graphicData>
            </a:graphic>
            <wp14:sizeRelH relativeFrom="margin">
              <wp14:pctWidth>0</wp14:pctWidth>
            </wp14:sizeRelH>
            <wp14:sizeRelV relativeFrom="margin">
              <wp14:pctHeight>0</wp14:pctHeight>
            </wp14:sizeRelV>
          </wp:anchor>
        </w:drawing>
      </w:r>
      <w:r w:rsidR="00980D1C">
        <w:br w:type="page"/>
      </w:r>
    </w:p>
    <w:p w14:paraId="769E41A6" w14:textId="78C0FA44" w:rsidR="00B10EC5" w:rsidRPr="00611F98" w:rsidRDefault="0042475D" w:rsidP="00611F98">
      <w:pPr>
        <w:pStyle w:val="Nadpis1"/>
      </w:pPr>
      <w:r w:rsidRPr="00611F98">
        <w:lastRenderedPageBreak/>
        <w:t>Ekonomický rámec rozpočtového hospodárenia</w:t>
      </w:r>
      <w:r w:rsidR="00382271" w:rsidRPr="00611F98">
        <w:t xml:space="preserve"> SR</w:t>
      </w:r>
      <w:bookmarkEnd w:id="3"/>
    </w:p>
    <w:p w14:paraId="11D75EC5" w14:textId="4042B162" w:rsidR="00F02D7E" w:rsidRDefault="009D2F88" w:rsidP="00F02D7E">
      <w:r w:rsidRPr="003B1938">
        <w:rPr>
          <w:b/>
        </w:rPr>
        <w:t xml:space="preserve">Slovenská ekonomika vzrástla </w:t>
      </w:r>
      <w:r w:rsidR="00D9325B">
        <w:rPr>
          <w:b/>
        </w:rPr>
        <w:t xml:space="preserve">v minulom roku o 1,7 %, čo bolo menej ako očakával pôvodný rozpočet </w:t>
      </w:r>
      <w:r w:rsidR="00D9325B" w:rsidRPr="00D9325B">
        <w:t xml:space="preserve">(reálny HDP </w:t>
      </w:r>
      <w:r w:rsidR="00EA0990">
        <w:t>d</w:t>
      </w:r>
      <w:r w:rsidR="00D9325B" w:rsidRPr="00D9325B">
        <w:t>osiahol 92,4 mld. eur).</w:t>
      </w:r>
      <w:r w:rsidRPr="003B1938">
        <w:rPr>
          <w:b/>
        </w:rPr>
        <w:t xml:space="preserve"> </w:t>
      </w:r>
      <w:r w:rsidR="00D9325B">
        <w:t>Pôvodne schválený rozpočet na rok 2022 počítal s</w:t>
      </w:r>
      <w:r w:rsidR="00EA0990">
        <w:t xml:space="preserve"> rastom </w:t>
      </w:r>
      <w:r w:rsidR="00D9325B">
        <w:t xml:space="preserve">HDP o 4,2 % (graf 1). </w:t>
      </w:r>
      <w:r w:rsidR="00EA0990">
        <w:t>Dosiahnutý r</w:t>
      </w:r>
      <w:r w:rsidR="00D9325B" w:rsidRPr="00D9325B">
        <w:t xml:space="preserve">ast podporila </w:t>
      </w:r>
      <w:r w:rsidRPr="00D9325B">
        <w:t xml:space="preserve">najmä </w:t>
      </w:r>
      <w:r w:rsidR="001F5220" w:rsidRPr="00D9325B">
        <w:t xml:space="preserve">spotreba </w:t>
      </w:r>
      <w:r w:rsidRPr="00D9325B">
        <w:t>domácnost</w:t>
      </w:r>
      <w:r w:rsidR="000A07DB" w:rsidRPr="00D9325B">
        <w:t>í</w:t>
      </w:r>
      <w:r w:rsidR="00D9325B">
        <w:t>, ktorá rástla v porovnaní s prognózou rýchlejšie</w:t>
      </w:r>
      <w:r w:rsidR="005856ED">
        <w:t xml:space="preserve"> o 2,1 p.</w:t>
      </w:r>
      <w:r w:rsidR="00EA0990">
        <w:t xml:space="preserve"> </w:t>
      </w:r>
      <w:r w:rsidR="005856ED">
        <w:t>b</w:t>
      </w:r>
      <w:r w:rsidRPr="00D9325B">
        <w:t>.</w:t>
      </w:r>
      <w:r>
        <w:t xml:space="preserve"> </w:t>
      </w:r>
      <w:r w:rsidR="005856ED" w:rsidRPr="00C60492">
        <w:t>Na</w:t>
      </w:r>
      <w:r w:rsidR="005856ED">
        <w:t xml:space="preserve"> druhej strane,</w:t>
      </w:r>
      <w:r w:rsidR="005856ED" w:rsidRPr="00C60492">
        <w:t xml:space="preserve"> vládna spotreba a investície</w:t>
      </w:r>
      <w:r w:rsidR="005856ED">
        <w:t xml:space="preserve"> boli oproti pôvodne schválenému rozpočtu výrazne nižšie.</w:t>
      </w:r>
      <w:r w:rsidR="00F02D7E" w:rsidRPr="00F02D7E">
        <w:t xml:space="preserve"> </w:t>
      </w:r>
      <w:r w:rsidR="00F02D7E">
        <w:t>K spomaleniu rastu v roku 2022 oproti prognóze došlo aj v dôsledku viacerých externých šokov, najmä vojny na Ukrajine, energetickej kríze a vysokej inflácii.</w:t>
      </w:r>
    </w:p>
    <w:p w14:paraId="097B7C5E" w14:textId="020D3109" w:rsidR="009D2F88" w:rsidRPr="00BC3CA3" w:rsidRDefault="009D2F88" w:rsidP="009D2F88">
      <w:pPr>
        <w:pStyle w:val="Popis"/>
        <w:keepNext/>
        <w:rPr>
          <w:color w:val="314364"/>
        </w:rPr>
      </w:pPr>
      <w:r w:rsidRPr="00121099">
        <w:rPr>
          <w:color w:val="314364"/>
        </w:rPr>
        <w:t xml:space="preserve">Graf </w:t>
      </w:r>
      <w:r w:rsidRPr="00121099">
        <w:rPr>
          <w:color w:val="314364"/>
        </w:rPr>
        <w:fldChar w:fldCharType="begin"/>
      </w:r>
      <w:r w:rsidRPr="00121099">
        <w:rPr>
          <w:color w:val="314364"/>
        </w:rPr>
        <w:instrText xml:space="preserve"> SEQ Graf \* ARABIC </w:instrText>
      </w:r>
      <w:r w:rsidRPr="00121099">
        <w:rPr>
          <w:color w:val="314364"/>
        </w:rPr>
        <w:fldChar w:fldCharType="separate"/>
      </w:r>
      <w:r w:rsidR="005C3034">
        <w:rPr>
          <w:noProof/>
          <w:color w:val="314364"/>
        </w:rPr>
        <w:t>1</w:t>
      </w:r>
      <w:r w:rsidRPr="00121099">
        <w:rPr>
          <w:color w:val="314364"/>
        </w:rPr>
        <w:fldChar w:fldCharType="end"/>
      </w:r>
      <w:r w:rsidRPr="00121099">
        <w:rPr>
          <w:color w:val="314364"/>
        </w:rPr>
        <w:t>: Porovnanie prog</w:t>
      </w:r>
      <w:r w:rsidRPr="00AF5A13">
        <w:rPr>
          <w:color w:val="314364"/>
        </w:rPr>
        <w:t>nózy VpMP a skutočnosti za rok 20</w:t>
      </w:r>
      <w:r>
        <w:rPr>
          <w:color w:val="314364"/>
        </w:rPr>
        <w:t>22 (medziročná zmena v %)</w:t>
      </w:r>
    </w:p>
    <w:tbl>
      <w:tblPr>
        <w:tblStyle w:val="Mriekatabuky"/>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10"/>
      </w:tblGrid>
      <w:tr w:rsidR="009D2F88" w:rsidRPr="00C75134" w14:paraId="1149C95D" w14:textId="77777777" w:rsidTr="008C765A">
        <w:trPr>
          <w:trHeight w:val="2044"/>
        </w:trPr>
        <w:tc>
          <w:tcPr>
            <w:tcW w:w="9073" w:type="dxa"/>
            <w:tcBorders>
              <w:top w:val="single" w:sz="4" w:space="0" w:color="314364"/>
              <w:bottom w:val="single" w:sz="4" w:space="0" w:color="314364"/>
            </w:tcBorders>
            <w:shd w:val="clear" w:color="auto" w:fill="FFFFFF" w:themeFill="background1"/>
            <w:vAlign w:val="center"/>
          </w:tcPr>
          <w:p w14:paraId="615EEA27" w14:textId="77777777" w:rsidR="009D2F88" w:rsidRPr="00C75134" w:rsidRDefault="009D2F88" w:rsidP="00F0768C">
            <w:pPr>
              <w:spacing w:after="0"/>
              <w:rPr>
                <w:b/>
                <w:color w:val="576431"/>
              </w:rPr>
            </w:pPr>
            <w:r>
              <w:rPr>
                <w:noProof/>
                <w:lang w:eastAsia="sk-SK"/>
              </w:rPr>
              <w:drawing>
                <wp:inline distT="0" distB="0" distL="0" distR="0" wp14:anchorId="5B772CD7" wp14:editId="772EF272">
                  <wp:extent cx="5759450" cy="1857375"/>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56BEBD8A" w14:textId="1E164791" w:rsidR="009D2F88" w:rsidRDefault="009D2F88" w:rsidP="009D2F88">
      <w:pPr>
        <w:pStyle w:val="Zdroj"/>
      </w:pPr>
      <w:r w:rsidRPr="00627D87">
        <w:t xml:space="preserve">Zdroj: </w:t>
      </w:r>
      <w:r w:rsidR="004B20C0">
        <w:t xml:space="preserve">Návrh RVS 2022 – 2024 </w:t>
      </w:r>
      <w:r w:rsidR="00C87105">
        <w:t xml:space="preserve">– prognóza </w:t>
      </w:r>
      <w:r w:rsidR="004B20C0">
        <w:t xml:space="preserve">VpMP </w:t>
      </w:r>
      <w:r w:rsidR="00C87105">
        <w:t xml:space="preserve">zo septembra 2021, </w:t>
      </w:r>
      <w:r>
        <w:t xml:space="preserve">Návrh </w:t>
      </w:r>
      <w:r w:rsidRPr="00AC02EC">
        <w:t>ŠZÚ</w:t>
      </w:r>
      <w:r>
        <w:t xml:space="preserve"> 2022</w:t>
      </w:r>
      <w:r w:rsidRPr="00AC02EC">
        <w:t xml:space="preserve">, </w:t>
      </w:r>
      <w:r>
        <w:t xml:space="preserve">MF SR, </w:t>
      </w:r>
      <w:r w:rsidRPr="00AC02EC">
        <w:t>ŠÚ SR</w:t>
      </w:r>
      <w:r w:rsidR="00C87105">
        <w:t>.</w:t>
      </w:r>
    </w:p>
    <w:p w14:paraId="6E7A3F48" w14:textId="3B9A62E4" w:rsidR="009D2F88" w:rsidRDefault="000A07DB" w:rsidP="009D2F88">
      <w:r w:rsidRPr="003B1938">
        <w:rPr>
          <w:b/>
        </w:rPr>
        <w:t xml:space="preserve">Vysoké ceny energetických a poľnohospodárskych komodít na </w:t>
      </w:r>
      <w:r w:rsidR="00FE50F8" w:rsidRPr="003B1938">
        <w:rPr>
          <w:b/>
        </w:rPr>
        <w:t>svetových</w:t>
      </w:r>
      <w:r w:rsidRPr="003B1938">
        <w:rPr>
          <w:b/>
        </w:rPr>
        <w:t xml:space="preserve"> trhoch boli hlavným faktorom nárastu cenovej hladiny </w:t>
      </w:r>
      <w:r w:rsidR="003B1938" w:rsidRPr="003B1938">
        <w:rPr>
          <w:b/>
        </w:rPr>
        <w:t xml:space="preserve">na </w:t>
      </w:r>
      <w:r w:rsidRPr="003B1938">
        <w:rPr>
          <w:b/>
        </w:rPr>
        <w:t>Slovensku</w:t>
      </w:r>
      <w:r w:rsidR="00604C5F">
        <w:rPr>
          <w:b/>
        </w:rPr>
        <w:t>.</w:t>
      </w:r>
      <w:r>
        <w:t xml:space="preserve"> </w:t>
      </w:r>
      <w:r w:rsidR="00604C5F">
        <w:t>P</w:t>
      </w:r>
      <w:r>
        <w:t xml:space="preserve">remietli sa do rastu cien potravín, regulovaných cien energií ako aj nákladov na bývanie. </w:t>
      </w:r>
      <w:r w:rsidR="009D2F88">
        <w:t xml:space="preserve">Inflácia </w:t>
      </w:r>
      <w:r w:rsidR="00DF2468">
        <w:t xml:space="preserve">na Slovensku </w:t>
      </w:r>
      <w:r w:rsidR="009D2F88">
        <w:t xml:space="preserve">narástla ku koncu roka 2022 až na 15,4 %. </w:t>
      </w:r>
      <w:r w:rsidR="00DF2468">
        <w:t xml:space="preserve"> </w:t>
      </w:r>
      <w:r w:rsidR="008C765A" w:rsidRPr="008C765A">
        <w:t>Priemerná h</w:t>
      </w:r>
      <w:r w:rsidR="00DF2468" w:rsidRPr="008C765A">
        <w:t>armonizovaná miera inflácie</w:t>
      </w:r>
      <w:r w:rsidR="00A83668" w:rsidRPr="008C765A">
        <w:rPr>
          <w:rStyle w:val="Odkaznapoznmkupodiarou"/>
        </w:rPr>
        <w:footnoteReference w:id="1"/>
      </w:r>
      <w:r w:rsidR="00DF2468" w:rsidRPr="008C765A">
        <w:t xml:space="preserve"> predstavovala </w:t>
      </w:r>
      <w:r w:rsidR="008C765A" w:rsidRPr="008C765A">
        <w:t>za rok</w:t>
      </w:r>
      <w:r w:rsidR="00DF2468" w:rsidRPr="008C765A">
        <w:t xml:space="preserve"> 12,1 %, čo bolo nad priemerom EÚ, ktorý sa pohyboval na úrovni 9,2 %.</w:t>
      </w:r>
    </w:p>
    <w:p w14:paraId="62DA996D" w14:textId="77C1C943" w:rsidR="009D2F88" w:rsidRDefault="009D2F88" w:rsidP="009D2F88">
      <w:r w:rsidRPr="003B1938">
        <w:rPr>
          <w:b/>
        </w:rPr>
        <w:t xml:space="preserve">Trh práce bol aj napriek tomu </w:t>
      </w:r>
      <w:r w:rsidR="001F5220" w:rsidRPr="003B1938">
        <w:rPr>
          <w:b/>
        </w:rPr>
        <w:t>stabilný</w:t>
      </w:r>
      <w:r w:rsidRPr="003B1938">
        <w:rPr>
          <w:b/>
        </w:rPr>
        <w:t xml:space="preserve"> a k zvýšeniu zamestnanosti prispeli všetky sektory ekonomiky.</w:t>
      </w:r>
      <w:r>
        <w:t xml:space="preserve"> K tvorbe pracovných miest prispel tretinou historický najvyšší počet pracujúcich cudzincov (88 tisíc) a medziročne sa tento počet navýšil o takmer 20 tisíc. </w:t>
      </w:r>
    </w:p>
    <w:p w14:paraId="773CD691" w14:textId="2BAC618B" w:rsidR="009D2F88" w:rsidRDefault="003B1938" w:rsidP="009D2F88">
      <w:r w:rsidRPr="003B1938">
        <w:rPr>
          <w:b/>
        </w:rPr>
        <w:t xml:space="preserve">Deficit obchodnej bilancie v roku 2022 sa prudko prehĺbil a spadol na úroveň -8,2 % HDP. </w:t>
      </w:r>
      <w:r>
        <w:t xml:space="preserve">Bolo to najmä dôsledkom </w:t>
      </w:r>
      <w:r w:rsidR="009D2F88">
        <w:t>rastu cien dovážaných energetických komodít (najmä ropy a plynu), čo malo za následok p</w:t>
      </w:r>
      <w:r>
        <w:t>revýšenie importu nad exportom.</w:t>
      </w:r>
    </w:p>
    <w:p w14:paraId="7C01F64F" w14:textId="0ED13AF3" w:rsidR="000A07DB" w:rsidRPr="009D2F88" w:rsidRDefault="000A07DB" w:rsidP="000A07DB">
      <w:r w:rsidRPr="003B1938">
        <w:rPr>
          <w:b/>
        </w:rPr>
        <w:t>V rámci medzinárodného porovnania temp rastu reálneho HDP v roku 2022 bola slovenská ekonomika pod priemerom EÚ</w:t>
      </w:r>
      <w:r w:rsidR="003B1938">
        <w:rPr>
          <w:b/>
        </w:rPr>
        <w:t xml:space="preserve"> </w:t>
      </w:r>
      <w:r w:rsidR="003B1938">
        <w:t>(graf 2)</w:t>
      </w:r>
      <w:r>
        <w:t>. Najväčší medziročný pokles rastu HDP zaznamenalo Estónsko.</w:t>
      </w:r>
    </w:p>
    <w:p w14:paraId="74006F0F" w14:textId="2400B8D1" w:rsidR="009D2F88" w:rsidRPr="00BC3CA3" w:rsidRDefault="00373F39" w:rsidP="009D2F88">
      <w:pPr>
        <w:pStyle w:val="Popis"/>
        <w:keepNext/>
        <w:rPr>
          <w:color w:val="314364"/>
        </w:rPr>
      </w:pPr>
      <w:r w:rsidRPr="00BC3CA3">
        <w:rPr>
          <w:color w:val="314364"/>
        </w:rPr>
        <w:t xml:space="preserve">Graf </w:t>
      </w:r>
      <w:r w:rsidR="009D2F88" w:rsidRPr="00BC3CA3">
        <w:rPr>
          <w:color w:val="314364"/>
        </w:rPr>
        <w:fldChar w:fldCharType="begin"/>
      </w:r>
      <w:r w:rsidR="009D2F88" w:rsidRPr="00BC3CA3">
        <w:rPr>
          <w:color w:val="314364"/>
        </w:rPr>
        <w:instrText xml:space="preserve"> SEQ Graf \* ARABIC </w:instrText>
      </w:r>
      <w:r w:rsidR="009D2F88" w:rsidRPr="00BC3CA3">
        <w:rPr>
          <w:color w:val="314364"/>
        </w:rPr>
        <w:fldChar w:fldCharType="separate"/>
      </w:r>
      <w:r w:rsidR="005C3034">
        <w:rPr>
          <w:noProof/>
          <w:color w:val="314364"/>
        </w:rPr>
        <w:t>2</w:t>
      </w:r>
      <w:r w:rsidR="009D2F88" w:rsidRPr="00BC3CA3">
        <w:rPr>
          <w:color w:val="314364"/>
        </w:rPr>
        <w:fldChar w:fldCharType="end"/>
      </w:r>
      <w:r w:rsidR="009D2F88" w:rsidRPr="00BC3CA3">
        <w:rPr>
          <w:color w:val="314364"/>
        </w:rPr>
        <w:t>:</w:t>
      </w:r>
      <w:r w:rsidR="009D2F88">
        <w:rPr>
          <w:color w:val="314364"/>
        </w:rPr>
        <w:t xml:space="preserve"> </w:t>
      </w:r>
      <w:r w:rsidR="009D2F88" w:rsidRPr="00AF5A13">
        <w:rPr>
          <w:color w:val="314364"/>
        </w:rPr>
        <w:t>Medzinárodné porovn</w:t>
      </w:r>
      <w:r w:rsidR="009D2F88">
        <w:rPr>
          <w:color w:val="314364"/>
        </w:rPr>
        <w:t>anie temp rastu reálneho HDP v roku 2022 (medziročná zmena v %)</w:t>
      </w:r>
    </w:p>
    <w:tbl>
      <w:tblPr>
        <w:tblStyle w:val="Mriekatabuky"/>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110"/>
      </w:tblGrid>
      <w:tr w:rsidR="009D2F88" w:rsidRPr="00C75134" w14:paraId="6A4862EE" w14:textId="77777777" w:rsidTr="008C765A">
        <w:trPr>
          <w:trHeight w:val="2340"/>
        </w:trPr>
        <w:tc>
          <w:tcPr>
            <w:tcW w:w="9072" w:type="dxa"/>
            <w:tcBorders>
              <w:top w:val="single" w:sz="4" w:space="0" w:color="314364"/>
              <w:bottom w:val="single" w:sz="4" w:space="0" w:color="314364"/>
            </w:tcBorders>
            <w:vAlign w:val="center"/>
          </w:tcPr>
          <w:p w14:paraId="4FB1925A" w14:textId="77777777" w:rsidR="009D2F88" w:rsidRPr="00C75134" w:rsidRDefault="009D2F88" w:rsidP="00F0768C">
            <w:pPr>
              <w:spacing w:after="0"/>
              <w:rPr>
                <w:b/>
                <w:color w:val="576431"/>
              </w:rPr>
            </w:pPr>
            <w:r>
              <w:rPr>
                <w:noProof/>
                <w:lang w:eastAsia="sk-SK"/>
              </w:rPr>
              <w:drawing>
                <wp:inline distT="0" distB="0" distL="0" distR="0" wp14:anchorId="4A6EB6BC" wp14:editId="7CF922D3">
                  <wp:extent cx="5695950" cy="144780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7608354D" w14:textId="7058CDC4" w:rsidR="009D2F88" w:rsidRDefault="009D2F88" w:rsidP="009D2F88">
      <w:pPr>
        <w:pStyle w:val="Zdroj"/>
      </w:pPr>
      <w:r w:rsidRPr="00627D87">
        <w:t xml:space="preserve">Zdroj: </w:t>
      </w:r>
      <w:r w:rsidRPr="007426EA">
        <w:t>Eurostat</w:t>
      </w:r>
      <w:r w:rsidR="00C87105">
        <w:t>.</w:t>
      </w:r>
    </w:p>
    <w:p w14:paraId="7F2C20E8" w14:textId="3670610D" w:rsidR="00BD3507" w:rsidRDefault="0042475D" w:rsidP="002C027A">
      <w:pPr>
        <w:pStyle w:val="Nadpis1"/>
      </w:pPr>
      <w:bookmarkStart w:id="5" w:name="_Toc136418385"/>
      <w:bookmarkEnd w:id="4"/>
      <w:r>
        <w:lastRenderedPageBreak/>
        <w:t>Hospodárenie verejnej správy v metodike ESA 2010</w:t>
      </w:r>
      <w:bookmarkEnd w:id="5"/>
    </w:p>
    <w:p w14:paraId="2830081B" w14:textId="7B39E2BC" w:rsidR="00CC7863" w:rsidRDefault="00611F98" w:rsidP="00CC7863">
      <w:r>
        <w:t>V</w:t>
      </w:r>
      <w:r w:rsidR="00CC7863">
        <w:t xml:space="preserve"> </w:t>
      </w:r>
      <w:r w:rsidR="00CC7863" w:rsidRPr="00E51868">
        <w:t>stanovisk</w:t>
      </w:r>
      <w:r>
        <w:t>u</w:t>
      </w:r>
      <w:r w:rsidR="00CC7863" w:rsidRPr="00E51868">
        <w:t xml:space="preserve"> </w:t>
      </w:r>
      <w:r>
        <w:t xml:space="preserve">k návrhu ŠZÚ </w:t>
      </w:r>
      <w:r w:rsidR="00CC7863">
        <w:t>hodnotil</w:t>
      </w:r>
      <w:r w:rsidR="00CC7863" w:rsidRPr="00E51868">
        <w:t xml:space="preserve"> </w:t>
      </w:r>
      <w:r>
        <w:t xml:space="preserve">NKÚ SR </w:t>
      </w:r>
      <w:r w:rsidR="00CC7863" w:rsidRPr="00E51868">
        <w:t xml:space="preserve">hospodárenie </w:t>
      </w:r>
      <w:r w:rsidR="00CC7863">
        <w:t>VS</w:t>
      </w:r>
      <w:r w:rsidR="00CC7863" w:rsidRPr="00E51868">
        <w:t xml:space="preserve"> na základe pr</w:t>
      </w:r>
      <w:r w:rsidR="00CC7863">
        <w:t>edbežných výsledkov</w:t>
      </w:r>
      <w:r w:rsidR="00CC7863" w:rsidRPr="00E51868">
        <w:t xml:space="preserve">, ktoré </w:t>
      </w:r>
      <w:r w:rsidR="00CC7863">
        <w:t>v čase tvorby tohto stanoviska boli k dispozícii.</w:t>
      </w:r>
      <w:r w:rsidR="00CC7863">
        <w:rPr>
          <w:rStyle w:val="Odkaznapoznmkupodiarou"/>
        </w:rPr>
        <w:footnoteReference w:id="2"/>
      </w:r>
      <w:r w:rsidR="00CC7863">
        <w:t xml:space="preserve"> </w:t>
      </w:r>
      <w:r w:rsidR="00CC7863" w:rsidRPr="00E51868">
        <w:t>Pre definitívne výsledky hospodárenia</w:t>
      </w:r>
      <w:r w:rsidR="00CC7863">
        <w:t xml:space="preserve"> VS</w:t>
      </w:r>
      <w:r w:rsidR="00CC7863" w:rsidRPr="00E51868">
        <w:t xml:space="preserve"> za predchádzajúci rok bude </w:t>
      </w:r>
      <w:r w:rsidR="000637F1">
        <w:t xml:space="preserve">však </w:t>
      </w:r>
      <w:r w:rsidR="00CC7863" w:rsidRPr="00E51868">
        <w:t>rozhodujúce stanovisko a notifikácia Eurostatu k výsledko</w:t>
      </w:r>
      <w:r w:rsidR="00CC7863">
        <w:t>m predloženým do 1. októbra 2023</w:t>
      </w:r>
      <w:r w:rsidR="00CC7863" w:rsidRPr="00E51868">
        <w:t>.</w:t>
      </w:r>
      <w:r w:rsidR="00CC7863" w:rsidRPr="00B95BD8">
        <w:t xml:space="preserve"> </w:t>
      </w:r>
      <w:r w:rsidR="00CC7863">
        <w:t>Hospodárenie VS bolo ovplyvnené aj novelou</w:t>
      </w:r>
      <w:r w:rsidR="00CC7863" w:rsidRPr="00B95BD8">
        <w:t xml:space="preserve"> zákona o ŠR na rok 2022</w:t>
      </w:r>
      <w:r w:rsidR="00CC7863">
        <w:t>, ktorý</w:t>
      </w:r>
      <w:r w:rsidR="00CC7863" w:rsidRPr="00B95BD8">
        <w:t xml:space="preserve"> schválila NR SR 18. októbra 2022</w:t>
      </w:r>
      <w:r w:rsidR="00A932CE" w:rsidRPr="00A932CE">
        <w:t xml:space="preserve"> a nadobudol účinnosť 4. novembra 2022.</w:t>
      </w:r>
    </w:p>
    <w:p w14:paraId="09942109" w14:textId="5BD60DAC" w:rsidR="001209F4" w:rsidRPr="002C027A" w:rsidRDefault="002C027A" w:rsidP="002C027A">
      <w:pPr>
        <w:pStyle w:val="Nadpis2"/>
      </w:pPr>
      <w:bookmarkStart w:id="6" w:name="_Toc136418386"/>
      <w:r w:rsidRPr="002C027A">
        <w:t>2. 1 Saldo verejnej správy</w:t>
      </w:r>
      <w:bookmarkEnd w:id="6"/>
    </w:p>
    <w:p w14:paraId="0F57F3E3" w14:textId="4F6C6037" w:rsidR="009871BC" w:rsidRDefault="009871BC" w:rsidP="009871BC">
      <w:r w:rsidRPr="009D49DB">
        <w:rPr>
          <w:b/>
        </w:rPr>
        <w:t>Štát v minulom roku hospodáril s nižším deficitom ako sa pôvodne očakávalo, keď schodok verejných financií dosiahol 2,04 % HDP</w:t>
      </w:r>
      <w:r>
        <w:t xml:space="preserve"> (graf </w:t>
      </w:r>
      <w:r w:rsidR="000A07DB">
        <w:t>3</w:t>
      </w:r>
      <w:r>
        <w:t>). Celkový deficit VS v roku 2022 dosiahol 2,23 mld. eur a medziročne sa znížil o viac ako polovicu</w:t>
      </w:r>
      <w:r w:rsidRPr="005856ED">
        <w:t xml:space="preserve">. </w:t>
      </w:r>
      <w:r w:rsidR="0047318A" w:rsidRPr="005856ED">
        <w:t>Prispeli k tomu</w:t>
      </w:r>
      <w:r w:rsidRPr="005856ED">
        <w:t xml:space="preserve"> najmä vyššie daňovo-odvodové príjmy </w:t>
      </w:r>
      <w:r w:rsidR="0047318A" w:rsidRPr="005856ED">
        <w:t>(aj z dôvodu</w:t>
      </w:r>
      <w:r w:rsidRPr="005856ED">
        <w:t xml:space="preserve"> vysok</w:t>
      </w:r>
      <w:r w:rsidR="0047318A" w:rsidRPr="005856ED">
        <w:t>ej</w:t>
      </w:r>
      <w:r w:rsidRPr="005856ED">
        <w:t xml:space="preserve"> infláci</w:t>
      </w:r>
      <w:r w:rsidR="0047318A" w:rsidRPr="005856ED">
        <w:t>e)</w:t>
      </w:r>
      <w:r w:rsidR="008C07ED" w:rsidRPr="005856ED">
        <w:t xml:space="preserve"> </w:t>
      </w:r>
      <w:r w:rsidR="005856ED" w:rsidRPr="005856ED">
        <w:t xml:space="preserve">ako </w:t>
      </w:r>
      <w:r w:rsidR="008C07ED" w:rsidRPr="005856ED">
        <w:t>aj</w:t>
      </w:r>
      <w:r w:rsidRPr="005856ED">
        <w:t xml:space="preserve"> nižšie náklady na proti-pandemické opatrenia, ktoré boli oproti roku 2021 približne tretinové. </w:t>
      </w:r>
      <w:r w:rsidR="0047318A" w:rsidRPr="005856ED">
        <w:t xml:space="preserve">Významne k nižšiemu schodku prispelo aj </w:t>
      </w:r>
      <w:r w:rsidRPr="005856ED">
        <w:t xml:space="preserve">nižšie spolufinancovanie zo ŠR, než sa pri čerpaní </w:t>
      </w:r>
      <w:r w:rsidR="008C07ED" w:rsidRPr="005856ED">
        <w:t>eurofondov očakávalo v rozpočte (viac v kapitole 5).</w:t>
      </w:r>
    </w:p>
    <w:p w14:paraId="3C341738" w14:textId="2A3474C8" w:rsidR="009871BC" w:rsidRDefault="009871BC" w:rsidP="009871BC">
      <w:pPr>
        <w:pStyle w:val="Popis"/>
        <w:keepNext/>
      </w:pPr>
      <w:r>
        <w:t xml:space="preserve">Tabuľka </w:t>
      </w:r>
      <w:fldSimple w:instr=" SEQ Tabuľka \* ARABIC ">
        <w:r w:rsidR="005C3034">
          <w:rPr>
            <w:noProof/>
          </w:rPr>
          <w:t>1</w:t>
        </w:r>
      </w:fldSimple>
      <w:r>
        <w:t xml:space="preserve">: </w:t>
      </w:r>
      <w:r w:rsidRPr="001D2976">
        <w:t>Vývoj schodku VS na akruálnej báze v rokoch 20</w:t>
      </w:r>
      <w:r>
        <w:t>21</w:t>
      </w:r>
      <w:r w:rsidRPr="001D2976">
        <w:t xml:space="preserve"> a</w:t>
      </w:r>
      <w:r>
        <w:t> </w:t>
      </w:r>
      <w:r w:rsidRPr="001D2976">
        <w:t>20</w:t>
      </w:r>
      <w:r>
        <w:t xml:space="preserve">22 </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3440"/>
        <w:gridCol w:w="943"/>
        <w:gridCol w:w="943"/>
        <w:gridCol w:w="1052"/>
        <w:gridCol w:w="943"/>
        <w:gridCol w:w="1749"/>
      </w:tblGrid>
      <w:tr w:rsidR="009871BC" w14:paraId="67375142" w14:textId="77777777" w:rsidTr="00F0768C">
        <w:trPr>
          <w:trHeight w:val="20"/>
        </w:trPr>
        <w:tc>
          <w:tcPr>
            <w:tcW w:w="1896" w:type="pct"/>
            <w:tcBorders>
              <w:bottom w:val="single" w:sz="4" w:space="0" w:color="314364"/>
            </w:tcBorders>
            <w:shd w:val="clear" w:color="auto" w:fill="314364"/>
            <w:vAlign w:val="center"/>
          </w:tcPr>
          <w:p w14:paraId="356B8B52" w14:textId="77777777" w:rsidR="009871BC" w:rsidRPr="00AA159B" w:rsidRDefault="009871BC" w:rsidP="00F0768C">
            <w:pPr>
              <w:spacing w:after="0" w:line="259" w:lineRule="auto"/>
              <w:jc w:val="left"/>
            </w:pPr>
            <w:r>
              <w:rPr>
                <w:b/>
                <w:color w:val="FFFFFF" w:themeColor="background1"/>
                <w:sz w:val="18"/>
              </w:rPr>
              <w:t>Ukazovateľ</w:t>
            </w:r>
          </w:p>
        </w:tc>
        <w:tc>
          <w:tcPr>
            <w:tcW w:w="520" w:type="pct"/>
            <w:tcBorders>
              <w:bottom w:val="single" w:sz="4" w:space="0" w:color="314364"/>
            </w:tcBorders>
            <w:shd w:val="clear" w:color="auto" w:fill="314364"/>
            <w:vAlign w:val="center"/>
          </w:tcPr>
          <w:p w14:paraId="79CCA9AB" w14:textId="77777777" w:rsidR="009871BC" w:rsidRDefault="009871BC" w:rsidP="00F0768C">
            <w:pPr>
              <w:spacing w:after="0" w:line="259" w:lineRule="auto"/>
              <w:jc w:val="right"/>
              <w:rPr>
                <w:b/>
                <w:color w:val="FFFFFF" w:themeColor="background1"/>
                <w:sz w:val="18"/>
              </w:rPr>
            </w:pPr>
            <w:r>
              <w:rPr>
                <w:b/>
                <w:color w:val="FFFFFF" w:themeColor="background1"/>
                <w:sz w:val="18"/>
              </w:rPr>
              <w:t>2021 S</w:t>
            </w:r>
          </w:p>
        </w:tc>
        <w:tc>
          <w:tcPr>
            <w:tcW w:w="520" w:type="pct"/>
            <w:tcBorders>
              <w:bottom w:val="single" w:sz="4" w:space="0" w:color="314364"/>
            </w:tcBorders>
            <w:shd w:val="clear" w:color="auto" w:fill="314364"/>
            <w:vAlign w:val="center"/>
          </w:tcPr>
          <w:p w14:paraId="3B960001" w14:textId="77777777" w:rsidR="009871BC" w:rsidRPr="0032280E" w:rsidRDefault="009871BC" w:rsidP="00F0768C">
            <w:pPr>
              <w:spacing w:after="0" w:line="259" w:lineRule="auto"/>
              <w:jc w:val="right"/>
              <w:rPr>
                <w:b/>
                <w:color w:val="FFFFFF" w:themeColor="background1"/>
                <w:sz w:val="18"/>
              </w:rPr>
            </w:pPr>
            <w:r>
              <w:rPr>
                <w:b/>
                <w:color w:val="FFFFFF" w:themeColor="background1"/>
                <w:sz w:val="18"/>
              </w:rPr>
              <w:t>2022 R</w:t>
            </w:r>
          </w:p>
        </w:tc>
        <w:tc>
          <w:tcPr>
            <w:tcW w:w="580" w:type="pct"/>
            <w:tcBorders>
              <w:bottom w:val="single" w:sz="4" w:space="0" w:color="314364"/>
            </w:tcBorders>
            <w:shd w:val="clear" w:color="auto" w:fill="314364"/>
            <w:vAlign w:val="center"/>
          </w:tcPr>
          <w:p w14:paraId="048AFC03" w14:textId="77777777" w:rsidR="009871BC" w:rsidRDefault="009871BC" w:rsidP="00F0768C">
            <w:pPr>
              <w:spacing w:after="0" w:line="259" w:lineRule="auto"/>
              <w:jc w:val="right"/>
              <w:rPr>
                <w:b/>
                <w:color w:val="FFFFFF" w:themeColor="background1"/>
                <w:sz w:val="18"/>
              </w:rPr>
            </w:pPr>
            <w:r>
              <w:rPr>
                <w:b/>
                <w:color w:val="FFFFFF" w:themeColor="background1"/>
                <w:sz w:val="18"/>
              </w:rPr>
              <w:t>2022 NR</w:t>
            </w:r>
          </w:p>
        </w:tc>
        <w:tc>
          <w:tcPr>
            <w:tcW w:w="520" w:type="pct"/>
            <w:tcBorders>
              <w:bottom w:val="single" w:sz="4" w:space="0" w:color="314364"/>
            </w:tcBorders>
            <w:shd w:val="clear" w:color="auto" w:fill="314364"/>
            <w:vAlign w:val="center"/>
          </w:tcPr>
          <w:p w14:paraId="62F2A3CE" w14:textId="77777777" w:rsidR="009871BC" w:rsidRPr="0032280E" w:rsidRDefault="009871BC" w:rsidP="00F0768C">
            <w:pPr>
              <w:spacing w:after="0" w:line="259" w:lineRule="auto"/>
              <w:jc w:val="right"/>
              <w:rPr>
                <w:b/>
                <w:color w:val="FFFFFF" w:themeColor="background1"/>
                <w:sz w:val="18"/>
              </w:rPr>
            </w:pPr>
            <w:r>
              <w:rPr>
                <w:b/>
                <w:color w:val="FFFFFF" w:themeColor="background1"/>
                <w:sz w:val="18"/>
              </w:rPr>
              <w:t>2022 S</w:t>
            </w:r>
          </w:p>
        </w:tc>
        <w:tc>
          <w:tcPr>
            <w:tcW w:w="964" w:type="pct"/>
            <w:tcBorders>
              <w:bottom w:val="single" w:sz="4" w:space="0" w:color="314364"/>
            </w:tcBorders>
            <w:shd w:val="clear" w:color="auto" w:fill="314364"/>
            <w:vAlign w:val="center"/>
          </w:tcPr>
          <w:p w14:paraId="1182EFD4" w14:textId="114122BD" w:rsidR="009871BC" w:rsidRDefault="009871BC" w:rsidP="005856ED">
            <w:pPr>
              <w:spacing w:after="0" w:line="259" w:lineRule="auto"/>
              <w:jc w:val="right"/>
              <w:rPr>
                <w:b/>
                <w:color w:val="FFFFFF" w:themeColor="background1"/>
                <w:sz w:val="18"/>
              </w:rPr>
            </w:pPr>
            <w:r>
              <w:rPr>
                <w:b/>
                <w:color w:val="FFFFFF" w:themeColor="background1"/>
                <w:sz w:val="18"/>
              </w:rPr>
              <w:t>2022 S - 2022 R</w:t>
            </w:r>
          </w:p>
        </w:tc>
      </w:tr>
      <w:tr w:rsidR="005856ED" w14:paraId="627C43D2" w14:textId="77777777" w:rsidTr="00F0768C">
        <w:trPr>
          <w:trHeight w:val="20"/>
        </w:trPr>
        <w:tc>
          <w:tcPr>
            <w:tcW w:w="1896" w:type="pct"/>
            <w:tcBorders>
              <w:top w:val="single" w:sz="4" w:space="0" w:color="314364"/>
            </w:tcBorders>
            <w:vAlign w:val="center"/>
          </w:tcPr>
          <w:p w14:paraId="5035487D" w14:textId="77777777" w:rsidR="005856ED" w:rsidRPr="00480C81" w:rsidRDefault="005856ED" w:rsidP="005856ED">
            <w:pPr>
              <w:spacing w:after="0" w:line="259" w:lineRule="auto"/>
              <w:jc w:val="left"/>
              <w:rPr>
                <w:sz w:val="18"/>
              </w:rPr>
            </w:pPr>
            <w:r>
              <w:rPr>
                <w:sz w:val="18"/>
              </w:rPr>
              <w:t>Príjmy spolu (v mil. eur)</w:t>
            </w:r>
          </w:p>
        </w:tc>
        <w:tc>
          <w:tcPr>
            <w:tcW w:w="520" w:type="pct"/>
            <w:tcBorders>
              <w:top w:val="single" w:sz="4" w:space="0" w:color="314364"/>
            </w:tcBorders>
            <w:vAlign w:val="center"/>
          </w:tcPr>
          <w:p w14:paraId="272AB263" w14:textId="77777777" w:rsidR="005856ED" w:rsidRPr="00480C81" w:rsidRDefault="005856ED" w:rsidP="005856ED">
            <w:pPr>
              <w:spacing w:after="0" w:line="259" w:lineRule="auto"/>
              <w:jc w:val="right"/>
              <w:rPr>
                <w:sz w:val="18"/>
              </w:rPr>
            </w:pPr>
            <w:r>
              <w:rPr>
                <w:sz w:val="18"/>
              </w:rPr>
              <w:t>42 372,2</w:t>
            </w:r>
          </w:p>
        </w:tc>
        <w:tc>
          <w:tcPr>
            <w:tcW w:w="520" w:type="pct"/>
            <w:tcBorders>
              <w:top w:val="single" w:sz="4" w:space="0" w:color="314364"/>
            </w:tcBorders>
            <w:shd w:val="clear" w:color="auto" w:fill="auto"/>
            <w:vAlign w:val="center"/>
          </w:tcPr>
          <w:p w14:paraId="2C0A44AD" w14:textId="77777777" w:rsidR="005856ED" w:rsidRPr="00480C81" w:rsidRDefault="005856ED" w:rsidP="005856ED">
            <w:pPr>
              <w:spacing w:after="0" w:line="259" w:lineRule="auto"/>
              <w:jc w:val="right"/>
              <w:rPr>
                <w:sz w:val="18"/>
              </w:rPr>
            </w:pPr>
            <w:r>
              <w:rPr>
                <w:sz w:val="18"/>
              </w:rPr>
              <w:t>43 409,4</w:t>
            </w:r>
          </w:p>
        </w:tc>
        <w:tc>
          <w:tcPr>
            <w:tcW w:w="580" w:type="pct"/>
            <w:tcBorders>
              <w:top w:val="single" w:sz="4" w:space="0" w:color="314364"/>
            </w:tcBorders>
            <w:shd w:val="clear" w:color="auto" w:fill="auto"/>
            <w:vAlign w:val="center"/>
          </w:tcPr>
          <w:p w14:paraId="20F969FB" w14:textId="77777777" w:rsidR="005856ED" w:rsidRPr="00480C81" w:rsidRDefault="005856ED" w:rsidP="005856ED">
            <w:pPr>
              <w:spacing w:after="0" w:line="259" w:lineRule="auto"/>
              <w:jc w:val="right"/>
              <w:rPr>
                <w:sz w:val="18"/>
              </w:rPr>
            </w:pPr>
            <w:r>
              <w:rPr>
                <w:sz w:val="18"/>
              </w:rPr>
              <w:t>44 611,3</w:t>
            </w:r>
          </w:p>
        </w:tc>
        <w:tc>
          <w:tcPr>
            <w:tcW w:w="520" w:type="pct"/>
            <w:tcBorders>
              <w:top w:val="single" w:sz="4" w:space="0" w:color="314364"/>
            </w:tcBorders>
            <w:vAlign w:val="center"/>
          </w:tcPr>
          <w:p w14:paraId="1B638074" w14:textId="77777777" w:rsidR="005856ED" w:rsidRPr="00480C81" w:rsidRDefault="005856ED" w:rsidP="005856ED">
            <w:pPr>
              <w:spacing w:after="0" w:line="259" w:lineRule="auto"/>
              <w:jc w:val="right"/>
              <w:rPr>
                <w:sz w:val="18"/>
              </w:rPr>
            </w:pPr>
            <w:r>
              <w:rPr>
                <w:sz w:val="18"/>
              </w:rPr>
              <w:t>47 182,4</w:t>
            </w:r>
          </w:p>
        </w:tc>
        <w:tc>
          <w:tcPr>
            <w:tcW w:w="964" w:type="pct"/>
            <w:tcBorders>
              <w:top w:val="single" w:sz="4" w:space="0" w:color="314364"/>
            </w:tcBorders>
            <w:vAlign w:val="center"/>
          </w:tcPr>
          <w:p w14:paraId="53439371" w14:textId="60416137" w:rsidR="005856ED" w:rsidRPr="00480C81" w:rsidRDefault="005856ED" w:rsidP="005856ED">
            <w:pPr>
              <w:spacing w:after="0" w:line="259" w:lineRule="auto"/>
              <w:ind w:right="459"/>
              <w:jc w:val="right"/>
              <w:rPr>
                <w:sz w:val="18"/>
              </w:rPr>
            </w:pPr>
            <w:r>
              <w:rPr>
                <w:sz w:val="18"/>
              </w:rPr>
              <w:t>3 773,0</w:t>
            </w:r>
          </w:p>
        </w:tc>
      </w:tr>
      <w:tr w:rsidR="005856ED" w14:paraId="353124A8" w14:textId="77777777" w:rsidTr="00F0768C">
        <w:trPr>
          <w:trHeight w:val="20"/>
        </w:trPr>
        <w:tc>
          <w:tcPr>
            <w:tcW w:w="1896" w:type="pct"/>
            <w:vAlign w:val="center"/>
          </w:tcPr>
          <w:p w14:paraId="5442AD19" w14:textId="77777777" w:rsidR="005856ED" w:rsidRPr="00480C81" w:rsidRDefault="005856ED" w:rsidP="005856ED">
            <w:pPr>
              <w:spacing w:after="0" w:line="259" w:lineRule="auto"/>
              <w:jc w:val="left"/>
              <w:rPr>
                <w:sz w:val="18"/>
              </w:rPr>
            </w:pPr>
            <w:r>
              <w:rPr>
                <w:sz w:val="18"/>
              </w:rPr>
              <w:t>Výdavky spolu (v mil. eur)</w:t>
            </w:r>
          </w:p>
        </w:tc>
        <w:tc>
          <w:tcPr>
            <w:tcW w:w="520" w:type="pct"/>
            <w:vAlign w:val="center"/>
          </w:tcPr>
          <w:p w14:paraId="1CF781CF" w14:textId="77777777" w:rsidR="005856ED" w:rsidRPr="00480C81" w:rsidRDefault="005856ED" w:rsidP="005856ED">
            <w:pPr>
              <w:spacing w:after="0" w:line="259" w:lineRule="auto"/>
              <w:jc w:val="right"/>
              <w:rPr>
                <w:sz w:val="18"/>
              </w:rPr>
            </w:pPr>
            <w:r>
              <w:rPr>
                <w:sz w:val="18"/>
              </w:rPr>
              <w:t>47 820,3</w:t>
            </w:r>
          </w:p>
        </w:tc>
        <w:tc>
          <w:tcPr>
            <w:tcW w:w="520" w:type="pct"/>
            <w:shd w:val="clear" w:color="auto" w:fill="auto"/>
            <w:vAlign w:val="center"/>
          </w:tcPr>
          <w:p w14:paraId="5E3BA0FD" w14:textId="77777777" w:rsidR="005856ED" w:rsidRPr="00480C81" w:rsidRDefault="005856ED" w:rsidP="005856ED">
            <w:pPr>
              <w:spacing w:after="0" w:line="259" w:lineRule="auto"/>
              <w:jc w:val="right"/>
              <w:rPr>
                <w:sz w:val="18"/>
              </w:rPr>
            </w:pPr>
            <w:r>
              <w:rPr>
                <w:sz w:val="18"/>
              </w:rPr>
              <w:t>48 622,8</w:t>
            </w:r>
          </w:p>
        </w:tc>
        <w:tc>
          <w:tcPr>
            <w:tcW w:w="580" w:type="pct"/>
            <w:shd w:val="clear" w:color="auto" w:fill="auto"/>
            <w:vAlign w:val="center"/>
          </w:tcPr>
          <w:p w14:paraId="309BEBFE" w14:textId="77777777" w:rsidR="005856ED" w:rsidRPr="00480C81" w:rsidRDefault="005856ED" w:rsidP="005856ED">
            <w:pPr>
              <w:spacing w:after="0" w:line="259" w:lineRule="auto"/>
              <w:jc w:val="right"/>
              <w:rPr>
                <w:sz w:val="18"/>
              </w:rPr>
            </w:pPr>
            <w:r>
              <w:rPr>
                <w:sz w:val="18"/>
              </w:rPr>
              <w:t>50 278,0</w:t>
            </w:r>
          </w:p>
        </w:tc>
        <w:tc>
          <w:tcPr>
            <w:tcW w:w="520" w:type="pct"/>
            <w:vAlign w:val="center"/>
          </w:tcPr>
          <w:p w14:paraId="68B94032" w14:textId="77777777" w:rsidR="005856ED" w:rsidRPr="00480C81" w:rsidRDefault="005856ED" w:rsidP="005856ED">
            <w:pPr>
              <w:spacing w:after="0" w:line="259" w:lineRule="auto"/>
              <w:jc w:val="right"/>
              <w:rPr>
                <w:sz w:val="18"/>
              </w:rPr>
            </w:pPr>
            <w:r>
              <w:rPr>
                <w:sz w:val="18"/>
              </w:rPr>
              <w:t>49 416,1</w:t>
            </w:r>
          </w:p>
        </w:tc>
        <w:tc>
          <w:tcPr>
            <w:tcW w:w="964" w:type="pct"/>
            <w:vAlign w:val="center"/>
          </w:tcPr>
          <w:p w14:paraId="25E09E99" w14:textId="4B5CC083" w:rsidR="005856ED" w:rsidRPr="00480C81" w:rsidRDefault="005856ED" w:rsidP="005856ED">
            <w:pPr>
              <w:spacing w:after="0" w:line="259" w:lineRule="auto"/>
              <w:ind w:right="459"/>
              <w:jc w:val="right"/>
              <w:rPr>
                <w:sz w:val="18"/>
              </w:rPr>
            </w:pPr>
            <w:r>
              <w:rPr>
                <w:sz w:val="18"/>
              </w:rPr>
              <w:t>793,3</w:t>
            </w:r>
          </w:p>
        </w:tc>
      </w:tr>
      <w:tr w:rsidR="005856ED" w:rsidRPr="00325BDA" w14:paraId="7FE87C9B" w14:textId="77777777" w:rsidTr="00F0768C">
        <w:trPr>
          <w:trHeight w:val="20"/>
        </w:trPr>
        <w:tc>
          <w:tcPr>
            <w:tcW w:w="1896" w:type="pct"/>
            <w:vAlign w:val="center"/>
          </w:tcPr>
          <w:p w14:paraId="3958090A" w14:textId="77777777" w:rsidR="005856ED" w:rsidRPr="00DD6B66" w:rsidRDefault="005856ED" w:rsidP="005856ED">
            <w:pPr>
              <w:spacing w:after="0" w:line="259" w:lineRule="auto"/>
              <w:jc w:val="left"/>
              <w:rPr>
                <w:b/>
                <w:sz w:val="18"/>
              </w:rPr>
            </w:pPr>
            <w:r>
              <w:rPr>
                <w:b/>
                <w:sz w:val="18"/>
              </w:rPr>
              <w:t xml:space="preserve">Schodok podľa ESA 2010 (v </w:t>
            </w:r>
            <w:r w:rsidRPr="00DD6B66">
              <w:rPr>
                <w:b/>
                <w:sz w:val="18"/>
              </w:rPr>
              <w:t>mil. eur)</w:t>
            </w:r>
          </w:p>
        </w:tc>
        <w:tc>
          <w:tcPr>
            <w:tcW w:w="520" w:type="pct"/>
            <w:vAlign w:val="center"/>
          </w:tcPr>
          <w:p w14:paraId="015F8D78" w14:textId="77777777" w:rsidR="005856ED" w:rsidRPr="00DD6B66" w:rsidRDefault="005856ED" w:rsidP="005856ED">
            <w:pPr>
              <w:spacing w:after="0" w:line="259" w:lineRule="auto"/>
              <w:jc w:val="right"/>
              <w:rPr>
                <w:b/>
                <w:sz w:val="18"/>
              </w:rPr>
            </w:pPr>
            <w:r>
              <w:rPr>
                <w:b/>
                <w:sz w:val="18"/>
              </w:rPr>
              <w:t>-5 448,1</w:t>
            </w:r>
          </w:p>
        </w:tc>
        <w:tc>
          <w:tcPr>
            <w:tcW w:w="520" w:type="pct"/>
            <w:shd w:val="clear" w:color="auto" w:fill="auto"/>
            <w:vAlign w:val="center"/>
          </w:tcPr>
          <w:p w14:paraId="49C2D6FC" w14:textId="77777777" w:rsidR="005856ED" w:rsidRPr="00DD6B66" w:rsidRDefault="005856ED" w:rsidP="005856ED">
            <w:pPr>
              <w:spacing w:after="0" w:line="259" w:lineRule="auto"/>
              <w:jc w:val="right"/>
              <w:rPr>
                <w:b/>
                <w:sz w:val="18"/>
              </w:rPr>
            </w:pPr>
            <w:r>
              <w:rPr>
                <w:b/>
                <w:sz w:val="18"/>
              </w:rPr>
              <w:t>-5 213,5</w:t>
            </w:r>
          </w:p>
        </w:tc>
        <w:tc>
          <w:tcPr>
            <w:tcW w:w="580" w:type="pct"/>
            <w:shd w:val="clear" w:color="auto" w:fill="auto"/>
            <w:vAlign w:val="center"/>
          </w:tcPr>
          <w:p w14:paraId="52BE69B3" w14:textId="77777777" w:rsidR="005856ED" w:rsidRPr="00DD6B66" w:rsidRDefault="005856ED" w:rsidP="005856ED">
            <w:pPr>
              <w:spacing w:after="0" w:line="259" w:lineRule="auto"/>
              <w:jc w:val="right"/>
              <w:rPr>
                <w:b/>
                <w:sz w:val="18"/>
              </w:rPr>
            </w:pPr>
            <w:r>
              <w:rPr>
                <w:b/>
                <w:sz w:val="18"/>
              </w:rPr>
              <w:t>-5 666,7</w:t>
            </w:r>
          </w:p>
        </w:tc>
        <w:tc>
          <w:tcPr>
            <w:tcW w:w="520" w:type="pct"/>
            <w:vAlign w:val="center"/>
          </w:tcPr>
          <w:p w14:paraId="6DE9C966" w14:textId="77777777" w:rsidR="005856ED" w:rsidRPr="00DD6B66" w:rsidRDefault="005856ED" w:rsidP="005856ED">
            <w:pPr>
              <w:spacing w:after="0" w:line="259" w:lineRule="auto"/>
              <w:jc w:val="right"/>
              <w:rPr>
                <w:b/>
                <w:sz w:val="18"/>
              </w:rPr>
            </w:pPr>
            <w:r>
              <w:rPr>
                <w:b/>
                <w:sz w:val="18"/>
              </w:rPr>
              <w:t>-2 233,8</w:t>
            </w:r>
          </w:p>
        </w:tc>
        <w:tc>
          <w:tcPr>
            <w:tcW w:w="964" w:type="pct"/>
            <w:vAlign w:val="center"/>
          </w:tcPr>
          <w:p w14:paraId="3CE031EF" w14:textId="2CB088CA" w:rsidR="005856ED" w:rsidRPr="00DD6B66" w:rsidRDefault="005856ED" w:rsidP="005856ED">
            <w:pPr>
              <w:spacing w:after="0" w:line="259" w:lineRule="auto"/>
              <w:ind w:right="459"/>
              <w:jc w:val="right"/>
              <w:rPr>
                <w:b/>
                <w:sz w:val="18"/>
              </w:rPr>
            </w:pPr>
            <w:r>
              <w:rPr>
                <w:b/>
                <w:sz w:val="18"/>
              </w:rPr>
              <w:t>2 979,7</w:t>
            </w:r>
          </w:p>
        </w:tc>
      </w:tr>
      <w:tr w:rsidR="005856ED" w:rsidRPr="00480C81" w14:paraId="0492A9AF" w14:textId="77777777" w:rsidTr="00F0768C">
        <w:trPr>
          <w:trHeight w:val="20"/>
        </w:trPr>
        <w:tc>
          <w:tcPr>
            <w:tcW w:w="1896" w:type="pct"/>
            <w:tcBorders>
              <w:bottom w:val="single" w:sz="4" w:space="0" w:color="314364" w:themeColor="text2"/>
            </w:tcBorders>
            <w:vAlign w:val="center"/>
          </w:tcPr>
          <w:p w14:paraId="15013DE6" w14:textId="77777777" w:rsidR="005856ED" w:rsidRPr="00DD6B66" w:rsidRDefault="005856ED" w:rsidP="005856ED">
            <w:pPr>
              <w:spacing w:after="0" w:line="259" w:lineRule="auto"/>
              <w:jc w:val="left"/>
              <w:rPr>
                <w:b/>
                <w:sz w:val="18"/>
              </w:rPr>
            </w:pPr>
            <w:r w:rsidRPr="00DD6B66">
              <w:rPr>
                <w:b/>
                <w:sz w:val="18"/>
              </w:rPr>
              <w:t>Schodok podľa ESA 2010 (% HDP)</w:t>
            </w:r>
          </w:p>
        </w:tc>
        <w:tc>
          <w:tcPr>
            <w:tcW w:w="520" w:type="pct"/>
            <w:tcBorders>
              <w:bottom w:val="single" w:sz="4" w:space="0" w:color="314364" w:themeColor="text2"/>
            </w:tcBorders>
            <w:vAlign w:val="center"/>
          </w:tcPr>
          <w:p w14:paraId="6BB05022" w14:textId="77777777" w:rsidR="005856ED" w:rsidRPr="00DD6B66" w:rsidRDefault="005856ED" w:rsidP="005856ED">
            <w:pPr>
              <w:spacing w:after="0" w:line="259" w:lineRule="auto"/>
              <w:jc w:val="right"/>
              <w:rPr>
                <w:b/>
                <w:sz w:val="18"/>
              </w:rPr>
            </w:pPr>
            <w:r>
              <w:rPr>
                <w:b/>
                <w:sz w:val="18"/>
              </w:rPr>
              <w:t>-5,4</w:t>
            </w:r>
          </w:p>
        </w:tc>
        <w:tc>
          <w:tcPr>
            <w:tcW w:w="520" w:type="pct"/>
            <w:tcBorders>
              <w:bottom w:val="single" w:sz="4" w:space="0" w:color="314364" w:themeColor="text2"/>
            </w:tcBorders>
            <w:shd w:val="clear" w:color="auto" w:fill="auto"/>
            <w:vAlign w:val="center"/>
          </w:tcPr>
          <w:p w14:paraId="65FF0F4D" w14:textId="77777777" w:rsidR="005856ED" w:rsidRPr="00DD6B66" w:rsidRDefault="005856ED" w:rsidP="005856ED">
            <w:pPr>
              <w:spacing w:after="0" w:line="259" w:lineRule="auto"/>
              <w:jc w:val="right"/>
              <w:rPr>
                <w:b/>
                <w:sz w:val="18"/>
              </w:rPr>
            </w:pPr>
            <w:r>
              <w:rPr>
                <w:b/>
                <w:sz w:val="18"/>
              </w:rPr>
              <w:t>-4,9</w:t>
            </w:r>
          </w:p>
        </w:tc>
        <w:tc>
          <w:tcPr>
            <w:tcW w:w="580" w:type="pct"/>
            <w:tcBorders>
              <w:bottom w:val="single" w:sz="4" w:space="0" w:color="314364" w:themeColor="text2"/>
            </w:tcBorders>
            <w:shd w:val="clear" w:color="auto" w:fill="auto"/>
            <w:vAlign w:val="center"/>
          </w:tcPr>
          <w:p w14:paraId="04FAECFF" w14:textId="77777777" w:rsidR="005856ED" w:rsidRPr="00DD6B66" w:rsidRDefault="005856ED" w:rsidP="005856ED">
            <w:pPr>
              <w:spacing w:after="0" w:line="259" w:lineRule="auto"/>
              <w:jc w:val="right"/>
              <w:rPr>
                <w:b/>
                <w:sz w:val="18"/>
              </w:rPr>
            </w:pPr>
            <w:r>
              <w:rPr>
                <w:b/>
                <w:sz w:val="18"/>
              </w:rPr>
              <w:t>-5,2</w:t>
            </w:r>
          </w:p>
        </w:tc>
        <w:tc>
          <w:tcPr>
            <w:tcW w:w="520" w:type="pct"/>
            <w:tcBorders>
              <w:bottom w:val="single" w:sz="4" w:space="0" w:color="314364" w:themeColor="text2"/>
            </w:tcBorders>
            <w:vAlign w:val="center"/>
          </w:tcPr>
          <w:p w14:paraId="296294F5" w14:textId="77777777" w:rsidR="005856ED" w:rsidRPr="00DD6B66" w:rsidRDefault="005856ED" w:rsidP="005856ED">
            <w:pPr>
              <w:spacing w:after="0" w:line="259" w:lineRule="auto"/>
              <w:jc w:val="right"/>
              <w:rPr>
                <w:b/>
                <w:sz w:val="18"/>
              </w:rPr>
            </w:pPr>
            <w:r>
              <w:rPr>
                <w:b/>
                <w:sz w:val="18"/>
              </w:rPr>
              <w:t>-2,0</w:t>
            </w:r>
          </w:p>
        </w:tc>
        <w:tc>
          <w:tcPr>
            <w:tcW w:w="964" w:type="pct"/>
            <w:tcBorders>
              <w:bottom w:val="single" w:sz="4" w:space="0" w:color="314364" w:themeColor="text2"/>
            </w:tcBorders>
            <w:vAlign w:val="center"/>
          </w:tcPr>
          <w:p w14:paraId="45F935D3" w14:textId="43DAE1B0" w:rsidR="005856ED" w:rsidRPr="00DD6B66" w:rsidRDefault="005856ED" w:rsidP="005856ED">
            <w:pPr>
              <w:spacing w:after="0" w:line="259" w:lineRule="auto"/>
              <w:ind w:right="459"/>
              <w:jc w:val="right"/>
              <w:rPr>
                <w:b/>
                <w:sz w:val="18"/>
              </w:rPr>
            </w:pPr>
            <w:r>
              <w:rPr>
                <w:b/>
                <w:sz w:val="18"/>
              </w:rPr>
              <w:t>2,9</w:t>
            </w:r>
          </w:p>
        </w:tc>
      </w:tr>
    </w:tbl>
    <w:p w14:paraId="098463BD" w14:textId="43BD32E1" w:rsidR="009871BC" w:rsidRDefault="009871BC" w:rsidP="009871BC">
      <w:pPr>
        <w:pStyle w:val="Zdroj"/>
      </w:pPr>
      <w:r>
        <w:t>Zdroj: Návrh ŠZÚ 2022,</w:t>
      </w:r>
      <w:r w:rsidRPr="00D0092F">
        <w:t xml:space="preserve"> </w:t>
      </w:r>
      <w:r w:rsidR="008C765A">
        <w:t>MF SR</w:t>
      </w:r>
      <w:r w:rsidR="00C87105">
        <w:t>.</w:t>
      </w:r>
    </w:p>
    <w:p w14:paraId="36F2EFE0" w14:textId="417B01DC" w:rsidR="009871BC" w:rsidRDefault="009871BC" w:rsidP="009871BC">
      <w:r w:rsidRPr="00604C5F">
        <w:rPr>
          <w:b/>
        </w:rPr>
        <w:t>Z hľadiska medzinárodného porovnania hospodárenia VS bolo Slovensko v lepšej polovici rebríčka</w:t>
      </w:r>
      <w:r w:rsidR="00C310F0">
        <w:t xml:space="preserve"> (graf 3)</w:t>
      </w:r>
      <w:r w:rsidR="00604C5F">
        <w:t>.</w:t>
      </w:r>
      <w:r w:rsidR="00C310F0">
        <w:t xml:space="preserve"> </w:t>
      </w:r>
      <w:r>
        <w:t xml:space="preserve">11 krajín </w:t>
      </w:r>
      <w:r w:rsidR="00C310F0">
        <w:t xml:space="preserve">EÚ </w:t>
      </w:r>
      <w:r>
        <w:t xml:space="preserve">malo </w:t>
      </w:r>
      <w:r w:rsidR="00F233B1">
        <w:t xml:space="preserve">lepšie saldo </w:t>
      </w:r>
      <w:r>
        <w:t xml:space="preserve">ako SR, </w:t>
      </w:r>
      <w:r w:rsidR="00F233B1">
        <w:t>pričom</w:t>
      </w:r>
      <w:r>
        <w:t xml:space="preserve"> </w:t>
      </w:r>
      <w:r w:rsidR="00F233B1">
        <w:t>šesť krajín hospodárilo s</w:t>
      </w:r>
      <w:r>
        <w:t xml:space="preserve"> prebytk</w:t>
      </w:r>
      <w:r w:rsidR="00F233B1">
        <w:t>om</w:t>
      </w:r>
      <w:r>
        <w:t xml:space="preserve">. Najvyšší deficit zaznamenalo Taliansko (-8 %) a Maďarsko spolu s Rumunskom (-6,2 %). </w:t>
      </w:r>
    </w:p>
    <w:p w14:paraId="20E93048" w14:textId="27E189B9" w:rsidR="009871BC" w:rsidRPr="00BC3CA3" w:rsidRDefault="009871BC" w:rsidP="009871BC">
      <w:pPr>
        <w:pStyle w:val="Popis"/>
        <w:keepNext/>
        <w:rPr>
          <w:color w:val="314364"/>
        </w:rPr>
      </w:pPr>
      <w:r w:rsidRPr="00BC3CA3">
        <w:rPr>
          <w:color w:val="314364"/>
        </w:rPr>
        <w:t xml:space="preserve">Graf </w:t>
      </w:r>
      <w:r w:rsidRPr="00BC3CA3">
        <w:rPr>
          <w:color w:val="314364"/>
        </w:rPr>
        <w:fldChar w:fldCharType="begin"/>
      </w:r>
      <w:r w:rsidRPr="00BC3CA3">
        <w:rPr>
          <w:color w:val="314364"/>
        </w:rPr>
        <w:instrText xml:space="preserve"> SEQ Graf \* ARABIC </w:instrText>
      </w:r>
      <w:r w:rsidRPr="00BC3CA3">
        <w:rPr>
          <w:color w:val="314364"/>
        </w:rPr>
        <w:fldChar w:fldCharType="separate"/>
      </w:r>
      <w:r w:rsidR="005C3034">
        <w:rPr>
          <w:noProof/>
          <w:color w:val="314364"/>
        </w:rPr>
        <w:t>3</w:t>
      </w:r>
      <w:r w:rsidRPr="00BC3CA3">
        <w:rPr>
          <w:color w:val="314364"/>
        </w:rPr>
        <w:fldChar w:fldCharType="end"/>
      </w:r>
      <w:r w:rsidRPr="00BC3CA3">
        <w:rPr>
          <w:color w:val="314364"/>
        </w:rPr>
        <w:t>:</w:t>
      </w:r>
      <w:r>
        <w:rPr>
          <w:color w:val="314364"/>
        </w:rPr>
        <w:t xml:space="preserve"> </w:t>
      </w:r>
      <w:r w:rsidRPr="001D2976">
        <w:rPr>
          <w:color w:val="314364"/>
        </w:rPr>
        <w:t>Medzinárodn</w:t>
      </w:r>
      <w:r>
        <w:rPr>
          <w:color w:val="314364"/>
        </w:rPr>
        <w:t>é porovnanie sáld VS v roku 202</w:t>
      </w:r>
      <w:r w:rsidR="002F2116">
        <w:rPr>
          <w:color w:val="314364"/>
        </w:rPr>
        <w:t>2</w:t>
      </w:r>
      <w:r>
        <w:rPr>
          <w:color w:val="314364"/>
        </w:rPr>
        <w:t xml:space="preserve"> (% HDP)</w:t>
      </w:r>
    </w:p>
    <w:tbl>
      <w:tblPr>
        <w:tblStyle w:val="Mriekatabuky"/>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50"/>
      </w:tblGrid>
      <w:tr w:rsidR="009871BC" w:rsidRPr="00C75134" w14:paraId="3EC51165" w14:textId="77777777" w:rsidTr="00F0768C">
        <w:trPr>
          <w:trHeight w:val="2835"/>
        </w:trPr>
        <w:tc>
          <w:tcPr>
            <w:tcW w:w="9250" w:type="dxa"/>
            <w:tcBorders>
              <w:top w:val="single" w:sz="4" w:space="0" w:color="314364"/>
              <w:bottom w:val="single" w:sz="4" w:space="0" w:color="314364"/>
            </w:tcBorders>
            <w:vAlign w:val="center"/>
          </w:tcPr>
          <w:p w14:paraId="2CEDEDB5" w14:textId="77777777" w:rsidR="009871BC" w:rsidRPr="00C75134" w:rsidRDefault="009871BC" w:rsidP="00F0768C">
            <w:pPr>
              <w:spacing w:after="0"/>
              <w:rPr>
                <w:b/>
                <w:color w:val="576431"/>
              </w:rPr>
            </w:pPr>
            <w:r>
              <w:rPr>
                <w:noProof/>
                <w:lang w:eastAsia="sk-SK"/>
              </w:rPr>
              <w:drawing>
                <wp:inline distT="0" distB="0" distL="0" distR="0" wp14:anchorId="104BBFF8" wp14:editId="45105553">
                  <wp:extent cx="5759450" cy="177546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293924F6" w14:textId="5206B39C" w:rsidR="009871BC" w:rsidRPr="002700C0" w:rsidRDefault="009871BC" w:rsidP="009871BC">
      <w:pPr>
        <w:pStyle w:val="Zdroj"/>
      </w:pPr>
      <w:r w:rsidRPr="00CD7042">
        <w:t xml:space="preserve">Zdroj: </w:t>
      </w:r>
      <w:r>
        <w:t>Eurostat</w:t>
      </w:r>
      <w:r w:rsidR="00C87105">
        <w:t>.</w:t>
      </w:r>
    </w:p>
    <w:p w14:paraId="51E10220" w14:textId="2F2C3874" w:rsidR="000D05F7" w:rsidRDefault="002C027A" w:rsidP="002C027A">
      <w:pPr>
        <w:pStyle w:val="Nadpis2"/>
      </w:pPr>
      <w:bookmarkStart w:id="7" w:name="_Toc136418387"/>
      <w:r>
        <w:t xml:space="preserve">2.2 </w:t>
      </w:r>
      <w:r w:rsidR="001209F4">
        <w:t>Príjmy verejnej správy</w:t>
      </w:r>
      <w:bookmarkEnd w:id="7"/>
    </w:p>
    <w:p w14:paraId="5227E8D6" w14:textId="0214F14A" w:rsidR="004368CE" w:rsidRDefault="009871BC" w:rsidP="004368CE">
      <w:r>
        <w:t xml:space="preserve">Príjmy </w:t>
      </w:r>
      <w:r w:rsidR="00F233B1">
        <w:t>VS</w:t>
      </w:r>
      <w:r>
        <w:t xml:space="preserve"> boli oproti </w:t>
      </w:r>
      <w:r w:rsidR="00C9299D">
        <w:t>pôvodne schválenému</w:t>
      </w:r>
      <w:r>
        <w:t xml:space="preserve"> rozpočtu vyššie o</w:t>
      </w:r>
      <w:r w:rsidR="005D19E3">
        <w:t> </w:t>
      </w:r>
      <w:r w:rsidR="00C9299D">
        <w:t>3</w:t>
      </w:r>
      <w:r w:rsidR="005D19E3">
        <w:t>,</w:t>
      </w:r>
      <w:r w:rsidR="00C9299D">
        <w:t>8</w:t>
      </w:r>
      <w:r>
        <w:t xml:space="preserve"> ml</w:t>
      </w:r>
      <w:r w:rsidR="005D19E3">
        <w:t>d</w:t>
      </w:r>
      <w:r>
        <w:t>. eur, a to vďaka nárastu daňovo</w:t>
      </w:r>
      <w:r w:rsidR="005D19E3">
        <w:t>-</w:t>
      </w:r>
      <w:r>
        <w:t>odvodových aj nedaňových príjmov</w:t>
      </w:r>
      <w:r w:rsidR="001D528A">
        <w:t xml:space="preserve"> (tabuľka 2). K vyšším daňovo-</w:t>
      </w:r>
      <w:r>
        <w:t xml:space="preserve">odvodovým príjmom </w:t>
      </w:r>
      <w:r w:rsidR="001D528A">
        <w:t xml:space="preserve">eur </w:t>
      </w:r>
      <w:r>
        <w:t xml:space="preserve">prispel aj </w:t>
      </w:r>
      <w:r>
        <w:lastRenderedPageBreak/>
        <w:t>solidárny príspevok</w:t>
      </w:r>
      <w:r>
        <w:rPr>
          <w:rStyle w:val="Odkaznapoznmkupodiarou"/>
        </w:rPr>
        <w:footnoteReference w:id="3"/>
      </w:r>
      <w:r>
        <w:t xml:space="preserve"> sumou 258,1 mil. eur</w:t>
      </w:r>
      <w:r w:rsidR="00BD0FBF">
        <w:t xml:space="preserve"> či </w:t>
      </w:r>
      <w:r w:rsidRPr="00357361">
        <w:t>vyšš</w:t>
      </w:r>
      <w:r w:rsidR="00276CEE">
        <w:t>ie</w:t>
      </w:r>
      <w:r w:rsidRPr="00357361">
        <w:t xml:space="preserve"> </w:t>
      </w:r>
      <w:r w:rsidR="00276CEE">
        <w:t xml:space="preserve">príjmy </w:t>
      </w:r>
      <w:r w:rsidRPr="00357361">
        <w:t>DPH</w:t>
      </w:r>
      <w:r w:rsidR="00276CEE">
        <w:t xml:space="preserve"> z dôvodu rastu cien potravín, pohonných látok a energií</w:t>
      </w:r>
      <w:r w:rsidRPr="00357361">
        <w:t>, ktor</w:t>
      </w:r>
      <w:r w:rsidR="00276CEE">
        <w:t xml:space="preserve">é boli </w:t>
      </w:r>
      <w:r w:rsidRPr="00357361">
        <w:t>oproti</w:t>
      </w:r>
      <w:r w:rsidR="00B34AD8" w:rsidRPr="00357361">
        <w:t xml:space="preserve"> </w:t>
      </w:r>
      <w:r w:rsidRPr="00357361">
        <w:t xml:space="preserve">rozpočtu </w:t>
      </w:r>
      <w:r w:rsidR="00BD0FBF" w:rsidRPr="00357361">
        <w:t>vyšš</w:t>
      </w:r>
      <w:r w:rsidR="00276CEE">
        <w:t>ie</w:t>
      </w:r>
      <w:r w:rsidR="00BD0FBF" w:rsidRPr="00357361">
        <w:t xml:space="preserve"> </w:t>
      </w:r>
      <w:r w:rsidRPr="00357361">
        <w:t>o</w:t>
      </w:r>
      <w:r w:rsidR="00BD0FBF" w:rsidRPr="00357361">
        <w:t> 495,6</w:t>
      </w:r>
      <w:r w:rsidRPr="00357361">
        <w:t xml:space="preserve"> mil. eur</w:t>
      </w:r>
      <w:r w:rsidR="001D528A" w:rsidRPr="00357361">
        <w:t xml:space="preserve"> (graf 4)</w:t>
      </w:r>
      <w:r w:rsidRPr="00357361">
        <w:t xml:space="preserve">. </w:t>
      </w:r>
      <w:r w:rsidR="00276CEE" w:rsidRPr="00276CEE">
        <w:t xml:space="preserve">Výnos DPH však nenaplnil návrh novely rozpočtu, na čo mala vplyv najmä nižšia úspešnosť výberu DPH, nižšia vládna spotreba či nižšie čerpanie fondov EÚ. </w:t>
      </w:r>
      <w:r w:rsidR="00276CEE">
        <w:t>P</w:t>
      </w:r>
      <w:r w:rsidR="004368CE" w:rsidRPr="00C60492">
        <w:t xml:space="preserve">odľa IFP </w:t>
      </w:r>
      <w:r w:rsidR="004368CE">
        <w:t xml:space="preserve">to </w:t>
      </w:r>
      <w:r w:rsidR="004368CE" w:rsidRPr="00C60492">
        <w:t xml:space="preserve">mohlo byť spôsobené </w:t>
      </w:r>
      <w:r w:rsidR="004368CE">
        <w:t xml:space="preserve">aj </w:t>
      </w:r>
      <w:r w:rsidR="004368CE" w:rsidRPr="00C60492">
        <w:t>znovuotvorením sektorov, kde prevažujú hotovostné platby.</w:t>
      </w:r>
      <w:r w:rsidR="004368CE" w:rsidRPr="00C60492">
        <w:rPr>
          <w:rStyle w:val="Odkaznapoznmkupodiarou"/>
        </w:rPr>
        <w:footnoteReference w:id="4"/>
      </w:r>
      <w:r w:rsidR="004368CE" w:rsidRPr="00C60492">
        <w:t xml:space="preserve"> </w:t>
      </w:r>
      <w:r w:rsidR="004368CE" w:rsidRPr="00DC6552">
        <w:t>Pre vyššie úniky pri DPH preto chcelo MF SR opätovne zaviesť obmedzenia na platby v hotovosti</w:t>
      </w:r>
      <w:r w:rsidR="004368CE" w:rsidRPr="00DC6552">
        <w:rPr>
          <w:rStyle w:val="Odkaznapoznmkupodiarou"/>
        </w:rPr>
        <w:footnoteReference w:id="5"/>
      </w:r>
      <w:r w:rsidR="004368CE" w:rsidRPr="00DC6552">
        <w:t>, čo sa v roku 2022 napokon nepodarilo (návrh novely neprešiel do 2. čítania).</w:t>
      </w:r>
      <w:r w:rsidR="004368CE">
        <w:t xml:space="preserve"> </w:t>
      </w:r>
    </w:p>
    <w:p w14:paraId="770946CB" w14:textId="64CFC6D2" w:rsidR="009871BC" w:rsidRDefault="009871BC" w:rsidP="009871BC">
      <w:pPr>
        <w:pStyle w:val="Popis"/>
        <w:keepNext/>
      </w:pPr>
      <w:r>
        <w:t xml:space="preserve">Tabuľka </w:t>
      </w:r>
      <w:fldSimple w:instr=" SEQ Tabuľka \* ARABIC ">
        <w:r w:rsidR="005C3034">
          <w:rPr>
            <w:noProof/>
          </w:rPr>
          <w:t>2</w:t>
        </w:r>
      </w:fldSimple>
      <w:r>
        <w:t>: Vývoj príjmov VS na akruálnej báze v rokoch 2021 a 2022 (v mil. eur)</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2663"/>
        <w:gridCol w:w="1161"/>
        <w:gridCol w:w="1161"/>
        <w:gridCol w:w="1161"/>
        <w:gridCol w:w="1085"/>
        <w:gridCol w:w="1839"/>
      </w:tblGrid>
      <w:tr w:rsidR="009871BC" w14:paraId="328933F2" w14:textId="77777777" w:rsidTr="00F0768C">
        <w:trPr>
          <w:trHeight w:val="20"/>
        </w:trPr>
        <w:tc>
          <w:tcPr>
            <w:tcW w:w="1468" w:type="pct"/>
            <w:tcBorders>
              <w:bottom w:val="single" w:sz="4" w:space="0" w:color="314364"/>
            </w:tcBorders>
            <w:shd w:val="clear" w:color="auto" w:fill="314364"/>
            <w:vAlign w:val="center"/>
          </w:tcPr>
          <w:p w14:paraId="39EDD24E" w14:textId="77777777" w:rsidR="009871BC" w:rsidRPr="0032280E" w:rsidRDefault="009871BC" w:rsidP="00F0768C">
            <w:pPr>
              <w:spacing w:after="0" w:line="259" w:lineRule="auto"/>
              <w:jc w:val="left"/>
              <w:rPr>
                <w:b/>
                <w:color w:val="FFFFFF" w:themeColor="background1"/>
                <w:sz w:val="18"/>
              </w:rPr>
            </w:pPr>
            <w:r>
              <w:rPr>
                <w:b/>
                <w:color w:val="FFFFFF" w:themeColor="background1"/>
                <w:sz w:val="18"/>
              </w:rPr>
              <w:t>Ukazovateľ</w:t>
            </w:r>
          </w:p>
        </w:tc>
        <w:tc>
          <w:tcPr>
            <w:tcW w:w="640" w:type="pct"/>
            <w:tcBorders>
              <w:bottom w:val="single" w:sz="4" w:space="0" w:color="314364"/>
            </w:tcBorders>
            <w:shd w:val="clear" w:color="auto" w:fill="314364"/>
            <w:vAlign w:val="center"/>
          </w:tcPr>
          <w:p w14:paraId="73A9DE36" w14:textId="77777777" w:rsidR="009871BC" w:rsidRDefault="009871BC" w:rsidP="00F0768C">
            <w:pPr>
              <w:spacing w:after="0" w:line="259" w:lineRule="auto"/>
              <w:jc w:val="right"/>
              <w:rPr>
                <w:b/>
                <w:color w:val="FFFFFF" w:themeColor="background1"/>
                <w:sz w:val="18"/>
              </w:rPr>
            </w:pPr>
            <w:r>
              <w:rPr>
                <w:b/>
                <w:color w:val="FFFFFF" w:themeColor="background1"/>
                <w:sz w:val="18"/>
              </w:rPr>
              <w:t>2021 S</w:t>
            </w:r>
          </w:p>
        </w:tc>
        <w:tc>
          <w:tcPr>
            <w:tcW w:w="640" w:type="pct"/>
            <w:tcBorders>
              <w:bottom w:val="single" w:sz="4" w:space="0" w:color="314364"/>
            </w:tcBorders>
            <w:shd w:val="clear" w:color="auto" w:fill="314364"/>
            <w:vAlign w:val="center"/>
          </w:tcPr>
          <w:p w14:paraId="56BEC2B0" w14:textId="77777777" w:rsidR="009871BC" w:rsidRPr="0032280E" w:rsidRDefault="009871BC" w:rsidP="00F0768C">
            <w:pPr>
              <w:spacing w:after="0" w:line="259" w:lineRule="auto"/>
              <w:jc w:val="right"/>
              <w:rPr>
                <w:b/>
                <w:color w:val="FFFFFF" w:themeColor="background1"/>
                <w:sz w:val="18"/>
              </w:rPr>
            </w:pPr>
            <w:r>
              <w:rPr>
                <w:b/>
                <w:color w:val="FFFFFF" w:themeColor="background1"/>
                <w:sz w:val="18"/>
              </w:rPr>
              <w:t>2022 R</w:t>
            </w:r>
          </w:p>
        </w:tc>
        <w:tc>
          <w:tcPr>
            <w:tcW w:w="640" w:type="pct"/>
            <w:tcBorders>
              <w:bottom w:val="single" w:sz="4" w:space="0" w:color="314364"/>
            </w:tcBorders>
            <w:shd w:val="clear" w:color="auto" w:fill="314364"/>
            <w:vAlign w:val="center"/>
          </w:tcPr>
          <w:p w14:paraId="6F3FCA8D" w14:textId="77777777" w:rsidR="009871BC" w:rsidRDefault="009871BC" w:rsidP="00F0768C">
            <w:pPr>
              <w:spacing w:after="0" w:line="259" w:lineRule="auto"/>
              <w:jc w:val="right"/>
              <w:rPr>
                <w:b/>
                <w:color w:val="FFFFFF" w:themeColor="background1"/>
                <w:sz w:val="18"/>
              </w:rPr>
            </w:pPr>
            <w:r>
              <w:rPr>
                <w:b/>
                <w:color w:val="FFFFFF" w:themeColor="background1"/>
                <w:sz w:val="18"/>
              </w:rPr>
              <w:t>2022 NR</w:t>
            </w:r>
          </w:p>
        </w:tc>
        <w:tc>
          <w:tcPr>
            <w:tcW w:w="598" w:type="pct"/>
            <w:tcBorders>
              <w:bottom w:val="single" w:sz="4" w:space="0" w:color="314364"/>
            </w:tcBorders>
            <w:shd w:val="clear" w:color="auto" w:fill="314364"/>
            <w:vAlign w:val="center"/>
          </w:tcPr>
          <w:p w14:paraId="7D4A83A5" w14:textId="77777777" w:rsidR="009871BC" w:rsidRPr="0032280E" w:rsidRDefault="009871BC" w:rsidP="00F0768C">
            <w:pPr>
              <w:spacing w:after="0" w:line="259" w:lineRule="auto"/>
              <w:jc w:val="right"/>
              <w:rPr>
                <w:b/>
                <w:color w:val="FFFFFF" w:themeColor="background1"/>
                <w:sz w:val="18"/>
              </w:rPr>
            </w:pPr>
            <w:r>
              <w:rPr>
                <w:b/>
                <w:color w:val="FFFFFF" w:themeColor="background1"/>
                <w:sz w:val="18"/>
              </w:rPr>
              <w:t>2022 S</w:t>
            </w:r>
          </w:p>
        </w:tc>
        <w:tc>
          <w:tcPr>
            <w:tcW w:w="1014" w:type="pct"/>
            <w:tcBorders>
              <w:bottom w:val="single" w:sz="4" w:space="0" w:color="314364"/>
            </w:tcBorders>
            <w:shd w:val="clear" w:color="auto" w:fill="314364"/>
            <w:vAlign w:val="center"/>
          </w:tcPr>
          <w:p w14:paraId="2EA95E08" w14:textId="78D9235E" w:rsidR="009871BC" w:rsidRDefault="009871BC" w:rsidP="00FB0439">
            <w:pPr>
              <w:spacing w:after="0" w:line="259" w:lineRule="auto"/>
              <w:jc w:val="right"/>
              <w:rPr>
                <w:b/>
                <w:color w:val="FFFFFF" w:themeColor="background1"/>
                <w:sz w:val="18"/>
              </w:rPr>
            </w:pPr>
            <w:r>
              <w:rPr>
                <w:b/>
                <w:color w:val="FFFFFF" w:themeColor="background1"/>
                <w:sz w:val="18"/>
              </w:rPr>
              <w:t>2022 S - 2022 R</w:t>
            </w:r>
          </w:p>
        </w:tc>
      </w:tr>
      <w:tr w:rsidR="00FB0439" w14:paraId="6B9B80E2" w14:textId="77777777" w:rsidTr="00F0768C">
        <w:trPr>
          <w:trHeight w:val="20"/>
        </w:trPr>
        <w:tc>
          <w:tcPr>
            <w:tcW w:w="1468" w:type="pct"/>
            <w:tcBorders>
              <w:top w:val="single" w:sz="4" w:space="0" w:color="314364"/>
            </w:tcBorders>
            <w:vAlign w:val="center"/>
          </w:tcPr>
          <w:p w14:paraId="549A98FD" w14:textId="77777777" w:rsidR="00FB0439" w:rsidRPr="00AC02EC" w:rsidRDefault="00FB0439" w:rsidP="00FB0439">
            <w:pPr>
              <w:spacing w:after="0" w:line="259" w:lineRule="auto"/>
              <w:jc w:val="left"/>
              <w:rPr>
                <w:b/>
                <w:sz w:val="18"/>
              </w:rPr>
            </w:pPr>
            <w:r>
              <w:rPr>
                <w:b/>
                <w:sz w:val="18"/>
              </w:rPr>
              <w:t xml:space="preserve">Príjmy spolu </w:t>
            </w:r>
          </w:p>
        </w:tc>
        <w:tc>
          <w:tcPr>
            <w:tcW w:w="640" w:type="pct"/>
            <w:tcBorders>
              <w:top w:val="single" w:sz="4" w:space="0" w:color="314364"/>
            </w:tcBorders>
            <w:vAlign w:val="center"/>
          </w:tcPr>
          <w:p w14:paraId="49EC0617" w14:textId="77777777" w:rsidR="00FB0439" w:rsidRPr="00831FB9" w:rsidRDefault="00FB0439" w:rsidP="00FB0439">
            <w:pPr>
              <w:spacing w:after="0" w:line="259" w:lineRule="auto"/>
              <w:jc w:val="right"/>
              <w:rPr>
                <w:b/>
                <w:sz w:val="18"/>
              </w:rPr>
            </w:pPr>
            <w:r w:rsidRPr="00831FB9">
              <w:rPr>
                <w:b/>
                <w:sz w:val="18"/>
              </w:rPr>
              <w:t>42 372,2</w:t>
            </w:r>
          </w:p>
        </w:tc>
        <w:tc>
          <w:tcPr>
            <w:tcW w:w="640" w:type="pct"/>
            <w:tcBorders>
              <w:top w:val="single" w:sz="4" w:space="0" w:color="314364"/>
            </w:tcBorders>
            <w:shd w:val="clear" w:color="auto" w:fill="auto"/>
            <w:vAlign w:val="center"/>
          </w:tcPr>
          <w:p w14:paraId="7EB27492" w14:textId="77777777" w:rsidR="00FB0439" w:rsidRPr="00831FB9" w:rsidRDefault="00FB0439" w:rsidP="00FB0439">
            <w:pPr>
              <w:spacing w:after="0" w:line="259" w:lineRule="auto"/>
              <w:jc w:val="right"/>
              <w:rPr>
                <w:b/>
                <w:sz w:val="18"/>
              </w:rPr>
            </w:pPr>
            <w:r w:rsidRPr="00831FB9">
              <w:rPr>
                <w:b/>
                <w:sz w:val="18"/>
              </w:rPr>
              <w:t>43 409,4</w:t>
            </w:r>
          </w:p>
        </w:tc>
        <w:tc>
          <w:tcPr>
            <w:tcW w:w="640" w:type="pct"/>
            <w:tcBorders>
              <w:top w:val="single" w:sz="4" w:space="0" w:color="314364"/>
            </w:tcBorders>
            <w:vAlign w:val="center"/>
          </w:tcPr>
          <w:p w14:paraId="1F2F0B8A" w14:textId="77777777" w:rsidR="00FB0439" w:rsidRPr="00831FB9" w:rsidRDefault="00FB0439" w:rsidP="00FB0439">
            <w:pPr>
              <w:spacing w:after="0" w:line="259" w:lineRule="auto"/>
              <w:jc w:val="right"/>
              <w:rPr>
                <w:b/>
                <w:sz w:val="18"/>
              </w:rPr>
            </w:pPr>
            <w:r w:rsidRPr="00831FB9">
              <w:rPr>
                <w:b/>
                <w:sz w:val="18"/>
              </w:rPr>
              <w:t>44 611,3</w:t>
            </w:r>
          </w:p>
        </w:tc>
        <w:tc>
          <w:tcPr>
            <w:tcW w:w="598" w:type="pct"/>
            <w:tcBorders>
              <w:top w:val="single" w:sz="4" w:space="0" w:color="314364"/>
            </w:tcBorders>
            <w:vAlign w:val="center"/>
          </w:tcPr>
          <w:p w14:paraId="6ADA6268" w14:textId="77777777" w:rsidR="00FB0439" w:rsidRPr="00831FB9" w:rsidRDefault="00FB0439" w:rsidP="00FB0439">
            <w:pPr>
              <w:spacing w:after="0" w:line="259" w:lineRule="auto"/>
              <w:jc w:val="right"/>
              <w:rPr>
                <w:b/>
                <w:sz w:val="18"/>
              </w:rPr>
            </w:pPr>
            <w:r w:rsidRPr="00831FB9">
              <w:rPr>
                <w:b/>
                <w:sz w:val="18"/>
              </w:rPr>
              <w:t>47 182,4</w:t>
            </w:r>
          </w:p>
        </w:tc>
        <w:tc>
          <w:tcPr>
            <w:tcW w:w="1014" w:type="pct"/>
            <w:tcBorders>
              <w:top w:val="single" w:sz="4" w:space="0" w:color="314364"/>
            </w:tcBorders>
            <w:vAlign w:val="center"/>
          </w:tcPr>
          <w:p w14:paraId="56FE0F3D" w14:textId="6627B624" w:rsidR="00FB0439" w:rsidRPr="00831FB9" w:rsidRDefault="00FB0439" w:rsidP="00FB0439">
            <w:pPr>
              <w:tabs>
                <w:tab w:val="left" w:pos="1303"/>
              </w:tabs>
              <w:spacing w:after="0" w:line="259" w:lineRule="auto"/>
              <w:ind w:right="459"/>
              <w:jc w:val="right"/>
              <w:rPr>
                <w:b/>
                <w:sz w:val="18"/>
              </w:rPr>
            </w:pPr>
            <w:r>
              <w:rPr>
                <w:b/>
                <w:sz w:val="18"/>
              </w:rPr>
              <w:t>3 773,0</w:t>
            </w:r>
          </w:p>
        </w:tc>
      </w:tr>
      <w:tr w:rsidR="00FB0439" w14:paraId="5F572BFD" w14:textId="77777777" w:rsidTr="00F0768C">
        <w:trPr>
          <w:trHeight w:val="20"/>
        </w:trPr>
        <w:tc>
          <w:tcPr>
            <w:tcW w:w="1468" w:type="pct"/>
            <w:vAlign w:val="center"/>
          </w:tcPr>
          <w:p w14:paraId="47AC4341" w14:textId="77777777" w:rsidR="00FB0439" w:rsidRPr="00AC02EC" w:rsidRDefault="00FB0439" w:rsidP="00FB0439">
            <w:pPr>
              <w:spacing w:after="0" w:line="259" w:lineRule="auto"/>
              <w:jc w:val="left"/>
              <w:rPr>
                <w:sz w:val="18"/>
              </w:rPr>
            </w:pPr>
            <w:r>
              <w:rPr>
                <w:sz w:val="18"/>
              </w:rPr>
              <w:t>Daňové a poistné príjmy</w:t>
            </w:r>
          </w:p>
        </w:tc>
        <w:tc>
          <w:tcPr>
            <w:tcW w:w="640" w:type="pct"/>
            <w:vAlign w:val="center"/>
          </w:tcPr>
          <w:p w14:paraId="369CF6D8" w14:textId="77777777" w:rsidR="00FB0439" w:rsidRPr="0032280E" w:rsidRDefault="00FB0439" w:rsidP="00FB0439">
            <w:pPr>
              <w:spacing w:after="0" w:line="259" w:lineRule="auto"/>
              <w:jc w:val="right"/>
              <w:rPr>
                <w:sz w:val="18"/>
              </w:rPr>
            </w:pPr>
            <w:r>
              <w:rPr>
                <w:rFonts w:eastAsia="Times New Roman" w:cs="Times New Roman"/>
                <w:sz w:val="18"/>
                <w:szCs w:val="18"/>
                <w:lang w:eastAsia="sk-SK"/>
              </w:rPr>
              <w:t>34 920,8</w:t>
            </w:r>
          </w:p>
        </w:tc>
        <w:tc>
          <w:tcPr>
            <w:tcW w:w="640" w:type="pct"/>
            <w:shd w:val="clear" w:color="auto" w:fill="auto"/>
            <w:vAlign w:val="center"/>
          </w:tcPr>
          <w:p w14:paraId="3EB69B54" w14:textId="77777777" w:rsidR="00FB0439" w:rsidRPr="0032280E" w:rsidRDefault="00FB0439" w:rsidP="00FB0439">
            <w:pPr>
              <w:spacing w:after="0" w:line="259" w:lineRule="auto"/>
              <w:jc w:val="right"/>
              <w:rPr>
                <w:sz w:val="18"/>
              </w:rPr>
            </w:pPr>
            <w:r>
              <w:rPr>
                <w:rFonts w:eastAsia="Times New Roman" w:cs="Times New Roman"/>
                <w:sz w:val="18"/>
                <w:szCs w:val="18"/>
                <w:lang w:eastAsia="sk-SK"/>
              </w:rPr>
              <w:t>35 519,</w:t>
            </w:r>
            <w:r w:rsidRPr="00D14ECD">
              <w:rPr>
                <w:rFonts w:eastAsia="Times New Roman" w:cs="Times New Roman"/>
                <w:sz w:val="18"/>
                <w:szCs w:val="18"/>
                <w:lang w:eastAsia="sk-SK"/>
              </w:rPr>
              <w:t>8</w:t>
            </w:r>
          </w:p>
        </w:tc>
        <w:tc>
          <w:tcPr>
            <w:tcW w:w="640" w:type="pct"/>
            <w:vAlign w:val="center"/>
          </w:tcPr>
          <w:p w14:paraId="7E71BDB4" w14:textId="77777777" w:rsidR="00FB0439" w:rsidRPr="0032280E" w:rsidRDefault="00FB0439" w:rsidP="00FB0439">
            <w:pPr>
              <w:spacing w:after="0" w:line="259" w:lineRule="auto"/>
              <w:jc w:val="right"/>
              <w:rPr>
                <w:sz w:val="18"/>
              </w:rPr>
            </w:pPr>
            <w:r w:rsidRPr="00D14ECD">
              <w:rPr>
                <w:rFonts w:eastAsia="Times New Roman" w:cs="Times New Roman"/>
                <w:sz w:val="18"/>
                <w:szCs w:val="18"/>
                <w:lang w:eastAsia="sk-SK"/>
              </w:rPr>
              <w:t>36</w:t>
            </w:r>
            <w:r>
              <w:rPr>
                <w:rFonts w:eastAsia="Times New Roman" w:cs="Times New Roman"/>
                <w:sz w:val="18"/>
                <w:szCs w:val="18"/>
                <w:lang w:eastAsia="sk-SK"/>
              </w:rPr>
              <w:t> </w:t>
            </w:r>
            <w:r w:rsidRPr="00D14ECD">
              <w:rPr>
                <w:rFonts w:eastAsia="Times New Roman" w:cs="Times New Roman"/>
                <w:sz w:val="18"/>
                <w:szCs w:val="18"/>
                <w:lang w:eastAsia="sk-SK"/>
              </w:rPr>
              <w:t>721</w:t>
            </w:r>
            <w:r>
              <w:rPr>
                <w:rFonts w:eastAsia="Times New Roman" w:cs="Times New Roman"/>
                <w:sz w:val="18"/>
                <w:szCs w:val="18"/>
                <w:lang w:eastAsia="sk-SK"/>
              </w:rPr>
              <w:t>,7</w:t>
            </w:r>
          </w:p>
        </w:tc>
        <w:tc>
          <w:tcPr>
            <w:tcW w:w="598" w:type="pct"/>
            <w:vAlign w:val="center"/>
          </w:tcPr>
          <w:p w14:paraId="6C879A93" w14:textId="77777777" w:rsidR="00FB0439" w:rsidRPr="0032280E" w:rsidRDefault="00FB0439" w:rsidP="00FB0439">
            <w:pPr>
              <w:spacing w:after="0" w:line="259" w:lineRule="auto"/>
              <w:jc w:val="right"/>
              <w:rPr>
                <w:sz w:val="18"/>
              </w:rPr>
            </w:pPr>
            <w:r w:rsidRPr="00D14ECD">
              <w:rPr>
                <w:sz w:val="18"/>
                <w:szCs w:val="18"/>
              </w:rPr>
              <w:t>37</w:t>
            </w:r>
            <w:r>
              <w:rPr>
                <w:sz w:val="18"/>
                <w:szCs w:val="18"/>
              </w:rPr>
              <w:t> </w:t>
            </w:r>
            <w:r w:rsidRPr="00D14ECD">
              <w:rPr>
                <w:sz w:val="18"/>
                <w:szCs w:val="18"/>
              </w:rPr>
              <w:t>801</w:t>
            </w:r>
            <w:r>
              <w:rPr>
                <w:sz w:val="18"/>
                <w:szCs w:val="18"/>
              </w:rPr>
              <w:t>,1</w:t>
            </w:r>
          </w:p>
        </w:tc>
        <w:tc>
          <w:tcPr>
            <w:tcW w:w="1014" w:type="pct"/>
            <w:vAlign w:val="center"/>
          </w:tcPr>
          <w:p w14:paraId="2941E0BB" w14:textId="7A4ACA1A" w:rsidR="00FB0439" w:rsidRPr="0032280E" w:rsidRDefault="00FB0439" w:rsidP="00FB0439">
            <w:pPr>
              <w:tabs>
                <w:tab w:val="left" w:pos="1303"/>
              </w:tabs>
              <w:spacing w:after="0" w:line="259" w:lineRule="auto"/>
              <w:ind w:right="459"/>
              <w:jc w:val="right"/>
              <w:rPr>
                <w:sz w:val="18"/>
              </w:rPr>
            </w:pPr>
            <w:r>
              <w:rPr>
                <w:sz w:val="18"/>
                <w:szCs w:val="18"/>
              </w:rPr>
              <w:t>2 281,3</w:t>
            </w:r>
          </w:p>
        </w:tc>
      </w:tr>
      <w:tr w:rsidR="00FB0439" w:rsidRPr="00325BDA" w14:paraId="499C2EF3" w14:textId="77777777" w:rsidTr="00F0768C">
        <w:trPr>
          <w:trHeight w:val="20"/>
        </w:trPr>
        <w:tc>
          <w:tcPr>
            <w:tcW w:w="1468" w:type="pct"/>
            <w:vAlign w:val="center"/>
          </w:tcPr>
          <w:p w14:paraId="2E3F82BF" w14:textId="77777777" w:rsidR="00FB0439" w:rsidRPr="006F3809" w:rsidRDefault="00FB0439" w:rsidP="00FB0439">
            <w:pPr>
              <w:spacing w:after="0" w:line="259" w:lineRule="auto"/>
              <w:jc w:val="left"/>
              <w:rPr>
                <w:sz w:val="18"/>
              </w:rPr>
            </w:pPr>
            <w:r>
              <w:rPr>
                <w:sz w:val="18"/>
              </w:rPr>
              <w:t>Nedaňové príjmy</w:t>
            </w:r>
          </w:p>
        </w:tc>
        <w:tc>
          <w:tcPr>
            <w:tcW w:w="640" w:type="pct"/>
            <w:vAlign w:val="center"/>
          </w:tcPr>
          <w:p w14:paraId="55879A33"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5</w:t>
            </w:r>
            <w:r>
              <w:rPr>
                <w:rFonts w:eastAsia="Times New Roman" w:cs="Times New Roman"/>
                <w:sz w:val="18"/>
                <w:szCs w:val="18"/>
                <w:lang w:eastAsia="sk-SK"/>
              </w:rPr>
              <w:t> </w:t>
            </w:r>
            <w:r w:rsidRPr="00D14ECD">
              <w:rPr>
                <w:rFonts w:eastAsia="Times New Roman" w:cs="Times New Roman"/>
                <w:sz w:val="18"/>
                <w:szCs w:val="18"/>
                <w:lang w:eastAsia="sk-SK"/>
              </w:rPr>
              <w:t>768</w:t>
            </w:r>
            <w:r>
              <w:rPr>
                <w:rFonts w:eastAsia="Times New Roman" w:cs="Times New Roman"/>
                <w:sz w:val="18"/>
                <w:szCs w:val="18"/>
                <w:lang w:eastAsia="sk-SK"/>
              </w:rPr>
              <w:t>,4</w:t>
            </w:r>
          </w:p>
        </w:tc>
        <w:tc>
          <w:tcPr>
            <w:tcW w:w="640" w:type="pct"/>
            <w:shd w:val="clear" w:color="auto" w:fill="auto"/>
            <w:vAlign w:val="center"/>
          </w:tcPr>
          <w:p w14:paraId="4E3374F0"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5</w:t>
            </w:r>
            <w:r>
              <w:rPr>
                <w:rFonts w:eastAsia="Times New Roman" w:cs="Times New Roman"/>
                <w:sz w:val="18"/>
                <w:szCs w:val="18"/>
                <w:lang w:eastAsia="sk-SK"/>
              </w:rPr>
              <w:t> </w:t>
            </w:r>
            <w:r w:rsidRPr="00D14ECD">
              <w:rPr>
                <w:rFonts w:eastAsia="Times New Roman" w:cs="Times New Roman"/>
                <w:sz w:val="18"/>
                <w:szCs w:val="18"/>
                <w:lang w:eastAsia="sk-SK"/>
              </w:rPr>
              <w:t>283</w:t>
            </w:r>
            <w:r>
              <w:rPr>
                <w:rFonts w:eastAsia="Times New Roman" w:cs="Times New Roman"/>
                <w:sz w:val="18"/>
                <w:szCs w:val="18"/>
                <w:lang w:eastAsia="sk-SK"/>
              </w:rPr>
              <w:t>,</w:t>
            </w:r>
            <w:r w:rsidRPr="00D14ECD">
              <w:rPr>
                <w:rFonts w:eastAsia="Times New Roman" w:cs="Times New Roman"/>
                <w:sz w:val="18"/>
                <w:szCs w:val="18"/>
                <w:lang w:eastAsia="sk-SK"/>
              </w:rPr>
              <w:t>1</w:t>
            </w:r>
          </w:p>
        </w:tc>
        <w:tc>
          <w:tcPr>
            <w:tcW w:w="640" w:type="pct"/>
            <w:vAlign w:val="center"/>
          </w:tcPr>
          <w:p w14:paraId="2719EFEF"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5</w:t>
            </w:r>
            <w:r>
              <w:rPr>
                <w:rFonts w:eastAsia="Times New Roman" w:cs="Times New Roman"/>
                <w:sz w:val="18"/>
                <w:szCs w:val="18"/>
                <w:lang w:eastAsia="sk-SK"/>
              </w:rPr>
              <w:t> </w:t>
            </w:r>
            <w:r w:rsidRPr="00D14ECD">
              <w:rPr>
                <w:rFonts w:eastAsia="Times New Roman" w:cs="Times New Roman"/>
                <w:sz w:val="18"/>
                <w:szCs w:val="18"/>
                <w:lang w:eastAsia="sk-SK"/>
              </w:rPr>
              <w:t>283</w:t>
            </w:r>
            <w:r>
              <w:rPr>
                <w:rFonts w:eastAsia="Times New Roman" w:cs="Times New Roman"/>
                <w:sz w:val="18"/>
                <w:szCs w:val="18"/>
                <w:lang w:eastAsia="sk-SK"/>
              </w:rPr>
              <w:t>,</w:t>
            </w:r>
            <w:r w:rsidRPr="00D14ECD">
              <w:rPr>
                <w:rFonts w:eastAsia="Times New Roman" w:cs="Times New Roman"/>
                <w:sz w:val="18"/>
                <w:szCs w:val="18"/>
                <w:lang w:eastAsia="sk-SK"/>
              </w:rPr>
              <w:t>1</w:t>
            </w:r>
          </w:p>
        </w:tc>
        <w:tc>
          <w:tcPr>
            <w:tcW w:w="598" w:type="pct"/>
            <w:vAlign w:val="center"/>
          </w:tcPr>
          <w:p w14:paraId="29166803" w14:textId="77777777" w:rsidR="00FB0439" w:rsidRPr="006F3809" w:rsidRDefault="00FB0439" w:rsidP="00FB0439">
            <w:pPr>
              <w:spacing w:after="0" w:line="259" w:lineRule="auto"/>
              <w:jc w:val="right"/>
              <w:rPr>
                <w:sz w:val="18"/>
              </w:rPr>
            </w:pPr>
            <w:r w:rsidRPr="00D14ECD">
              <w:rPr>
                <w:sz w:val="18"/>
                <w:szCs w:val="18"/>
              </w:rPr>
              <w:t>6</w:t>
            </w:r>
            <w:r>
              <w:rPr>
                <w:sz w:val="18"/>
                <w:szCs w:val="18"/>
              </w:rPr>
              <w:t> </w:t>
            </w:r>
            <w:r w:rsidRPr="00D14ECD">
              <w:rPr>
                <w:sz w:val="18"/>
                <w:szCs w:val="18"/>
              </w:rPr>
              <w:t>877</w:t>
            </w:r>
            <w:r>
              <w:rPr>
                <w:sz w:val="18"/>
                <w:szCs w:val="18"/>
              </w:rPr>
              <w:t>,</w:t>
            </w:r>
            <w:r w:rsidRPr="00D14ECD">
              <w:rPr>
                <w:sz w:val="18"/>
                <w:szCs w:val="18"/>
              </w:rPr>
              <w:t>1</w:t>
            </w:r>
          </w:p>
        </w:tc>
        <w:tc>
          <w:tcPr>
            <w:tcW w:w="1014" w:type="pct"/>
            <w:vAlign w:val="center"/>
          </w:tcPr>
          <w:p w14:paraId="5BA0F9CE" w14:textId="65FEA795" w:rsidR="00FB0439" w:rsidRPr="006F3809" w:rsidRDefault="00FB0439" w:rsidP="00FB0439">
            <w:pPr>
              <w:tabs>
                <w:tab w:val="left" w:pos="1303"/>
              </w:tabs>
              <w:spacing w:after="0" w:line="259" w:lineRule="auto"/>
              <w:ind w:right="459"/>
              <w:jc w:val="right"/>
              <w:rPr>
                <w:sz w:val="18"/>
              </w:rPr>
            </w:pPr>
            <w:r>
              <w:rPr>
                <w:sz w:val="18"/>
                <w:szCs w:val="18"/>
              </w:rPr>
              <w:t>1 594,0</w:t>
            </w:r>
          </w:p>
        </w:tc>
      </w:tr>
      <w:tr w:rsidR="00FB0439" w:rsidRPr="00325BDA" w14:paraId="1D62CB71" w14:textId="77777777" w:rsidTr="00F0768C">
        <w:trPr>
          <w:trHeight w:val="20"/>
        </w:trPr>
        <w:tc>
          <w:tcPr>
            <w:tcW w:w="1468" w:type="pct"/>
            <w:tcBorders>
              <w:bottom w:val="single" w:sz="4" w:space="0" w:color="314364" w:themeColor="text2"/>
            </w:tcBorders>
            <w:vAlign w:val="center"/>
          </w:tcPr>
          <w:p w14:paraId="07C1F553" w14:textId="77777777" w:rsidR="00FB0439" w:rsidRDefault="00FB0439" w:rsidP="00FB0439">
            <w:pPr>
              <w:spacing w:after="0" w:line="259" w:lineRule="auto"/>
              <w:jc w:val="left"/>
              <w:rPr>
                <w:sz w:val="18"/>
              </w:rPr>
            </w:pPr>
            <w:r>
              <w:rPr>
                <w:sz w:val="18"/>
              </w:rPr>
              <w:t>Granty a transfery</w:t>
            </w:r>
          </w:p>
        </w:tc>
        <w:tc>
          <w:tcPr>
            <w:tcW w:w="640" w:type="pct"/>
            <w:tcBorders>
              <w:bottom w:val="single" w:sz="4" w:space="0" w:color="314364" w:themeColor="text2"/>
            </w:tcBorders>
            <w:vAlign w:val="center"/>
          </w:tcPr>
          <w:p w14:paraId="36ED2AD9"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1</w:t>
            </w:r>
            <w:r>
              <w:rPr>
                <w:rFonts w:eastAsia="Times New Roman" w:cs="Times New Roman"/>
                <w:sz w:val="18"/>
                <w:szCs w:val="18"/>
                <w:lang w:eastAsia="sk-SK"/>
              </w:rPr>
              <w:t> </w:t>
            </w:r>
            <w:r w:rsidRPr="00D14ECD">
              <w:rPr>
                <w:rFonts w:eastAsia="Times New Roman" w:cs="Times New Roman"/>
                <w:sz w:val="18"/>
                <w:szCs w:val="18"/>
                <w:lang w:eastAsia="sk-SK"/>
              </w:rPr>
              <w:t>68</w:t>
            </w:r>
            <w:r>
              <w:rPr>
                <w:rFonts w:eastAsia="Times New Roman" w:cs="Times New Roman"/>
                <w:sz w:val="18"/>
                <w:szCs w:val="18"/>
                <w:lang w:eastAsia="sk-SK"/>
              </w:rPr>
              <w:t>3,0</w:t>
            </w:r>
          </w:p>
        </w:tc>
        <w:tc>
          <w:tcPr>
            <w:tcW w:w="640" w:type="pct"/>
            <w:tcBorders>
              <w:bottom w:val="single" w:sz="4" w:space="0" w:color="314364" w:themeColor="text2"/>
            </w:tcBorders>
            <w:shd w:val="clear" w:color="auto" w:fill="auto"/>
            <w:vAlign w:val="center"/>
          </w:tcPr>
          <w:p w14:paraId="43919B6D"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2</w:t>
            </w:r>
            <w:r>
              <w:rPr>
                <w:rFonts w:eastAsia="Times New Roman" w:cs="Times New Roman"/>
                <w:sz w:val="18"/>
                <w:szCs w:val="18"/>
                <w:lang w:eastAsia="sk-SK"/>
              </w:rPr>
              <w:t> </w:t>
            </w:r>
            <w:r w:rsidRPr="00D14ECD">
              <w:rPr>
                <w:rFonts w:eastAsia="Times New Roman" w:cs="Times New Roman"/>
                <w:sz w:val="18"/>
                <w:szCs w:val="18"/>
                <w:lang w:eastAsia="sk-SK"/>
              </w:rPr>
              <w:t>606</w:t>
            </w:r>
            <w:r>
              <w:rPr>
                <w:rFonts w:eastAsia="Times New Roman" w:cs="Times New Roman"/>
                <w:sz w:val="18"/>
                <w:szCs w:val="18"/>
                <w:lang w:eastAsia="sk-SK"/>
              </w:rPr>
              <w:t>,</w:t>
            </w:r>
            <w:r w:rsidRPr="00D14ECD">
              <w:rPr>
                <w:rFonts w:eastAsia="Times New Roman" w:cs="Times New Roman"/>
                <w:sz w:val="18"/>
                <w:szCs w:val="18"/>
                <w:lang w:eastAsia="sk-SK"/>
              </w:rPr>
              <w:t>5</w:t>
            </w:r>
          </w:p>
        </w:tc>
        <w:tc>
          <w:tcPr>
            <w:tcW w:w="640" w:type="pct"/>
            <w:tcBorders>
              <w:bottom w:val="single" w:sz="4" w:space="0" w:color="314364" w:themeColor="text2"/>
            </w:tcBorders>
            <w:vAlign w:val="center"/>
          </w:tcPr>
          <w:p w14:paraId="44048136"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2</w:t>
            </w:r>
            <w:r>
              <w:rPr>
                <w:rFonts w:eastAsia="Times New Roman" w:cs="Times New Roman"/>
                <w:sz w:val="18"/>
                <w:szCs w:val="18"/>
                <w:lang w:eastAsia="sk-SK"/>
              </w:rPr>
              <w:t> </w:t>
            </w:r>
            <w:r w:rsidRPr="00D14ECD">
              <w:rPr>
                <w:rFonts w:eastAsia="Times New Roman" w:cs="Times New Roman"/>
                <w:sz w:val="18"/>
                <w:szCs w:val="18"/>
                <w:lang w:eastAsia="sk-SK"/>
              </w:rPr>
              <w:t>606</w:t>
            </w:r>
            <w:r>
              <w:rPr>
                <w:rFonts w:eastAsia="Times New Roman" w:cs="Times New Roman"/>
                <w:sz w:val="18"/>
                <w:szCs w:val="18"/>
                <w:lang w:eastAsia="sk-SK"/>
              </w:rPr>
              <w:t>,</w:t>
            </w:r>
            <w:r w:rsidRPr="00D14ECD">
              <w:rPr>
                <w:rFonts w:eastAsia="Times New Roman" w:cs="Times New Roman"/>
                <w:sz w:val="18"/>
                <w:szCs w:val="18"/>
                <w:lang w:eastAsia="sk-SK"/>
              </w:rPr>
              <w:t>5</w:t>
            </w:r>
          </w:p>
        </w:tc>
        <w:tc>
          <w:tcPr>
            <w:tcW w:w="598" w:type="pct"/>
            <w:tcBorders>
              <w:bottom w:val="single" w:sz="4" w:space="0" w:color="314364" w:themeColor="text2"/>
            </w:tcBorders>
            <w:vAlign w:val="center"/>
          </w:tcPr>
          <w:p w14:paraId="7BDDBB92" w14:textId="77777777" w:rsidR="00FB0439" w:rsidRPr="006F3809" w:rsidRDefault="00FB0439" w:rsidP="00FB0439">
            <w:pPr>
              <w:spacing w:after="0" w:line="259" w:lineRule="auto"/>
              <w:jc w:val="right"/>
              <w:rPr>
                <w:sz w:val="18"/>
              </w:rPr>
            </w:pPr>
            <w:r w:rsidRPr="00D14ECD">
              <w:rPr>
                <w:sz w:val="18"/>
                <w:szCs w:val="18"/>
              </w:rPr>
              <w:t>2</w:t>
            </w:r>
            <w:r>
              <w:rPr>
                <w:sz w:val="18"/>
                <w:szCs w:val="18"/>
              </w:rPr>
              <w:t> </w:t>
            </w:r>
            <w:r w:rsidRPr="00D14ECD">
              <w:rPr>
                <w:sz w:val="18"/>
                <w:szCs w:val="18"/>
              </w:rPr>
              <w:t>504</w:t>
            </w:r>
            <w:r>
              <w:rPr>
                <w:sz w:val="18"/>
                <w:szCs w:val="18"/>
              </w:rPr>
              <w:t>,2</w:t>
            </w:r>
          </w:p>
        </w:tc>
        <w:tc>
          <w:tcPr>
            <w:tcW w:w="1014" w:type="pct"/>
            <w:tcBorders>
              <w:bottom w:val="single" w:sz="4" w:space="0" w:color="314364" w:themeColor="text2"/>
            </w:tcBorders>
            <w:vAlign w:val="center"/>
          </w:tcPr>
          <w:p w14:paraId="0471D0C5" w14:textId="60D4BD64" w:rsidR="00FB0439" w:rsidRPr="006F3809" w:rsidRDefault="00FB0439" w:rsidP="00FB0439">
            <w:pPr>
              <w:tabs>
                <w:tab w:val="left" w:pos="1303"/>
              </w:tabs>
              <w:spacing w:after="0" w:line="259" w:lineRule="auto"/>
              <w:ind w:right="459"/>
              <w:jc w:val="right"/>
              <w:rPr>
                <w:sz w:val="18"/>
              </w:rPr>
            </w:pPr>
            <w:r>
              <w:rPr>
                <w:sz w:val="18"/>
                <w:szCs w:val="18"/>
              </w:rPr>
              <w:t>-102,3</w:t>
            </w:r>
          </w:p>
        </w:tc>
      </w:tr>
    </w:tbl>
    <w:p w14:paraId="72237887" w14:textId="21F94330" w:rsidR="009871BC" w:rsidRDefault="009871BC" w:rsidP="009871BC">
      <w:pPr>
        <w:pStyle w:val="Zdroj"/>
      </w:pPr>
      <w:r w:rsidRPr="00AC02EC">
        <w:t xml:space="preserve">Zdroj: </w:t>
      </w:r>
      <w:r>
        <w:t>Návrh ŠZÚ 2022, MF SR</w:t>
      </w:r>
      <w:r w:rsidR="00C87105">
        <w:t>.</w:t>
      </w:r>
    </w:p>
    <w:p w14:paraId="55D3C203" w14:textId="50F19079" w:rsidR="009871BC" w:rsidRDefault="009871BC" w:rsidP="009871BC">
      <w:r>
        <w:t xml:space="preserve">Nedaňové príjmy </w:t>
      </w:r>
      <w:r w:rsidR="00F52AAA">
        <w:t>VS</w:t>
      </w:r>
      <w:r>
        <w:t xml:space="preserve"> boli v roku 2022 oproti rozpočtu vyššie vplyvom vyšších hotovostných nedaňových príjmov o 940 mil. eur a vyšších úprav v súlade s metodikou ESA 2010 o 654 mil. eur. Príjmy boli pozitívne ovplyvnené aj nárastom administratívnych a iných poplatkov o 419,8 mil. eur (najviac u zdravotníckych zariadení o 132,8 mil. eur a Environmentálneho fondu o 83,2 mil. eur).</w:t>
      </w:r>
    </w:p>
    <w:p w14:paraId="381BBD3F" w14:textId="1D639EE6" w:rsidR="0067734B" w:rsidRPr="00BC3CA3" w:rsidRDefault="0067734B" w:rsidP="0067734B">
      <w:pPr>
        <w:pStyle w:val="Popis"/>
        <w:keepNext/>
        <w:rPr>
          <w:color w:val="314364"/>
        </w:rPr>
      </w:pPr>
      <w:r w:rsidRPr="00BC3CA3">
        <w:rPr>
          <w:color w:val="314364"/>
        </w:rPr>
        <w:t>Graf</w:t>
      </w:r>
      <w:r>
        <w:rPr>
          <w:color w:val="314364"/>
        </w:rPr>
        <w:t xml:space="preserve"> 4</w:t>
      </w:r>
      <w:r w:rsidRPr="00BC3CA3">
        <w:rPr>
          <w:color w:val="314364"/>
        </w:rPr>
        <w:t>:</w:t>
      </w:r>
      <w:r>
        <w:rPr>
          <w:color w:val="314364"/>
        </w:rPr>
        <w:t xml:space="preserve"> </w:t>
      </w:r>
      <w:r w:rsidRPr="00121099">
        <w:rPr>
          <w:color w:val="314364"/>
        </w:rPr>
        <w:t xml:space="preserve">Porovnanie </w:t>
      </w:r>
      <w:r w:rsidR="00B513D8" w:rsidRPr="00121099">
        <w:rPr>
          <w:color w:val="314364"/>
        </w:rPr>
        <w:t>prog</w:t>
      </w:r>
      <w:r w:rsidR="00B513D8">
        <w:rPr>
          <w:color w:val="314364"/>
        </w:rPr>
        <w:t>nózy VpD</w:t>
      </w:r>
      <w:r w:rsidR="00B513D8" w:rsidRPr="00AF5A13">
        <w:rPr>
          <w:color w:val="314364"/>
        </w:rPr>
        <w:t xml:space="preserve">P </w:t>
      </w:r>
      <w:r w:rsidRPr="00AF5A13">
        <w:rPr>
          <w:color w:val="314364"/>
        </w:rPr>
        <w:t>a</w:t>
      </w:r>
      <w:r w:rsidR="00B34AD8">
        <w:rPr>
          <w:color w:val="314364"/>
        </w:rPr>
        <w:t xml:space="preserve"> očakávanej </w:t>
      </w:r>
      <w:r w:rsidRPr="00AF5A13">
        <w:rPr>
          <w:color w:val="314364"/>
        </w:rPr>
        <w:t>skutočnosti za rok 20</w:t>
      </w:r>
      <w:r>
        <w:rPr>
          <w:color w:val="314364"/>
        </w:rPr>
        <w:t>22 (v mil. eur)</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67734B" w:rsidRPr="00C75134" w14:paraId="492F9F0A" w14:textId="77777777" w:rsidTr="00211538">
        <w:trPr>
          <w:trHeight w:val="2835"/>
        </w:trPr>
        <w:tc>
          <w:tcPr>
            <w:tcW w:w="9070" w:type="dxa"/>
            <w:tcBorders>
              <w:top w:val="single" w:sz="4" w:space="0" w:color="314364"/>
              <w:bottom w:val="single" w:sz="4" w:space="0" w:color="314364"/>
            </w:tcBorders>
            <w:vAlign w:val="center"/>
          </w:tcPr>
          <w:p w14:paraId="1B37DD40" w14:textId="77777777" w:rsidR="0067734B" w:rsidRPr="00C75134" w:rsidRDefault="0067734B" w:rsidP="00211538">
            <w:pPr>
              <w:spacing w:after="0"/>
              <w:rPr>
                <w:b/>
                <w:color w:val="576431"/>
              </w:rPr>
            </w:pPr>
            <w:r>
              <w:rPr>
                <w:noProof/>
                <w:lang w:eastAsia="sk-SK"/>
              </w:rPr>
              <w:drawing>
                <wp:inline distT="0" distB="0" distL="0" distR="0" wp14:anchorId="5BD5BCD9" wp14:editId="31BAC845">
                  <wp:extent cx="5759450" cy="1767840"/>
                  <wp:effectExtent l="0" t="0" r="0" b="381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42F524B7" w14:textId="21D7FFDC" w:rsidR="0067734B" w:rsidRDefault="0067734B" w:rsidP="00357361">
      <w:pPr>
        <w:pStyle w:val="Zdroj"/>
        <w:jc w:val="both"/>
      </w:pPr>
      <w:r w:rsidRPr="00CD7042">
        <w:t xml:space="preserve">Zdroj: </w:t>
      </w:r>
      <w:r w:rsidR="004B20C0">
        <w:t>Návrh RVS 2022 – 2024</w:t>
      </w:r>
      <w:r w:rsidR="00C87105">
        <w:t xml:space="preserve">, </w:t>
      </w:r>
      <w:r>
        <w:t xml:space="preserve">Návrh </w:t>
      </w:r>
      <w:r w:rsidRPr="00AC02EC">
        <w:t>ŠZÚ</w:t>
      </w:r>
      <w:r>
        <w:t xml:space="preserve"> 2022</w:t>
      </w:r>
      <w:r w:rsidRPr="00AC02EC">
        <w:t xml:space="preserve">, </w:t>
      </w:r>
      <w:r>
        <w:t>MF SR</w:t>
      </w:r>
      <w:r w:rsidR="00C87105">
        <w:t>.</w:t>
      </w:r>
    </w:p>
    <w:p w14:paraId="50A278C7" w14:textId="09126D98" w:rsidR="009871BC" w:rsidRDefault="009871BC" w:rsidP="009871BC">
      <w:r w:rsidRPr="00604C5F">
        <w:rPr>
          <w:b/>
        </w:rPr>
        <w:t>V medzinárodno</w:t>
      </w:r>
      <w:r w:rsidR="00B95BD8">
        <w:rPr>
          <w:b/>
        </w:rPr>
        <w:t>m</w:t>
      </w:r>
      <w:r w:rsidRPr="00604C5F">
        <w:rPr>
          <w:b/>
        </w:rPr>
        <w:t xml:space="preserve"> porovnan</w:t>
      </w:r>
      <w:r w:rsidR="00B95BD8">
        <w:rPr>
          <w:b/>
        </w:rPr>
        <w:t>í</w:t>
      </w:r>
      <w:r w:rsidR="00604C5F">
        <w:rPr>
          <w:b/>
        </w:rPr>
        <w:t xml:space="preserve"> veľkosti</w:t>
      </w:r>
      <w:r w:rsidRPr="00604C5F">
        <w:rPr>
          <w:b/>
        </w:rPr>
        <w:t xml:space="preserve"> príjmov VS</w:t>
      </w:r>
      <w:r w:rsidR="00604C5F">
        <w:rPr>
          <w:b/>
        </w:rPr>
        <w:t xml:space="preserve"> </w:t>
      </w:r>
      <w:r w:rsidRPr="00604C5F">
        <w:rPr>
          <w:b/>
        </w:rPr>
        <w:t>v roku 2022 bolo Slovensko spolu s krajinami V4 pod priemerom EÚ</w:t>
      </w:r>
      <w:r>
        <w:t xml:space="preserve"> (</w:t>
      </w:r>
      <w:r w:rsidR="00604C5F">
        <w:t>graf 5</w:t>
      </w:r>
      <w:r>
        <w:t>). Slovensk</w:t>
      </w:r>
      <w:r w:rsidR="001D528A">
        <w:t>u</w:t>
      </w:r>
      <w:r>
        <w:t xml:space="preserve"> medziročne poklesli príjmy o 0,5 p. b. a dosiahli tak úroveň 40,2 % HDP. Najväčší medziročný pokles príjmov zaznamenalo Dánsko, a to o 4,7 p. b. na 48,6 % HDP.</w:t>
      </w:r>
    </w:p>
    <w:p w14:paraId="0400566B" w14:textId="77777777" w:rsidR="009871BC" w:rsidRPr="00BC3CA3" w:rsidRDefault="009871BC" w:rsidP="009871BC">
      <w:pPr>
        <w:pStyle w:val="Popis"/>
        <w:keepNext/>
        <w:rPr>
          <w:color w:val="314364"/>
        </w:rPr>
      </w:pPr>
      <w:r w:rsidRPr="00BC3CA3">
        <w:rPr>
          <w:color w:val="314364"/>
        </w:rPr>
        <w:lastRenderedPageBreak/>
        <w:t xml:space="preserve">Graf </w:t>
      </w:r>
      <w:r>
        <w:rPr>
          <w:color w:val="314364"/>
        </w:rPr>
        <w:t>5</w:t>
      </w:r>
      <w:r w:rsidRPr="00BC3CA3">
        <w:rPr>
          <w:color w:val="314364"/>
        </w:rPr>
        <w:t>:</w:t>
      </w:r>
      <w:r>
        <w:rPr>
          <w:color w:val="314364"/>
        </w:rPr>
        <w:t xml:space="preserve"> </w:t>
      </w:r>
      <w:r w:rsidRPr="00C55334">
        <w:rPr>
          <w:color w:val="314364"/>
        </w:rPr>
        <w:t>Medzinárodné p</w:t>
      </w:r>
      <w:r>
        <w:rPr>
          <w:color w:val="314364"/>
        </w:rPr>
        <w:t>orovnanie príjmov VS v roku 2022 (% HDP)</w:t>
      </w:r>
    </w:p>
    <w:tbl>
      <w:tblPr>
        <w:tblStyle w:val="Mriekatabuky"/>
        <w:tblW w:w="50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10"/>
      </w:tblGrid>
      <w:tr w:rsidR="009871BC" w:rsidRPr="00C75134" w14:paraId="46D212E4" w14:textId="77777777" w:rsidTr="00F0768C">
        <w:trPr>
          <w:trHeight w:val="2835"/>
        </w:trPr>
        <w:tc>
          <w:tcPr>
            <w:tcW w:w="9193" w:type="dxa"/>
            <w:tcBorders>
              <w:top w:val="single" w:sz="4" w:space="0" w:color="314364"/>
              <w:bottom w:val="single" w:sz="4" w:space="0" w:color="314364"/>
            </w:tcBorders>
            <w:vAlign w:val="center"/>
          </w:tcPr>
          <w:p w14:paraId="1BFFFE78" w14:textId="77777777" w:rsidR="009871BC" w:rsidRPr="00C75134" w:rsidRDefault="009871BC" w:rsidP="00F0768C">
            <w:pPr>
              <w:spacing w:after="0"/>
              <w:rPr>
                <w:b/>
                <w:color w:val="576431"/>
              </w:rPr>
            </w:pPr>
            <w:r>
              <w:rPr>
                <w:noProof/>
                <w:lang w:eastAsia="sk-SK"/>
              </w:rPr>
              <w:drawing>
                <wp:inline distT="0" distB="0" distL="0" distR="0" wp14:anchorId="14A67542" wp14:editId="35D15BEC">
                  <wp:extent cx="5759450" cy="1767840"/>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042B91BE" w14:textId="1121343C" w:rsidR="009871BC" w:rsidRPr="00DE336B" w:rsidRDefault="009871BC" w:rsidP="009871BC">
      <w:pPr>
        <w:pStyle w:val="Zdroj"/>
        <w:spacing w:after="0"/>
        <w:rPr>
          <w:rFonts w:ascii="Ebrima" w:hAnsi="Ebrima"/>
        </w:rPr>
      </w:pPr>
      <w:r w:rsidRPr="00CD7042">
        <w:t xml:space="preserve">Zdroj: </w:t>
      </w:r>
      <w:r>
        <w:t>Eurostat</w:t>
      </w:r>
      <w:r w:rsidR="004B20C0">
        <w:t>.</w:t>
      </w:r>
    </w:p>
    <w:p w14:paraId="5865AAED" w14:textId="057DE381" w:rsidR="001209F4" w:rsidRDefault="002C027A" w:rsidP="002C027A">
      <w:pPr>
        <w:pStyle w:val="Nadpis2"/>
        <w:rPr>
          <w:shd w:val="clear" w:color="auto" w:fill="FFFFFF"/>
        </w:rPr>
      </w:pPr>
      <w:bookmarkStart w:id="8" w:name="_Toc136418388"/>
      <w:r>
        <w:rPr>
          <w:shd w:val="clear" w:color="auto" w:fill="FFFFFF"/>
        </w:rPr>
        <w:t xml:space="preserve">2.3 </w:t>
      </w:r>
      <w:r w:rsidR="001209F4">
        <w:rPr>
          <w:shd w:val="clear" w:color="auto" w:fill="FFFFFF"/>
        </w:rPr>
        <w:t>Výdavky verejnej správy</w:t>
      </w:r>
      <w:bookmarkEnd w:id="8"/>
    </w:p>
    <w:p w14:paraId="3EE827BC" w14:textId="62AF5026" w:rsidR="009871BC" w:rsidRDefault="009871BC" w:rsidP="009871BC">
      <w:r>
        <w:t xml:space="preserve">Bežné výdavky boli oproti </w:t>
      </w:r>
      <w:r w:rsidR="00CF2786">
        <w:t>schválenému</w:t>
      </w:r>
      <w:r>
        <w:t xml:space="preserve"> rozpočtu vyššie o</w:t>
      </w:r>
      <w:r w:rsidR="00CF2786">
        <w:t> 1,</w:t>
      </w:r>
      <w:r>
        <w:t>9 ml</w:t>
      </w:r>
      <w:r w:rsidR="00CF2786">
        <w:t>d</w:t>
      </w:r>
      <w:r>
        <w:t xml:space="preserve">. eur, na čom mali značný podiel </w:t>
      </w:r>
      <w:r w:rsidR="003943B4">
        <w:t xml:space="preserve">výdavky na mzdy </w:t>
      </w:r>
      <w:r>
        <w:t xml:space="preserve">(oproti rozpočtu boli vyššie o 807,5 mil. eur). Pri výdavkoch na mzdy zaznamenali najväčší nárast obce o 214,6 mil. eur, zdravotnícke zariadenia o 178,6 mil. eur a príspevkové organizácie VÚC o 64,8 mil. eur. Najväčšiu zásluhu na náraste mala 500 eurová odmena pre zamestnancov </w:t>
      </w:r>
      <w:r w:rsidR="003943B4">
        <w:t>VS</w:t>
      </w:r>
      <w:r>
        <w:t>.</w:t>
      </w:r>
      <w:r>
        <w:rPr>
          <w:rStyle w:val="Odkaznapoznmkupodiarou"/>
        </w:rPr>
        <w:footnoteReference w:id="6"/>
      </w:r>
    </w:p>
    <w:p w14:paraId="2DBE4BA8" w14:textId="19C242E5" w:rsidR="00921A87" w:rsidRDefault="00921A87" w:rsidP="00921A87">
      <w:r>
        <w:t xml:space="preserve">Kapitálové výdavky klesli oproti </w:t>
      </w:r>
      <w:r w:rsidR="00FB0439">
        <w:t>pôvodne schválenému</w:t>
      </w:r>
      <w:r>
        <w:t xml:space="preserve"> rozpočtu o</w:t>
      </w:r>
      <w:r w:rsidR="00FB0439">
        <w:t> </w:t>
      </w:r>
      <w:r>
        <w:t>1</w:t>
      </w:r>
      <w:r w:rsidR="00FB0439">
        <w:t>,1 m</w:t>
      </w:r>
      <w:r>
        <w:t>l</w:t>
      </w:r>
      <w:r w:rsidR="00FB0439">
        <w:t>d</w:t>
      </w:r>
      <w:r>
        <w:t xml:space="preserve">. eur, pričom najvýraznejší pokles dosiahli štátne rozpočtové organizácie. Výnimkou bol nárast kapitálových výdavkov obcí o 191 mil. eur, Železníc SR o 151,8 mil. eur či verejných vysokých škôl o 45,6 mil. eur (z čoho tvorili výdavky VVŠ na rekonštrukciu a modernizáciu 25,6 mil. eur). </w:t>
      </w:r>
    </w:p>
    <w:p w14:paraId="71FA5CDE" w14:textId="757C2575" w:rsidR="009871BC" w:rsidRDefault="009871BC" w:rsidP="009871BC">
      <w:pPr>
        <w:pStyle w:val="Popis"/>
        <w:keepNext/>
      </w:pPr>
      <w:r>
        <w:t xml:space="preserve">Tabuľka </w:t>
      </w:r>
      <w:fldSimple w:instr=" SEQ Tabuľka \* ARABIC ">
        <w:r w:rsidR="005C3034">
          <w:rPr>
            <w:noProof/>
          </w:rPr>
          <w:t>3</w:t>
        </w:r>
      </w:fldSimple>
      <w:r>
        <w:t>: Vývoj výdavkov VS na akruálnej báze v rokoch 2021 a 2022 (v mil. eur)</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2172"/>
        <w:gridCol w:w="2329"/>
        <w:gridCol w:w="938"/>
        <w:gridCol w:w="974"/>
        <w:gridCol w:w="974"/>
        <w:gridCol w:w="1683"/>
      </w:tblGrid>
      <w:tr w:rsidR="009871BC" w14:paraId="1AB68DD8" w14:textId="77777777" w:rsidTr="00F0768C">
        <w:trPr>
          <w:trHeight w:val="255"/>
        </w:trPr>
        <w:tc>
          <w:tcPr>
            <w:tcW w:w="1197" w:type="pct"/>
            <w:tcBorders>
              <w:bottom w:val="single" w:sz="4" w:space="0" w:color="314364"/>
            </w:tcBorders>
            <w:shd w:val="clear" w:color="auto" w:fill="314364"/>
            <w:vAlign w:val="center"/>
          </w:tcPr>
          <w:p w14:paraId="2CC9A011" w14:textId="77777777" w:rsidR="009871BC" w:rsidRPr="0032280E" w:rsidRDefault="009871BC" w:rsidP="00F0768C">
            <w:pPr>
              <w:spacing w:after="0" w:line="259" w:lineRule="auto"/>
              <w:jc w:val="left"/>
              <w:rPr>
                <w:b/>
                <w:color w:val="FFFFFF" w:themeColor="background1"/>
                <w:sz w:val="18"/>
              </w:rPr>
            </w:pPr>
            <w:r>
              <w:rPr>
                <w:b/>
                <w:color w:val="FFFFFF" w:themeColor="background1"/>
                <w:sz w:val="18"/>
              </w:rPr>
              <w:t>Ukazovateľ</w:t>
            </w:r>
          </w:p>
        </w:tc>
        <w:tc>
          <w:tcPr>
            <w:tcW w:w="1284" w:type="pct"/>
            <w:tcBorders>
              <w:bottom w:val="single" w:sz="4" w:space="0" w:color="314364"/>
            </w:tcBorders>
            <w:shd w:val="clear" w:color="auto" w:fill="314364"/>
            <w:vAlign w:val="center"/>
          </w:tcPr>
          <w:p w14:paraId="4E0E89E9" w14:textId="77777777" w:rsidR="009871BC" w:rsidRDefault="009871BC" w:rsidP="00F0768C">
            <w:pPr>
              <w:spacing w:after="0" w:line="259" w:lineRule="auto"/>
              <w:jc w:val="right"/>
              <w:rPr>
                <w:b/>
                <w:color w:val="FFFFFF" w:themeColor="background1"/>
                <w:sz w:val="18"/>
              </w:rPr>
            </w:pPr>
            <w:r>
              <w:rPr>
                <w:b/>
                <w:color w:val="FFFFFF" w:themeColor="background1"/>
                <w:sz w:val="18"/>
              </w:rPr>
              <w:t>2021 S</w:t>
            </w:r>
          </w:p>
        </w:tc>
        <w:tc>
          <w:tcPr>
            <w:tcW w:w="517" w:type="pct"/>
            <w:tcBorders>
              <w:bottom w:val="single" w:sz="4" w:space="0" w:color="314364"/>
            </w:tcBorders>
            <w:shd w:val="clear" w:color="auto" w:fill="314364"/>
            <w:vAlign w:val="center"/>
          </w:tcPr>
          <w:p w14:paraId="1ECD9267" w14:textId="77777777" w:rsidR="009871BC" w:rsidRPr="0032280E" w:rsidRDefault="009871BC" w:rsidP="00F0768C">
            <w:pPr>
              <w:spacing w:after="0" w:line="259" w:lineRule="auto"/>
              <w:jc w:val="right"/>
              <w:rPr>
                <w:b/>
                <w:color w:val="FFFFFF" w:themeColor="background1"/>
                <w:sz w:val="18"/>
              </w:rPr>
            </w:pPr>
            <w:r>
              <w:rPr>
                <w:b/>
                <w:color w:val="FFFFFF" w:themeColor="background1"/>
                <w:sz w:val="18"/>
              </w:rPr>
              <w:t>2022 R</w:t>
            </w:r>
          </w:p>
        </w:tc>
        <w:tc>
          <w:tcPr>
            <w:tcW w:w="537" w:type="pct"/>
            <w:tcBorders>
              <w:bottom w:val="single" w:sz="4" w:space="0" w:color="314364"/>
            </w:tcBorders>
            <w:shd w:val="clear" w:color="auto" w:fill="314364"/>
            <w:vAlign w:val="center"/>
          </w:tcPr>
          <w:p w14:paraId="4F763C54" w14:textId="77777777" w:rsidR="009871BC" w:rsidRDefault="009871BC" w:rsidP="00F0768C">
            <w:pPr>
              <w:spacing w:after="0" w:line="259" w:lineRule="auto"/>
              <w:jc w:val="right"/>
              <w:rPr>
                <w:b/>
                <w:color w:val="FFFFFF" w:themeColor="background1"/>
                <w:sz w:val="18"/>
              </w:rPr>
            </w:pPr>
            <w:r>
              <w:rPr>
                <w:b/>
                <w:color w:val="FFFFFF" w:themeColor="background1"/>
                <w:sz w:val="18"/>
              </w:rPr>
              <w:t>2022 NR</w:t>
            </w:r>
          </w:p>
        </w:tc>
        <w:tc>
          <w:tcPr>
            <w:tcW w:w="537" w:type="pct"/>
            <w:tcBorders>
              <w:bottom w:val="single" w:sz="4" w:space="0" w:color="314364"/>
            </w:tcBorders>
            <w:shd w:val="clear" w:color="auto" w:fill="314364"/>
            <w:vAlign w:val="center"/>
          </w:tcPr>
          <w:p w14:paraId="05F5443A" w14:textId="77777777" w:rsidR="009871BC" w:rsidRPr="0032280E" w:rsidRDefault="009871BC" w:rsidP="00F0768C">
            <w:pPr>
              <w:spacing w:after="0" w:line="259" w:lineRule="auto"/>
              <w:jc w:val="right"/>
              <w:rPr>
                <w:b/>
                <w:color w:val="FFFFFF" w:themeColor="background1"/>
                <w:sz w:val="18"/>
              </w:rPr>
            </w:pPr>
            <w:r>
              <w:rPr>
                <w:b/>
                <w:color w:val="FFFFFF" w:themeColor="background1"/>
                <w:sz w:val="18"/>
              </w:rPr>
              <w:t>2022 S</w:t>
            </w:r>
          </w:p>
        </w:tc>
        <w:tc>
          <w:tcPr>
            <w:tcW w:w="928" w:type="pct"/>
            <w:tcBorders>
              <w:bottom w:val="single" w:sz="4" w:space="0" w:color="314364"/>
            </w:tcBorders>
            <w:shd w:val="clear" w:color="auto" w:fill="314364"/>
            <w:vAlign w:val="center"/>
          </w:tcPr>
          <w:p w14:paraId="2D471327" w14:textId="13FFAB3B" w:rsidR="009871BC" w:rsidRDefault="009871BC" w:rsidP="00FB0439">
            <w:pPr>
              <w:spacing w:after="0" w:line="259" w:lineRule="auto"/>
              <w:jc w:val="right"/>
              <w:rPr>
                <w:b/>
                <w:color w:val="FFFFFF" w:themeColor="background1"/>
                <w:sz w:val="18"/>
              </w:rPr>
            </w:pPr>
            <w:r>
              <w:rPr>
                <w:b/>
                <w:color w:val="FFFFFF" w:themeColor="background1"/>
                <w:sz w:val="18"/>
              </w:rPr>
              <w:t>2022 S - 2022 R</w:t>
            </w:r>
          </w:p>
        </w:tc>
      </w:tr>
      <w:tr w:rsidR="00FB0439" w14:paraId="0702B308" w14:textId="77777777" w:rsidTr="00F0768C">
        <w:trPr>
          <w:trHeight w:val="255"/>
        </w:trPr>
        <w:tc>
          <w:tcPr>
            <w:tcW w:w="1197" w:type="pct"/>
            <w:tcBorders>
              <w:top w:val="single" w:sz="4" w:space="0" w:color="314364"/>
            </w:tcBorders>
            <w:vAlign w:val="center"/>
          </w:tcPr>
          <w:p w14:paraId="686C66AA" w14:textId="77777777" w:rsidR="00FB0439" w:rsidRPr="00AC02EC" w:rsidRDefault="00FB0439" w:rsidP="00FB0439">
            <w:pPr>
              <w:spacing w:after="0" w:line="259" w:lineRule="auto"/>
              <w:jc w:val="left"/>
              <w:rPr>
                <w:b/>
                <w:sz w:val="18"/>
              </w:rPr>
            </w:pPr>
            <w:r>
              <w:rPr>
                <w:b/>
                <w:sz w:val="18"/>
              </w:rPr>
              <w:t xml:space="preserve">Výdavky spolu </w:t>
            </w:r>
          </w:p>
        </w:tc>
        <w:tc>
          <w:tcPr>
            <w:tcW w:w="1284" w:type="pct"/>
            <w:tcBorders>
              <w:top w:val="single" w:sz="4" w:space="0" w:color="314364"/>
            </w:tcBorders>
            <w:vAlign w:val="center"/>
          </w:tcPr>
          <w:p w14:paraId="21AB87BD" w14:textId="77777777" w:rsidR="00FB0439" w:rsidRPr="00704E0E" w:rsidRDefault="00FB0439" w:rsidP="00FB0439">
            <w:pPr>
              <w:spacing w:after="0" w:line="259" w:lineRule="auto"/>
              <w:jc w:val="right"/>
              <w:rPr>
                <w:b/>
                <w:sz w:val="18"/>
              </w:rPr>
            </w:pPr>
            <w:r w:rsidRPr="00704E0E">
              <w:rPr>
                <w:b/>
                <w:sz w:val="18"/>
              </w:rPr>
              <w:t>47 820,3</w:t>
            </w:r>
          </w:p>
        </w:tc>
        <w:tc>
          <w:tcPr>
            <w:tcW w:w="517" w:type="pct"/>
            <w:tcBorders>
              <w:top w:val="single" w:sz="4" w:space="0" w:color="314364"/>
            </w:tcBorders>
            <w:shd w:val="clear" w:color="auto" w:fill="auto"/>
            <w:vAlign w:val="center"/>
          </w:tcPr>
          <w:p w14:paraId="4C831A6D" w14:textId="77777777" w:rsidR="00FB0439" w:rsidRPr="00704E0E" w:rsidRDefault="00FB0439" w:rsidP="00FB0439">
            <w:pPr>
              <w:spacing w:after="0" w:line="259" w:lineRule="auto"/>
              <w:jc w:val="right"/>
              <w:rPr>
                <w:b/>
                <w:sz w:val="18"/>
              </w:rPr>
            </w:pPr>
            <w:r w:rsidRPr="00704E0E">
              <w:rPr>
                <w:b/>
                <w:sz w:val="18"/>
              </w:rPr>
              <w:t>48 622,8</w:t>
            </w:r>
          </w:p>
        </w:tc>
        <w:tc>
          <w:tcPr>
            <w:tcW w:w="537" w:type="pct"/>
            <w:tcBorders>
              <w:top w:val="single" w:sz="4" w:space="0" w:color="314364"/>
            </w:tcBorders>
            <w:vAlign w:val="center"/>
          </w:tcPr>
          <w:p w14:paraId="5C99AD59" w14:textId="77777777" w:rsidR="00FB0439" w:rsidRPr="00704E0E" w:rsidRDefault="00FB0439" w:rsidP="00FB0439">
            <w:pPr>
              <w:spacing w:after="0" w:line="259" w:lineRule="auto"/>
              <w:jc w:val="right"/>
              <w:rPr>
                <w:b/>
                <w:sz w:val="18"/>
              </w:rPr>
            </w:pPr>
            <w:r w:rsidRPr="00704E0E">
              <w:rPr>
                <w:b/>
                <w:sz w:val="18"/>
              </w:rPr>
              <w:t>50 278,0</w:t>
            </w:r>
          </w:p>
        </w:tc>
        <w:tc>
          <w:tcPr>
            <w:tcW w:w="537" w:type="pct"/>
            <w:tcBorders>
              <w:top w:val="single" w:sz="4" w:space="0" w:color="314364"/>
            </w:tcBorders>
            <w:vAlign w:val="center"/>
          </w:tcPr>
          <w:p w14:paraId="0E9C22CD" w14:textId="77777777" w:rsidR="00FB0439" w:rsidRPr="00704E0E" w:rsidRDefault="00FB0439" w:rsidP="00FB0439">
            <w:pPr>
              <w:spacing w:after="0" w:line="259" w:lineRule="auto"/>
              <w:jc w:val="right"/>
              <w:rPr>
                <w:b/>
                <w:sz w:val="18"/>
              </w:rPr>
            </w:pPr>
            <w:r w:rsidRPr="00704E0E">
              <w:rPr>
                <w:b/>
                <w:sz w:val="18"/>
              </w:rPr>
              <w:t>49 416,1</w:t>
            </w:r>
          </w:p>
        </w:tc>
        <w:tc>
          <w:tcPr>
            <w:tcW w:w="928" w:type="pct"/>
            <w:tcBorders>
              <w:top w:val="single" w:sz="4" w:space="0" w:color="314364"/>
            </w:tcBorders>
            <w:vAlign w:val="center"/>
          </w:tcPr>
          <w:p w14:paraId="16EFC26E" w14:textId="554800EC" w:rsidR="00FB0439" w:rsidRPr="00704E0E" w:rsidRDefault="00FB0439" w:rsidP="00FB0439">
            <w:pPr>
              <w:spacing w:after="0" w:line="259" w:lineRule="auto"/>
              <w:ind w:right="459"/>
              <w:jc w:val="right"/>
              <w:rPr>
                <w:b/>
                <w:sz w:val="18"/>
              </w:rPr>
            </w:pPr>
            <w:r>
              <w:rPr>
                <w:b/>
                <w:sz w:val="18"/>
              </w:rPr>
              <w:t>793,3</w:t>
            </w:r>
          </w:p>
        </w:tc>
      </w:tr>
      <w:tr w:rsidR="00FB0439" w14:paraId="6F4819BF" w14:textId="77777777" w:rsidTr="00F0768C">
        <w:trPr>
          <w:trHeight w:val="255"/>
        </w:trPr>
        <w:tc>
          <w:tcPr>
            <w:tcW w:w="1197" w:type="pct"/>
            <w:vAlign w:val="center"/>
          </w:tcPr>
          <w:p w14:paraId="0D9AEECF" w14:textId="77777777" w:rsidR="00FB0439" w:rsidRPr="00AC02EC" w:rsidRDefault="00FB0439" w:rsidP="00FB0439">
            <w:pPr>
              <w:spacing w:after="0" w:line="259" w:lineRule="auto"/>
              <w:jc w:val="left"/>
              <w:rPr>
                <w:sz w:val="18"/>
              </w:rPr>
            </w:pPr>
            <w:r>
              <w:rPr>
                <w:sz w:val="18"/>
              </w:rPr>
              <w:t>Bežné výdavky</w:t>
            </w:r>
          </w:p>
        </w:tc>
        <w:tc>
          <w:tcPr>
            <w:tcW w:w="1284" w:type="pct"/>
            <w:vAlign w:val="center"/>
          </w:tcPr>
          <w:p w14:paraId="0BC837D2" w14:textId="77777777" w:rsidR="00FB0439" w:rsidRPr="0032280E" w:rsidRDefault="00FB0439" w:rsidP="00FB0439">
            <w:pPr>
              <w:spacing w:after="0" w:line="259" w:lineRule="auto"/>
              <w:jc w:val="right"/>
              <w:rPr>
                <w:sz w:val="18"/>
              </w:rPr>
            </w:pPr>
            <w:r w:rsidRPr="00D14ECD">
              <w:rPr>
                <w:rFonts w:eastAsia="Times New Roman" w:cs="Times New Roman"/>
                <w:sz w:val="18"/>
                <w:szCs w:val="18"/>
                <w:lang w:eastAsia="sk-SK"/>
              </w:rPr>
              <w:t>44</w:t>
            </w:r>
            <w:r>
              <w:rPr>
                <w:rFonts w:eastAsia="Times New Roman" w:cs="Times New Roman"/>
                <w:sz w:val="18"/>
                <w:szCs w:val="18"/>
                <w:lang w:eastAsia="sk-SK"/>
              </w:rPr>
              <w:t> </w:t>
            </w:r>
            <w:r w:rsidRPr="00D14ECD">
              <w:rPr>
                <w:rFonts w:eastAsia="Times New Roman" w:cs="Times New Roman"/>
                <w:sz w:val="18"/>
                <w:szCs w:val="18"/>
                <w:lang w:eastAsia="sk-SK"/>
              </w:rPr>
              <w:t>893</w:t>
            </w:r>
            <w:r>
              <w:rPr>
                <w:rFonts w:eastAsia="Times New Roman" w:cs="Times New Roman"/>
                <w:sz w:val="18"/>
                <w:szCs w:val="18"/>
                <w:lang w:eastAsia="sk-SK"/>
              </w:rPr>
              <w:t>,</w:t>
            </w:r>
            <w:r w:rsidRPr="00D14ECD">
              <w:rPr>
                <w:rFonts w:eastAsia="Times New Roman" w:cs="Times New Roman"/>
                <w:sz w:val="18"/>
                <w:szCs w:val="18"/>
                <w:lang w:eastAsia="sk-SK"/>
              </w:rPr>
              <w:t>6</w:t>
            </w:r>
          </w:p>
        </w:tc>
        <w:tc>
          <w:tcPr>
            <w:tcW w:w="517" w:type="pct"/>
            <w:shd w:val="clear" w:color="auto" w:fill="auto"/>
            <w:vAlign w:val="center"/>
          </w:tcPr>
          <w:p w14:paraId="1B1224BF" w14:textId="77777777" w:rsidR="00FB0439" w:rsidRPr="0032280E" w:rsidRDefault="00FB0439" w:rsidP="00FB0439">
            <w:pPr>
              <w:spacing w:after="0" w:line="259" w:lineRule="auto"/>
              <w:jc w:val="right"/>
              <w:rPr>
                <w:sz w:val="18"/>
              </w:rPr>
            </w:pPr>
            <w:r w:rsidRPr="00D14ECD">
              <w:rPr>
                <w:rFonts w:eastAsia="Times New Roman" w:cs="Times New Roman"/>
                <w:sz w:val="18"/>
                <w:szCs w:val="18"/>
                <w:lang w:eastAsia="sk-SK"/>
              </w:rPr>
              <w:t>44</w:t>
            </w:r>
            <w:r>
              <w:rPr>
                <w:rFonts w:eastAsia="Times New Roman" w:cs="Times New Roman"/>
                <w:sz w:val="18"/>
                <w:szCs w:val="18"/>
                <w:lang w:eastAsia="sk-SK"/>
              </w:rPr>
              <w:t> </w:t>
            </w:r>
            <w:r w:rsidRPr="00D14ECD">
              <w:rPr>
                <w:rFonts w:eastAsia="Times New Roman" w:cs="Times New Roman"/>
                <w:sz w:val="18"/>
                <w:szCs w:val="18"/>
                <w:lang w:eastAsia="sk-SK"/>
              </w:rPr>
              <w:t>071</w:t>
            </w:r>
            <w:r>
              <w:rPr>
                <w:rFonts w:eastAsia="Times New Roman" w:cs="Times New Roman"/>
                <w:sz w:val="18"/>
                <w:szCs w:val="18"/>
                <w:lang w:eastAsia="sk-SK"/>
              </w:rPr>
              <w:t>,</w:t>
            </w:r>
            <w:r w:rsidRPr="00D14ECD">
              <w:rPr>
                <w:rFonts w:eastAsia="Times New Roman" w:cs="Times New Roman"/>
                <w:sz w:val="18"/>
                <w:szCs w:val="18"/>
                <w:lang w:eastAsia="sk-SK"/>
              </w:rPr>
              <w:t>8</w:t>
            </w:r>
          </w:p>
        </w:tc>
        <w:tc>
          <w:tcPr>
            <w:tcW w:w="537" w:type="pct"/>
            <w:vAlign w:val="center"/>
          </w:tcPr>
          <w:p w14:paraId="2218625E" w14:textId="77777777" w:rsidR="00FB0439" w:rsidRPr="0032280E" w:rsidRDefault="00FB0439" w:rsidP="00FB0439">
            <w:pPr>
              <w:spacing w:after="0" w:line="259" w:lineRule="auto"/>
              <w:jc w:val="right"/>
              <w:rPr>
                <w:sz w:val="18"/>
              </w:rPr>
            </w:pPr>
            <w:r w:rsidRPr="00D14ECD">
              <w:rPr>
                <w:rFonts w:eastAsia="Times New Roman" w:cs="Times New Roman"/>
                <w:sz w:val="18"/>
                <w:szCs w:val="18"/>
                <w:lang w:eastAsia="sk-SK"/>
              </w:rPr>
              <w:t>45</w:t>
            </w:r>
            <w:r>
              <w:rPr>
                <w:rFonts w:eastAsia="Times New Roman" w:cs="Times New Roman"/>
                <w:sz w:val="18"/>
                <w:szCs w:val="18"/>
                <w:lang w:eastAsia="sk-SK"/>
              </w:rPr>
              <w:t> </w:t>
            </w:r>
            <w:r w:rsidRPr="00D14ECD">
              <w:rPr>
                <w:rFonts w:eastAsia="Times New Roman" w:cs="Times New Roman"/>
                <w:sz w:val="18"/>
                <w:szCs w:val="18"/>
                <w:lang w:eastAsia="sk-SK"/>
              </w:rPr>
              <w:t>727</w:t>
            </w:r>
            <w:r>
              <w:rPr>
                <w:rFonts w:eastAsia="Times New Roman" w:cs="Times New Roman"/>
                <w:sz w:val="18"/>
                <w:szCs w:val="18"/>
                <w:lang w:eastAsia="sk-SK"/>
              </w:rPr>
              <w:t>,</w:t>
            </w:r>
            <w:r w:rsidRPr="00D14ECD">
              <w:rPr>
                <w:rFonts w:eastAsia="Times New Roman" w:cs="Times New Roman"/>
                <w:sz w:val="18"/>
                <w:szCs w:val="18"/>
                <w:lang w:eastAsia="sk-SK"/>
              </w:rPr>
              <w:t>9</w:t>
            </w:r>
          </w:p>
        </w:tc>
        <w:tc>
          <w:tcPr>
            <w:tcW w:w="537" w:type="pct"/>
            <w:vAlign w:val="center"/>
          </w:tcPr>
          <w:p w14:paraId="1C8285B8" w14:textId="77777777" w:rsidR="00FB0439" w:rsidRPr="0032280E" w:rsidRDefault="00FB0439" w:rsidP="00FB0439">
            <w:pPr>
              <w:spacing w:after="0" w:line="259" w:lineRule="auto"/>
              <w:jc w:val="right"/>
              <w:rPr>
                <w:sz w:val="18"/>
              </w:rPr>
            </w:pPr>
            <w:r w:rsidRPr="00D14ECD">
              <w:rPr>
                <w:sz w:val="18"/>
                <w:szCs w:val="18"/>
              </w:rPr>
              <w:t>45</w:t>
            </w:r>
            <w:r>
              <w:rPr>
                <w:sz w:val="18"/>
                <w:szCs w:val="18"/>
              </w:rPr>
              <w:t> </w:t>
            </w:r>
            <w:r w:rsidRPr="00D14ECD">
              <w:rPr>
                <w:sz w:val="18"/>
                <w:szCs w:val="18"/>
              </w:rPr>
              <w:t>955</w:t>
            </w:r>
            <w:r>
              <w:rPr>
                <w:sz w:val="18"/>
                <w:szCs w:val="18"/>
              </w:rPr>
              <w:t>,</w:t>
            </w:r>
            <w:r w:rsidRPr="00D14ECD">
              <w:rPr>
                <w:sz w:val="18"/>
                <w:szCs w:val="18"/>
              </w:rPr>
              <w:t>8</w:t>
            </w:r>
          </w:p>
        </w:tc>
        <w:tc>
          <w:tcPr>
            <w:tcW w:w="928" w:type="pct"/>
            <w:vAlign w:val="center"/>
          </w:tcPr>
          <w:p w14:paraId="5650A7F4" w14:textId="44EAEAF3" w:rsidR="00FB0439" w:rsidRPr="0032280E" w:rsidRDefault="00FB0439" w:rsidP="00FB0439">
            <w:pPr>
              <w:spacing w:after="0" w:line="259" w:lineRule="auto"/>
              <w:ind w:right="459"/>
              <w:jc w:val="right"/>
              <w:rPr>
                <w:sz w:val="18"/>
              </w:rPr>
            </w:pPr>
            <w:r>
              <w:rPr>
                <w:sz w:val="18"/>
                <w:szCs w:val="18"/>
              </w:rPr>
              <w:t>1 884,0</w:t>
            </w:r>
          </w:p>
        </w:tc>
      </w:tr>
      <w:tr w:rsidR="00FB0439" w:rsidRPr="00325BDA" w14:paraId="28DEA905" w14:textId="77777777" w:rsidTr="00F0768C">
        <w:trPr>
          <w:trHeight w:val="255"/>
        </w:trPr>
        <w:tc>
          <w:tcPr>
            <w:tcW w:w="1197" w:type="pct"/>
            <w:tcBorders>
              <w:bottom w:val="single" w:sz="4" w:space="0" w:color="314364" w:themeColor="text2"/>
            </w:tcBorders>
            <w:vAlign w:val="center"/>
          </w:tcPr>
          <w:p w14:paraId="3C10B9FC" w14:textId="77777777" w:rsidR="00FB0439" w:rsidRPr="006F3809" w:rsidRDefault="00FB0439" w:rsidP="00FB0439">
            <w:pPr>
              <w:spacing w:after="0" w:line="259" w:lineRule="auto"/>
              <w:jc w:val="left"/>
              <w:rPr>
                <w:sz w:val="18"/>
              </w:rPr>
            </w:pPr>
            <w:r>
              <w:rPr>
                <w:sz w:val="18"/>
              </w:rPr>
              <w:t>Kapitálové výdavky</w:t>
            </w:r>
          </w:p>
        </w:tc>
        <w:tc>
          <w:tcPr>
            <w:tcW w:w="1284" w:type="pct"/>
            <w:tcBorders>
              <w:bottom w:val="single" w:sz="4" w:space="0" w:color="314364" w:themeColor="text2"/>
            </w:tcBorders>
            <w:vAlign w:val="center"/>
          </w:tcPr>
          <w:p w14:paraId="68BBCD4A"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2</w:t>
            </w:r>
            <w:r>
              <w:rPr>
                <w:rFonts w:eastAsia="Times New Roman" w:cs="Times New Roman"/>
                <w:sz w:val="18"/>
                <w:szCs w:val="18"/>
                <w:lang w:eastAsia="sk-SK"/>
              </w:rPr>
              <w:t> </w:t>
            </w:r>
            <w:r w:rsidRPr="00D14ECD">
              <w:rPr>
                <w:rFonts w:eastAsia="Times New Roman" w:cs="Times New Roman"/>
                <w:sz w:val="18"/>
                <w:szCs w:val="18"/>
                <w:lang w:eastAsia="sk-SK"/>
              </w:rPr>
              <w:t>926</w:t>
            </w:r>
            <w:r>
              <w:rPr>
                <w:rFonts w:eastAsia="Times New Roman" w:cs="Times New Roman"/>
                <w:sz w:val="18"/>
                <w:szCs w:val="18"/>
                <w:lang w:eastAsia="sk-SK"/>
              </w:rPr>
              <w:t>,</w:t>
            </w:r>
            <w:r w:rsidRPr="00D14ECD">
              <w:rPr>
                <w:rFonts w:eastAsia="Times New Roman" w:cs="Times New Roman"/>
                <w:sz w:val="18"/>
                <w:szCs w:val="18"/>
                <w:lang w:eastAsia="sk-SK"/>
              </w:rPr>
              <w:t>7</w:t>
            </w:r>
          </w:p>
        </w:tc>
        <w:tc>
          <w:tcPr>
            <w:tcW w:w="517" w:type="pct"/>
            <w:tcBorders>
              <w:bottom w:val="single" w:sz="4" w:space="0" w:color="314364" w:themeColor="text2"/>
            </w:tcBorders>
            <w:shd w:val="clear" w:color="auto" w:fill="auto"/>
            <w:vAlign w:val="center"/>
          </w:tcPr>
          <w:p w14:paraId="07BF7A6F"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4</w:t>
            </w:r>
            <w:r>
              <w:rPr>
                <w:rFonts w:eastAsia="Times New Roman" w:cs="Times New Roman"/>
                <w:sz w:val="18"/>
                <w:szCs w:val="18"/>
                <w:lang w:eastAsia="sk-SK"/>
              </w:rPr>
              <w:t> </w:t>
            </w:r>
            <w:r w:rsidRPr="00D14ECD">
              <w:rPr>
                <w:rFonts w:eastAsia="Times New Roman" w:cs="Times New Roman"/>
                <w:sz w:val="18"/>
                <w:szCs w:val="18"/>
                <w:lang w:eastAsia="sk-SK"/>
              </w:rPr>
              <w:t>551</w:t>
            </w:r>
            <w:r>
              <w:rPr>
                <w:rFonts w:eastAsia="Times New Roman" w:cs="Times New Roman"/>
                <w:sz w:val="18"/>
                <w:szCs w:val="18"/>
                <w:lang w:eastAsia="sk-SK"/>
              </w:rPr>
              <w:t>,1</w:t>
            </w:r>
          </w:p>
        </w:tc>
        <w:tc>
          <w:tcPr>
            <w:tcW w:w="537" w:type="pct"/>
            <w:tcBorders>
              <w:bottom w:val="single" w:sz="4" w:space="0" w:color="314364" w:themeColor="text2"/>
            </w:tcBorders>
            <w:vAlign w:val="center"/>
          </w:tcPr>
          <w:p w14:paraId="57C8B30A" w14:textId="77777777" w:rsidR="00FB0439" w:rsidRPr="006F3809" w:rsidRDefault="00FB0439" w:rsidP="00FB0439">
            <w:pPr>
              <w:spacing w:after="0" w:line="259" w:lineRule="auto"/>
              <w:jc w:val="right"/>
              <w:rPr>
                <w:sz w:val="18"/>
              </w:rPr>
            </w:pPr>
            <w:r w:rsidRPr="00D14ECD">
              <w:rPr>
                <w:rFonts w:eastAsia="Times New Roman" w:cs="Times New Roman"/>
                <w:sz w:val="18"/>
                <w:szCs w:val="18"/>
                <w:lang w:eastAsia="sk-SK"/>
              </w:rPr>
              <w:t>4</w:t>
            </w:r>
            <w:r>
              <w:rPr>
                <w:rFonts w:eastAsia="Times New Roman" w:cs="Times New Roman"/>
                <w:sz w:val="18"/>
                <w:szCs w:val="18"/>
                <w:lang w:eastAsia="sk-SK"/>
              </w:rPr>
              <w:t> </w:t>
            </w:r>
            <w:r w:rsidRPr="00D14ECD">
              <w:rPr>
                <w:rFonts w:eastAsia="Times New Roman" w:cs="Times New Roman"/>
                <w:sz w:val="18"/>
                <w:szCs w:val="18"/>
                <w:lang w:eastAsia="sk-SK"/>
              </w:rPr>
              <w:t>550</w:t>
            </w:r>
            <w:r>
              <w:rPr>
                <w:rFonts w:eastAsia="Times New Roman" w:cs="Times New Roman"/>
                <w:sz w:val="18"/>
                <w:szCs w:val="18"/>
                <w:lang w:eastAsia="sk-SK"/>
              </w:rPr>
              <w:t>,1</w:t>
            </w:r>
          </w:p>
        </w:tc>
        <w:tc>
          <w:tcPr>
            <w:tcW w:w="537" w:type="pct"/>
            <w:tcBorders>
              <w:bottom w:val="single" w:sz="4" w:space="0" w:color="314364" w:themeColor="text2"/>
            </w:tcBorders>
            <w:vAlign w:val="center"/>
          </w:tcPr>
          <w:p w14:paraId="498961BF" w14:textId="77777777" w:rsidR="00FB0439" w:rsidRPr="006F3809" w:rsidRDefault="00FB0439" w:rsidP="00FB0439">
            <w:pPr>
              <w:spacing w:after="0" w:line="259" w:lineRule="auto"/>
              <w:jc w:val="right"/>
              <w:rPr>
                <w:sz w:val="18"/>
              </w:rPr>
            </w:pPr>
            <w:r w:rsidRPr="00D14ECD">
              <w:rPr>
                <w:sz w:val="18"/>
                <w:szCs w:val="18"/>
              </w:rPr>
              <w:t>3</w:t>
            </w:r>
            <w:r>
              <w:rPr>
                <w:sz w:val="18"/>
                <w:szCs w:val="18"/>
              </w:rPr>
              <w:t> </w:t>
            </w:r>
            <w:r w:rsidRPr="00D14ECD">
              <w:rPr>
                <w:sz w:val="18"/>
                <w:szCs w:val="18"/>
              </w:rPr>
              <w:t>460</w:t>
            </w:r>
            <w:r>
              <w:rPr>
                <w:sz w:val="18"/>
                <w:szCs w:val="18"/>
              </w:rPr>
              <w:t>,4</w:t>
            </w:r>
          </w:p>
        </w:tc>
        <w:tc>
          <w:tcPr>
            <w:tcW w:w="928" w:type="pct"/>
            <w:tcBorders>
              <w:bottom w:val="single" w:sz="4" w:space="0" w:color="314364" w:themeColor="text2"/>
            </w:tcBorders>
            <w:vAlign w:val="center"/>
          </w:tcPr>
          <w:p w14:paraId="3677B16E" w14:textId="6C45C9F3" w:rsidR="00FB0439" w:rsidRPr="006F3809" w:rsidRDefault="00FB0439" w:rsidP="00FB0439">
            <w:pPr>
              <w:spacing w:after="0" w:line="259" w:lineRule="auto"/>
              <w:ind w:right="459"/>
              <w:jc w:val="right"/>
              <w:rPr>
                <w:sz w:val="18"/>
              </w:rPr>
            </w:pPr>
            <w:r>
              <w:rPr>
                <w:sz w:val="18"/>
                <w:szCs w:val="18"/>
              </w:rPr>
              <w:t>-1 090,7</w:t>
            </w:r>
          </w:p>
        </w:tc>
      </w:tr>
    </w:tbl>
    <w:p w14:paraId="0106F96A" w14:textId="77777777" w:rsidR="009871BC" w:rsidRDefault="009871BC" w:rsidP="009871BC">
      <w:pPr>
        <w:pStyle w:val="Zdroj"/>
      </w:pPr>
      <w:r w:rsidRPr="00AC02EC">
        <w:t xml:space="preserve">Zdroj: </w:t>
      </w:r>
      <w:r>
        <w:t>Návrh ŠZÚ 2022, MF SR</w:t>
      </w:r>
    </w:p>
    <w:p w14:paraId="039B0DC3" w14:textId="00B40070" w:rsidR="009871BC" w:rsidRDefault="009871BC" w:rsidP="009871BC">
      <w:r w:rsidRPr="00604C5F">
        <w:rPr>
          <w:b/>
        </w:rPr>
        <w:t xml:space="preserve">Aj v rámci medzinárodného porovnania </w:t>
      </w:r>
      <w:r w:rsidR="00604C5F">
        <w:rPr>
          <w:b/>
        </w:rPr>
        <w:t xml:space="preserve">objemu </w:t>
      </w:r>
      <w:r w:rsidRPr="00604C5F">
        <w:rPr>
          <w:b/>
        </w:rPr>
        <w:t>výdavkov VS v roku 2022 bola SR spolu s krajinami V4 pod priemerom EÚ</w:t>
      </w:r>
      <w:r>
        <w:t xml:space="preserve"> (</w:t>
      </w:r>
      <w:r w:rsidR="00604C5F">
        <w:t>graf 6</w:t>
      </w:r>
      <w:r>
        <w:t xml:space="preserve">). Medziročne poklesli SR výdavky o 4,5 p. b. a dosiahli tak úroveň 42,3 % HDP. Najväčší medziročný pokles výdavkov </w:t>
      </w:r>
      <w:r w:rsidR="00B513D8">
        <w:t xml:space="preserve">malo </w:t>
      </w:r>
      <w:r>
        <w:t>Dánsko, a to o 5,7 p. b. na 45,3 % HDP.</w:t>
      </w:r>
    </w:p>
    <w:p w14:paraId="6E6B926F" w14:textId="77777777" w:rsidR="009871BC" w:rsidRPr="00BC3CA3" w:rsidRDefault="009871BC" w:rsidP="009871BC">
      <w:pPr>
        <w:pStyle w:val="Popis"/>
        <w:keepNext/>
        <w:rPr>
          <w:color w:val="314364"/>
        </w:rPr>
      </w:pPr>
      <w:r w:rsidRPr="00BC3CA3">
        <w:rPr>
          <w:color w:val="314364"/>
        </w:rPr>
        <w:t xml:space="preserve">Graf </w:t>
      </w:r>
      <w:r>
        <w:rPr>
          <w:color w:val="314364"/>
        </w:rPr>
        <w:t>6</w:t>
      </w:r>
      <w:r w:rsidRPr="00BC3CA3">
        <w:rPr>
          <w:color w:val="314364"/>
        </w:rPr>
        <w:t>:</w:t>
      </w:r>
      <w:r>
        <w:rPr>
          <w:color w:val="314364"/>
        </w:rPr>
        <w:t xml:space="preserve"> </w:t>
      </w:r>
      <w:r w:rsidRPr="00C55334">
        <w:rPr>
          <w:color w:val="314364"/>
        </w:rPr>
        <w:t>Medzinárodné p</w:t>
      </w:r>
      <w:r>
        <w:rPr>
          <w:color w:val="314364"/>
        </w:rPr>
        <w:t>orovnanie výdavkov VS v roku 2022 (% HDP)</w:t>
      </w:r>
    </w:p>
    <w:tbl>
      <w:tblPr>
        <w:tblStyle w:val="Mriekatabuky"/>
        <w:tblW w:w="49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9871BC" w:rsidRPr="00C75134" w14:paraId="623DF834" w14:textId="77777777" w:rsidTr="00F0768C">
        <w:trPr>
          <w:trHeight w:val="2835"/>
        </w:trPr>
        <w:tc>
          <w:tcPr>
            <w:tcW w:w="8994" w:type="dxa"/>
            <w:tcBorders>
              <w:top w:val="single" w:sz="4" w:space="0" w:color="314364"/>
              <w:bottom w:val="single" w:sz="4" w:space="0" w:color="314364"/>
            </w:tcBorders>
            <w:vAlign w:val="center"/>
          </w:tcPr>
          <w:p w14:paraId="2FDD9230" w14:textId="77777777" w:rsidR="009871BC" w:rsidRPr="00C75134" w:rsidRDefault="009871BC" w:rsidP="00F0768C">
            <w:pPr>
              <w:spacing w:after="0"/>
              <w:rPr>
                <w:b/>
                <w:color w:val="576431"/>
              </w:rPr>
            </w:pPr>
            <w:r>
              <w:rPr>
                <w:noProof/>
                <w:lang w:eastAsia="sk-SK"/>
              </w:rPr>
              <w:drawing>
                <wp:inline distT="0" distB="0" distL="0" distR="0" wp14:anchorId="6E892F0A" wp14:editId="1FDE8F64">
                  <wp:extent cx="5759450" cy="179070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7E67C8A4" w14:textId="4F4A89FB" w:rsidR="009871BC" w:rsidRPr="00851B5B" w:rsidRDefault="009871BC" w:rsidP="009871BC">
      <w:pPr>
        <w:pStyle w:val="Zdroj"/>
        <w:rPr>
          <w:rFonts w:ascii="Ebrima" w:hAnsi="Ebrima"/>
        </w:rPr>
      </w:pPr>
      <w:r w:rsidRPr="00CD7042">
        <w:t xml:space="preserve">Zdroj: </w:t>
      </w:r>
      <w:r>
        <w:t>Eurostat</w:t>
      </w:r>
      <w:r w:rsidR="004B20C0">
        <w:t>.</w:t>
      </w:r>
    </w:p>
    <w:p w14:paraId="36A69BFE" w14:textId="34F89855" w:rsidR="001209F4" w:rsidRDefault="002C027A" w:rsidP="002C027A">
      <w:pPr>
        <w:pStyle w:val="Nadpis2"/>
      </w:pPr>
      <w:bookmarkStart w:id="9" w:name="_Toc136418389"/>
      <w:r>
        <w:lastRenderedPageBreak/>
        <w:t xml:space="preserve">2.4 </w:t>
      </w:r>
      <w:r w:rsidR="001209F4">
        <w:t>Dlh verejnej správy</w:t>
      </w:r>
      <w:bookmarkEnd w:id="9"/>
    </w:p>
    <w:p w14:paraId="0AB5F2CD" w14:textId="0FA7F8AB" w:rsidR="00CA41EC" w:rsidRPr="001B5DED" w:rsidRDefault="001B5DED" w:rsidP="00CA41EC">
      <w:pPr>
        <w:pStyle w:val="Zkladntext0"/>
        <w:spacing w:after="120"/>
        <w:jc w:val="both"/>
        <w:rPr>
          <w:rFonts w:ascii="Segoe UI" w:hAnsi="Segoe UI" w:cs="Segoe UI"/>
          <w:sz w:val="20"/>
        </w:rPr>
      </w:pPr>
      <w:r w:rsidRPr="001B5DED">
        <w:rPr>
          <w:rFonts w:ascii="Segoe UI" w:hAnsi="Segoe UI" w:cs="Segoe UI"/>
          <w:b/>
          <w:sz w:val="20"/>
        </w:rPr>
        <w:t>Dlh VS v roku 2022 dosiahol 63,38 mld. eur, čo predstavuje 57,8 % HDP.</w:t>
      </w:r>
      <w:r w:rsidRPr="001B5DED">
        <w:rPr>
          <w:rFonts w:ascii="Segoe UI" w:hAnsi="Segoe UI" w:cs="Segoe UI"/>
          <w:sz w:val="20"/>
        </w:rPr>
        <w:t xml:space="preserve"> Hrubý dlh v pomere </w:t>
      </w:r>
      <w:r w:rsidR="00604C5F">
        <w:rPr>
          <w:rFonts w:ascii="Segoe UI" w:hAnsi="Segoe UI" w:cs="Segoe UI"/>
          <w:sz w:val="20"/>
        </w:rPr>
        <w:t xml:space="preserve">k </w:t>
      </w:r>
      <w:r w:rsidRPr="001B5DED">
        <w:rPr>
          <w:rFonts w:ascii="Segoe UI" w:hAnsi="Segoe UI" w:cs="Segoe UI"/>
          <w:sz w:val="20"/>
        </w:rPr>
        <w:t>HDP sa medziročne znížil o 3,2 p. b.</w:t>
      </w:r>
      <w:r w:rsidR="00604C5F">
        <w:rPr>
          <w:rFonts w:ascii="Segoe UI" w:hAnsi="Segoe UI" w:cs="Segoe UI"/>
          <w:sz w:val="20"/>
        </w:rPr>
        <w:t>,</w:t>
      </w:r>
      <w:r w:rsidRPr="001B5DED">
        <w:rPr>
          <w:rFonts w:ascii="Segoe UI" w:hAnsi="Segoe UI" w:cs="Segoe UI"/>
          <w:sz w:val="20"/>
        </w:rPr>
        <w:t xml:space="preserve"> avšak v nominálnom vyjadrení vzrástol o</w:t>
      </w:r>
      <w:r w:rsidR="00604C5F">
        <w:rPr>
          <w:rFonts w:ascii="Segoe UI" w:hAnsi="Segoe UI" w:cs="Segoe UI"/>
          <w:sz w:val="20"/>
        </w:rPr>
        <w:t> </w:t>
      </w:r>
      <w:r w:rsidRPr="001B5DED">
        <w:rPr>
          <w:rFonts w:ascii="Segoe UI" w:hAnsi="Segoe UI" w:cs="Segoe UI"/>
          <w:sz w:val="20"/>
        </w:rPr>
        <w:t>2</w:t>
      </w:r>
      <w:r w:rsidR="00604C5F">
        <w:rPr>
          <w:rFonts w:ascii="Segoe UI" w:hAnsi="Segoe UI" w:cs="Segoe UI"/>
          <w:sz w:val="20"/>
        </w:rPr>
        <w:t>,1 mld.</w:t>
      </w:r>
      <w:r w:rsidRPr="001B5DED">
        <w:rPr>
          <w:rFonts w:ascii="Segoe UI" w:hAnsi="Segoe UI" w:cs="Segoe UI"/>
          <w:sz w:val="20"/>
        </w:rPr>
        <w:t xml:space="preserve"> eur (</w:t>
      </w:r>
      <w:r w:rsidR="00604C5F">
        <w:rPr>
          <w:rFonts w:ascii="Segoe UI" w:hAnsi="Segoe UI" w:cs="Segoe UI"/>
          <w:sz w:val="20"/>
        </w:rPr>
        <w:t>g</w:t>
      </w:r>
      <w:r w:rsidRPr="001B5DED">
        <w:rPr>
          <w:rFonts w:ascii="Segoe UI" w:hAnsi="Segoe UI" w:cs="Segoe UI"/>
          <w:sz w:val="20"/>
        </w:rPr>
        <w:t>raf</w:t>
      </w:r>
      <w:r w:rsidR="00604C5F">
        <w:rPr>
          <w:rFonts w:ascii="Segoe UI" w:hAnsi="Segoe UI" w:cs="Segoe UI"/>
          <w:sz w:val="20"/>
        </w:rPr>
        <w:t xml:space="preserve"> 7</w:t>
      </w:r>
      <w:r w:rsidRPr="001B5DED">
        <w:rPr>
          <w:rFonts w:ascii="Segoe UI" w:hAnsi="Segoe UI" w:cs="Segoe UI"/>
          <w:sz w:val="20"/>
        </w:rPr>
        <w:t>)</w:t>
      </w:r>
      <w:r w:rsidR="00EB4215">
        <w:rPr>
          <w:rFonts w:ascii="Segoe UI" w:hAnsi="Segoe UI" w:cs="Segoe UI"/>
          <w:sz w:val="20"/>
        </w:rPr>
        <w:t>.</w:t>
      </w:r>
      <w:r w:rsidRPr="001B5DED">
        <w:rPr>
          <w:rFonts w:ascii="Segoe UI" w:hAnsi="Segoe UI" w:cs="Segoe UI"/>
          <w:sz w:val="20"/>
        </w:rPr>
        <w:t xml:space="preserve"> Prognóza na rok 2022 </w:t>
      </w:r>
      <w:r w:rsidR="00604C5F">
        <w:rPr>
          <w:rFonts w:ascii="Segoe UI" w:hAnsi="Segoe UI" w:cs="Segoe UI"/>
          <w:sz w:val="20"/>
        </w:rPr>
        <w:t xml:space="preserve">pôvodne </w:t>
      </w:r>
      <w:r w:rsidRPr="001B5DED">
        <w:rPr>
          <w:rFonts w:ascii="Segoe UI" w:hAnsi="Segoe UI" w:cs="Segoe UI"/>
          <w:sz w:val="20"/>
        </w:rPr>
        <w:t>predpokladala naďalej dlh nad úrovňou 60 % HDP.</w:t>
      </w:r>
      <w:r w:rsidR="00CA41EC" w:rsidRPr="00CA41EC">
        <w:rPr>
          <w:rFonts w:ascii="Segoe UI" w:hAnsi="Segoe UI" w:cs="Segoe UI"/>
          <w:sz w:val="20"/>
        </w:rPr>
        <w:t xml:space="preserve"> </w:t>
      </w:r>
      <w:r w:rsidR="00CA41EC" w:rsidRPr="00521BA5">
        <w:rPr>
          <w:rFonts w:ascii="Segoe UI" w:hAnsi="Segoe UI" w:cs="Segoe UI"/>
          <w:sz w:val="20"/>
        </w:rPr>
        <w:t xml:space="preserve">Pokles </w:t>
      </w:r>
      <w:r w:rsidR="00CA41EC">
        <w:rPr>
          <w:rFonts w:ascii="Segoe UI" w:hAnsi="Segoe UI" w:cs="Segoe UI"/>
          <w:sz w:val="20"/>
        </w:rPr>
        <w:t xml:space="preserve">podielu </w:t>
      </w:r>
      <w:r w:rsidR="00CA41EC" w:rsidRPr="00521BA5">
        <w:rPr>
          <w:rFonts w:ascii="Segoe UI" w:hAnsi="Segoe UI" w:cs="Segoe UI"/>
          <w:sz w:val="20"/>
        </w:rPr>
        <w:t xml:space="preserve">dlhu v porovnaní s pôvodnou prognózou bol </w:t>
      </w:r>
      <w:r w:rsidR="00CA41EC">
        <w:rPr>
          <w:rFonts w:ascii="Segoe UI" w:hAnsi="Segoe UI" w:cs="Segoe UI"/>
          <w:sz w:val="20"/>
        </w:rPr>
        <w:t xml:space="preserve">ovplyvnený </w:t>
      </w:r>
      <w:r w:rsidR="00CA41EC" w:rsidRPr="00521BA5">
        <w:rPr>
          <w:rFonts w:ascii="Segoe UI" w:hAnsi="Segoe UI" w:cs="Segoe UI"/>
          <w:sz w:val="20"/>
        </w:rPr>
        <w:t>najmä nižším defic</w:t>
      </w:r>
      <w:r w:rsidR="00CA41EC">
        <w:rPr>
          <w:rFonts w:ascii="Segoe UI" w:hAnsi="Segoe UI" w:cs="Segoe UI"/>
          <w:sz w:val="20"/>
        </w:rPr>
        <w:t>itom VS, ktorý bol na úrovni 2,04 % HDP.</w:t>
      </w:r>
    </w:p>
    <w:p w14:paraId="3CC702C3" w14:textId="77777777" w:rsidR="00CF2786" w:rsidRDefault="00CF2786" w:rsidP="00CF2786">
      <w:pPr>
        <w:pStyle w:val="Popis"/>
        <w:keepNext/>
        <w:pBdr>
          <w:bottom w:val="single" w:sz="4" w:space="1" w:color="auto"/>
        </w:pBdr>
      </w:pPr>
      <w:r>
        <w:t>Graf 7</w:t>
      </w:r>
      <w:r w:rsidRPr="008F2003">
        <w:t>: Hrubý a čistý dlh VS v rokoch 2008 až 2023 (% HDP)</w:t>
      </w:r>
    </w:p>
    <w:p w14:paraId="39C1C4BD" w14:textId="77777777" w:rsidR="00CF2786" w:rsidRDefault="00CF2786" w:rsidP="00CF2786">
      <w:pPr>
        <w:pStyle w:val="Zkladntext0"/>
        <w:keepNext/>
        <w:spacing w:after="0"/>
        <w:jc w:val="both"/>
      </w:pPr>
      <w:r>
        <w:rPr>
          <w:noProof/>
          <w:lang w:eastAsia="sk-SK"/>
        </w:rPr>
        <w:drawing>
          <wp:inline distT="0" distB="0" distL="0" distR="0" wp14:anchorId="35C4DF15" wp14:editId="5CAEF581">
            <wp:extent cx="5753100" cy="1920240"/>
            <wp:effectExtent l="0" t="0" r="0" b="3810"/>
            <wp:docPr id="39" name="Graf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A54E97" w14:textId="3AF1B550" w:rsidR="00CF2786" w:rsidRDefault="00CF2786" w:rsidP="00CF2786">
      <w:pPr>
        <w:pStyle w:val="Zdroj"/>
        <w:pBdr>
          <w:top w:val="single" w:sz="4" w:space="1" w:color="auto"/>
        </w:pBdr>
      </w:pPr>
      <w:r>
        <w:t>Zdroj</w:t>
      </w:r>
      <w:r w:rsidRPr="00C8042F">
        <w:t>: ŠÚ SR, Program stability na roky 2023 až 2026</w:t>
      </w:r>
      <w:r w:rsidR="0035229D">
        <w:t xml:space="preserve">; </w:t>
      </w:r>
      <w:r w:rsidR="0035229D" w:rsidRPr="00677FFE">
        <w:t>*Odhad MF SR</w:t>
      </w:r>
    </w:p>
    <w:p w14:paraId="00ED962D" w14:textId="06842255" w:rsidR="00CA41EC" w:rsidRDefault="00CA41EC" w:rsidP="00CA41EC">
      <w:pPr>
        <w:pStyle w:val="Zkladntext0"/>
        <w:spacing w:after="120"/>
        <w:jc w:val="both"/>
        <w:rPr>
          <w:rFonts w:ascii="Segoe UI" w:hAnsi="Segoe UI" w:cs="Segoe UI"/>
          <w:sz w:val="20"/>
        </w:rPr>
      </w:pPr>
      <w:r w:rsidRPr="001B5DED">
        <w:rPr>
          <w:rFonts w:ascii="Segoe UI" w:hAnsi="Segoe UI" w:cs="Segoe UI"/>
          <w:b/>
          <w:sz w:val="20"/>
        </w:rPr>
        <w:t xml:space="preserve">Výrazný pokles </w:t>
      </w:r>
      <w:r>
        <w:rPr>
          <w:rFonts w:ascii="Segoe UI" w:hAnsi="Segoe UI" w:cs="Segoe UI"/>
          <w:b/>
          <w:sz w:val="20"/>
        </w:rPr>
        <w:t xml:space="preserve">podielu </w:t>
      </w:r>
      <w:r w:rsidRPr="001B5DED">
        <w:rPr>
          <w:rFonts w:ascii="Segoe UI" w:hAnsi="Segoe UI" w:cs="Segoe UI"/>
          <w:b/>
          <w:sz w:val="20"/>
        </w:rPr>
        <w:t xml:space="preserve">dlhu </w:t>
      </w:r>
      <w:r>
        <w:rPr>
          <w:rFonts w:ascii="Segoe UI" w:hAnsi="Segoe UI" w:cs="Segoe UI"/>
          <w:b/>
          <w:sz w:val="20"/>
        </w:rPr>
        <w:t xml:space="preserve">na HDP </w:t>
      </w:r>
      <w:r w:rsidRPr="001B5DED">
        <w:rPr>
          <w:rFonts w:ascii="Segoe UI" w:hAnsi="Segoe UI" w:cs="Segoe UI"/>
          <w:b/>
          <w:sz w:val="20"/>
        </w:rPr>
        <w:t xml:space="preserve">v minulom roku ovplyvnila najmä vysoká inflácia a nižší schodok </w:t>
      </w:r>
      <w:r>
        <w:rPr>
          <w:rFonts w:ascii="Segoe UI" w:hAnsi="Segoe UI" w:cs="Segoe UI"/>
          <w:b/>
          <w:sz w:val="20"/>
        </w:rPr>
        <w:t>VS</w:t>
      </w:r>
      <w:r w:rsidRPr="001B5DED">
        <w:rPr>
          <w:rFonts w:ascii="Segoe UI" w:hAnsi="Segoe UI" w:cs="Segoe UI"/>
          <w:b/>
          <w:sz w:val="20"/>
        </w:rPr>
        <w:t>.</w:t>
      </w:r>
      <w:r w:rsidRPr="001B5DED">
        <w:rPr>
          <w:rFonts w:ascii="Segoe UI" w:hAnsi="Segoe UI" w:cs="Segoe UI"/>
          <w:sz w:val="20"/>
        </w:rPr>
        <w:t xml:space="preserve"> Nižší deficit VS bol zapríčinený pozitívnym vývojom daňových a odvodových príjmov z dôvodu vysokej inflácie. Pokles schodku ovplyvnili aj nižšie skutočné výdavky štátneho rozpočtu. Napriek zníženiu vkladov subjektov mimo VS v Štátnej pokladnici z 1</w:t>
      </w:r>
      <w:r>
        <w:rPr>
          <w:rFonts w:ascii="Segoe UI" w:hAnsi="Segoe UI" w:cs="Segoe UI"/>
          <w:sz w:val="20"/>
        </w:rPr>
        <w:t>,9 mld.</w:t>
      </w:r>
      <w:r w:rsidRPr="001B5DED">
        <w:rPr>
          <w:rFonts w:ascii="Segoe UI" w:hAnsi="Segoe UI" w:cs="Segoe UI"/>
          <w:sz w:val="20"/>
        </w:rPr>
        <w:t xml:space="preserve"> eur (3 %) v roku 2021 na súčasnú úroveň 197</w:t>
      </w:r>
      <w:r>
        <w:rPr>
          <w:rFonts w:ascii="Segoe UI" w:hAnsi="Segoe UI" w:cs="Segoe UI"/>
          <w:sz w:val="20"/>
        </w:rPr>
        <w:t xml:space="preserve"> mil.</w:t>
      </w:r>
      <w:r w:rsidRPr="001B5DED">
        <w:rPr>
          <w:rFonts w:ascii="Segoe UI" w:hAnsi="Segoe UI" w:cs="Segoe UI"/>
          <w:sz w:val="20"/>
        </w:rPr>
        <w:t xml:space="preserve"> eur (0,3 %), celkový stav likvidity </w:t>
      </w:r>
      <w:r>
        <w:rPr>
          <w:rFonts w:ascii="Segoe UI" w:hAnsi="Segoe UI" w:cs="Segoe UI"/>
          <w:sz w:val="20"/>
        </w:rPr>
        <w:t>VS</w:t>
      </w:r>
      <w:r w:rsidRPr="001B5DED">
        <w:rPr>
          <w:rFonts w:ascii="Segoe UI" w:hAnsi="Segoe UI" w:cs="Segoe UI"/>
          <w:sz w:val="20"/>
        </w:rPr>
        <w:t xml:space="preserve"> pozitívne neprispel k poklesu dlhu. Skutočné využitie naakumulovanej hotovosti na účtoch VS bolo v oveľa menšej miere ako plánované. Na náraste maastrichtského dlhu oproti roku 2021 sa podieľal najmä hotovostný schodok </w:t>
      </w:r>
      <w:r>
        <w:rPr>
          <w:rFonts w:ascii="Segoe UI" w:hAnsi="Segoe UI" w:cs="Segoe UI"/>
          <w:sz w:val="20"/>
        </w:rPr>
        <w:t>ŠR</w:t>
      </w:r>
      <w:r w:rsidRPr="001B5DED">
        <w:rPr>
          <w:rFonts w:ascii="Segoe UI" w:hAnsi="Segoe UI" w:cs="Segoe UI"/>
          <w:sz w:val="20"/>
        </w:rPr>
        <w:t xml:space="preserve"> vo výške 4</w:t>
      </w:r>
      <w:r>
        <w:rPr>
          <w:rFonts w:ascii="Segoe UI" w:hAnsi="Segoe UI" w:cs="Segoe UI"/>
          <w:sz w:val="20"/>
        </w:rPr>
        <w:t>,</w:t>
      </w:r>
      <w:r w:rsidRPr="001B5DED">
        <w:rPr>
          <w:rFonts w:ascii="Segoe UI" w:hAnsi="Segoe UI" w:cs="Segoe UI"/>
          <w:sz w:val="20"/>
        </w:rPr>
        <w:t xml:space="preserve">5 </w:t>
      </w:r>
      <w:r>
        <w:rPr>
          <w:rFonts w:ascii="Segoe UI" w:hAnsi="Segoe UI" w:cs="Segoe UI"/>
          <w:sz w:val="20"/>
        </w:rPr>
        <w:t>mld</w:t>
      </w:r>
      <w:r w:rsidRPr="001B5DED">
        <w:rPr>
          <w:rFonts w:ascii="Segoe UI" w:hAnsi="Segoe UI" w:cs="Segoe UI"/>
          <w:sz w:val="20"/>
        </w:rPr>
        <w:t>. eur. Maastrichtský dlh VS bol financovaný hlavne štátnymi dlhopismi v súhrnnej menovitej hodnote 54</w:t>
      </w:r>
      <w:r>
        <w:rPr>
          <w:rFonts w:ascii="Segoe UI" w:hAnsi="Segoe UI" w:cs="Segoe UI"/>
          <w:sz w:val="20"/>
        </w:rPr>
        <w:t>,</w:t>
      </w:r>
      <w:r w:rsidRPr="001B5DED">
        <w:rPr>
          <w:rFonts w:ascii="Segoe UI" w:hAnsi="Segoe UI" w:cs="Segoe UI"/>
          <w:sz w:val="20"/>
        </w:rPr>
        <w:t xml:space="preserve">8 </w:t>
      </w:r>
      <w:r>
        <w:rPr>
          <w:rFonts w:ascii="Segoe UI" w:hAnsi="Segoe UI" w:cs="Segoe UI"/>
          <w:sz w:val="20"/>
        </w:rPr>
        <w:t>mld</w:t>
      </w:r>
      <w:r w:rsidRPr="001B5DED">
        <w:rPr>
          <w:rFonts w:ascii="Segoe UI" w:hAnsi="Segoe UI" w:cs="Segoe UI"/>
          <w:sz w:val="20"/>
        </w:rPr>
        <w:t>. eur (86,5 %).</w:t>
      </w:r>
    </w:p>
    <w:p w14:paraId="0C4222F9" w14:textId="7BA86BCE" w:rsidR="0035229D" w:rsidRDefault="001B5DED" w:rsidP="0035229D">
      <w:pPr>
        <w:rPr>
          <w:rFonts w:cs="Segoe UI"/>
          <w:szCs w:val="20"/>
        </w:rPr>
      </w:pPr>
      <w:r w:rsidRPr="00715128">
        <w:rPr>
          <w:rFonts w:cs="Segoe UI"/>
          <w:b/>
          <w:szCs w:val="20"/>
        </w:rPr>
        <w:t xml:space="preserve">Aj napriek </w:t>
      </w:r>
      <w:r w:rsidR="0035229D">
        <w:rPr>
          <w:rFonts w:cs="Segoe UI"/>
          <w:b/>
          <w:szCs w:val="20"/>
        </w:rPr>
        <w:t xml:space="preserve">zníženiu podielu </w:t>
      </w:r>
      <w:r w:rsidRPr="00715128">
        <w:rPr>
          <w:rFonts w:cs="Segoe UI"/>
          <w:b/>
          <w:szCs w:val="20"/>
        </w:rPr>
        <w:t xml:space="preserve">dlhu </w:t>
      </w:r>
      <w:r w:rsidR="0035229D">
        <w:rPr>
          <w:rFonts w:cs="Segoe UI"/>
          <w:b/>
          <w:szCs w:val="20"/>
        </w:rPr>
        <w:t xml:space="preserve">na HDP </w:t>
      </w:r>
      <w:r w:rsidRPr="00715128">
        <w:rPr>
          <w:rFonts w:cs="Segoe UI"/>
          <w:b/>
          <w:szCs w:val="20"/>
        </w:rPr>
        <w:t>od roku 2020 zaznamenávame výrazné zhoršenie dlhodobej udržateľnosti verejných financií SR.</w:t>
      </w:r>
      <w:r w:rsidRPr="00181524">
        <w:rPr>
          <w:rFonts w:cs="Segoe UI"/>
          <w:szCs w:val="20"/>
        </w:rPr>
        <w:t xml:space="preserve"> Podľa najnovších údajov Eurostatu indikátor dlhodobej udržateľnosti S2 je v pásme vysokého rizika a z</w:t>
      </w:r>
      <w:r>
        <w:rPr>
          <w:rFonts w:cs="Segoe UI"/>
          <w:szCs w:val="20"/>
        </w:rPr>
        <w:t xml:space="preserve">a rok 2022 dosahuje úroveň 11,3 % </w:t>
      </w:r>
      <w:r w:rsidRPr="00181524">
        <w:rPr>
          <w:rFonts w:cs="Segoe UI"/>
          <w:szCs w:val="20"/>
        </w:rPr>
        <w:t xml:space="preserve">HDP. </w:t>
      </w:r>
      <w:r>
        <w:rPr>
          <w:rFonts w:cs="Segoe UI"/>
          <w:szCs w:val="20"/>
        </w:rPr>
        <w:t xml:space="preserve">Priemer EÚ </w:t>
      </w:r>
      <w:r w:rsidR="00B34AD8">
        <w:rPr>
          <w:rFonts w:cs="Segoe UI"/>
          <w:szCs w:val="20"/>
        </w:rPr>
        <w:t>je na úrovni 2,7 %.</w:t>
      </w:r>
      <w:r w:rsidR="0035229D" w:rsidRPr="0035229D">
        <w:rPr>
          <w:rFonts w:cs="Segoe UI"/>
          <w:szCs w:val="20"/>
        </w:rPr>
        <w:t xml:space="preserve"> </w:t>
      </w:r>
      <w:r w:rsidR="0035229D" w:rsidRPr="002F254B">
        <w:rPr>
          <w:rFonts w:cs="Segoe UI"/>
          <w:szCs w:val="20"/>
        </w:rPr>
        <w:t xml:space="preserve">Podľa výsledkov správy EK o udržateľnosti dlhu </w:t>
      </w:r>
      <w:r w:rsidR="0035229D">
        <w:rPr>
          <w:rFonts w:cs="Segoe UI"/>
          <w:szCs w:val="20"/>
        </w:rPr>
        <w:t xml:space="preserve">sa </w:t>
      </w:r>
      <w:r w:rsidR="0035229D" w:rsidRPr="002F254B">
        <w:rPr>
          <w:rFonts w:cs="Segoe UI"/>
          <w:szCs w:val="20"/>
        </w:rPr>
        <w:t>Slovensko nachádza na poslednom mieste z krajín EÚ.</w:t>
      </w:r>
      <w:r w:rsidR="0035229D">
        <w:rPr>
          <w:rStyle w:val="Odkaznapoznmkupodiarou"/>
          <w:rFonts w:cs="Segoe UI"/>
          <w:szCs w:val="20"/>
        </w:rPr>
        <w:footnoteReference w:id="7"/>
      </w:r>
    </w:p>
    <w:p w14:paraId="37802820" w14:textId="08BA6102" w:rsidR="001B5DED" w:rsidRDefault="00715128" w:rsidP="00715128">
      <w:pPr>
        <w:rPr>
          <w:rFonts w:cs="Segoe UI"/>
          <w:szCs w:val="20"/>
        </w:rPr>
      </w:pPr>
      <w:r w:rsidRPr="00715128">
        <w:rPr>
          <w:rFonts w:cs="Segoe UI"/>
          <w:b/>
          <w:szCs w:val="20"/>
        </w:rPr>
        <w:t>SR dosiahla v porovnaní s priemerom krajín EÚ aj eurozóny lepšie hodnoty deficitu a dlhu.</w:t>
      </w:r>
      <w:r>
        <w:rPr>
          <w:rFonts w:cs="Segoe UI"/>
          <w:szCs w:val="20"/>
        </w:rPr>
        <w:t xml:space="preserve"> </w:t>
      </w:r>
      <w:r w:rsidR="001B5DED" w:rsidRPr="00715128">
        <w:rPr>
          <w:rFonts w:cs="Segoe UI"/>
          <w:szCs w:val="20"/>
        </w:rPr>
        <w:t>Vysoká inflácia v minulom roku mala za následok zníženie hrubého dlhu takmer vo všetkých krajinách EÚ.</w:t>
      </w:r>
      <w:r w:rsidR="001B5DED" w:rsidRPr="00D03969">
        <w:rPr>
          <w:rFonts w:cs="Segoe UI"/>
          <w:szCs w:val="20"/>
        </w:rPr>
        <w:t xml:space="preserve"> Napriek tomu šesť krajín v roku 2022 zaznamenalo zadlženos</w:t>
      </w:r>
      <w:r>
        <w:rPr>
          <w:rFonts w:cs="Segoe UI"/>
          <w:szCs w:val="20"/>
        </w:rPr>
        <w:t>ť</w:t>
      </w:r>
      <w:r w:rsidR="001B5DED" w:rsidRPr="00D03969">
        <w:rPr>
          <w:rFonts w:cs="Segoe UI"/>
          <w:szCs w:val="20"/>
        </w:rPr>
        <w:t xml:space="preserve"> nad 100 % HDP</w:t>
      </w:r>
      <w:r>
        <w:rPr>
          <w:rFonts w:cs="Segoe UI"/>
          <w:szCs w:val="20"/>
        </w:rPr>
        <w:t xml:space="preserve"> (graf 8)</w:t>
      </w:r>
      <w:r w:rsidR="001B5DED" w:rsidRPr="00D03969">
        <w:rPr>
          <w:rFonts w:cs="Segoe UI"/>
          <w:szCs w:val="20"/>
        </w:rPr>
        <w:t xml:space="preserve">. Najvyšší dlh VS v roku 2022 malo Grécko </w:t>
      </w:r>
      <w:r>
        <w:rPr>
          <w:rFonts w:cs="Segoe UI"/>
          <w:szCs w:val="20"/>
        </w:rPr>
        <w:t>(</w:t>
      </w:r>
      <w:r w:rsidR="001B5DED" w:rsidRPr="00D03969">
        <w:rPr>
          <w:rFonts w:cs="Segoe UI"/>
          <w:szCs w:val="20"/>
        </w:rPr>
        <w:t>171,3 % HDP</w:t>
      </w:r>
      <w:r>
        <w:rPr>
          <w:rFonts w:cs="Segoe UI"/>
          <w:szCs w:val="20"/>
        </w:rPr>
        <w:t xml:space="preserve">), </w:t>
      </w:r>
      <w:r w:rsidR="001B5DED" w:rsidRPr="00D03969">
        <w:rPr>
          <w:rFonts w:cs="Segoe UI"/>
          <w:szCs w:val="20"/>
        </w:rPr>
        <w:t xml:space="preserve">najnižší dlh vykázalo Estónsko </w:t>
      </w:r>
      <w:r w:rsidR="0087578A">
        <w:rPr>
          <w:rFonts w:cs="Segoe UI"/>
          <w:szCs w:val="20"/>
        </w:rPr>
        <w:t>(</w:t>
      </w:r>
      <w:r w:rsidR="001B5DED" w:rsidRPr="00D03969">
        <w:rPr>
          <w:rFonts w:cs="Segoe UI"/>
          <w:szCs w:val="20"/>
        </w:rPr>
        <w:t>18,4 % HDP</w:t>
      </w:r>
      <w:r w:rsidR="0087578A">
        <w:rPr>
          <w:rFonts w:cs="Segoe UI"/>
          <w:szCs w:val="20"/>
        </w:rPr>
        <w:t>)</w:t>
      </w:r>
      <w:r w:rsidR="001B5DED">
        <w:rPr>
          <w:rFonts w:cs="Segoe UI"/>
          <w:szCs w:val="20"/>
        </w:rPr>
        <w:t>.</w:t>
      </w:r>
      <w:r w:rsidR="001B5DED" w:rsidRPr="0094546A">
        <w:t xml:space="preserve"> </w:t>
      </w:r>
      <w:r w:rsidR="001B5DED" w:rsidRPr="0094546A">
        <w:rPr>
          <w:rFonts w:cs="Segoe UI"/>
          <w:szCs w:val="20"/>
        </w:rPr>
        <w:t xml:space="preserve">Priemerný schodok EÚ27 bol 3,4 % HDP a priemerný dlh VS </w:t>
      </w:r>
      <w:r w:rsidR="006234BA">
        <w:rPr>
          <w:rFonts w:cs="Segoe UI"/>
          <w:szCs w:val="20"/>
        </w:rPr>
        <w:t>84</w:t>
      </w:r>
      <w:r w:rsidR="001B5DED">
        <w:rPr>
          <w:rFonts w:cs="Segoe UI"/>
          <w:szCs w:val="20"/>
        </w:rPr>
        <w:t xml:space="preserve"> % HDP.</w:t>
      </w:r>
    </w:p>
    <w:p w14:paraId="3D5969CE" w14:textId="77777777" w:rsidR="00CF2786" w:rsidRDefault="00CF2786" w:rsidP="00CF2786">
      <w:pPr>
        <w:pStyle w:val="Popis"/>
        <w:keepNext/>
      </w:pPr>
      <w:r>
        <w:lastRenderedPageBreak/>
        <w:t xml:space="preserve">Graf </w:t>
      </w:r>
      <w:r w:rsidRPr="00715128">
        <w:t>8</w:t>
      </w:r>
      <w:r w:rsidRPr="007F27EE">
        <w:t>: Medzinárodné porovnanie dlhu VS za rok 2022 (% HDP)</w:t>
      </w:r>
    </w:p>
    <w:p w14:paraId="2A3CEB63" w14:textId="77777777" w:rsidR="00CF2786" w:rsidRDefault="00CF2786" w:rsidP="00CF2786">
      <w:pPr>
        <w:pStyle w:val="Zkladntext0"/>
        <w:keepNext/>
        <w:pBdr>
          <w:top w:val="single" w:sz="4" w:space="1" w:color="auto"/>
          <w:bottom w:val="single" w:sz="4" w:space="1" w:color="auto"/>
        </w:pBdr>
        <w:spacing w:after="0" w:line="240" w:lineRule="auto"/>
        <w:jc w:val="both"/>
      </w:pPr>
      <w:r>
        <w:rPr>
          <w:noProof/>
          <w:lang w:eastAsia="sk-SK"/>
        </w:rPr>
        <w:drawing>
          <wp:inline distT="0" distB="0" distL="0" distR="0" wp14:anchorId="08B004B3" wp14:editId="63B10D15">
            <wp:extent cx="5803900" cy="1950720"/>
            <wp:effectExtent l="0" t="0" r="6350" b="0"/>
            <wp:docPr id="49" name="Graf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1F0FD9" w14:textId="0BCE730F" w:rsidR="00CF2786" w:rsidRPr="001B5DED" w:rsidRDefault="00CF2786" w:rsidP="00CF2786">
      <w:pPr>
        <w:pStyle w:val="Popis"/>
        <w:spacing w:after="120"/>
        <w:rPr>
          <w:b w:val="0"/>
          <w:i/>
          <w:iCs w:val="0"/>
          <w:sz w:val="16"/>
          <w:szCs w:val="22"/>
        </w:rPr>
      </w:pPr>
      <w:r w:rsidRPr="001B5DED">
        <w:rPr>
          <w:b w:val="0"/>
          <w:i/>
          <w:iCs w:val="0"/>
          <w:sz w:val="16"/>
          <w:szCs w:val="22"/>
        </w:rPr>
        <w:t>Zdroj: Eurostat</w:t>
      </w:r>
      <w:r w:rsidR="00C87105">
        <w:rPr>
          <w:b w:val="0"/>
          <w:i/>
          <w:iCs w:val="0"/>
          <w:sz w:val="16"/>
          <w:szCs w:val="22"/>
        </w:rPr>
        <w:t>.</w:t>
      </w:r>
    </w:p>
    <w:p w14:paraId="119D993C" w14:textId="55E9C022" w:rsidR="00297510" w:rsidRPr="00B21903" w:rsidRDefault="00297510" w:rsidP="00F467D9">
      <w:pPr>
        <w:rPr>
          <w:rFonts w:cs="Segoe UI"/>
          <w:szCs w:val="20"/>
        </w:rPr>
      </w:pPr>
      <w:r w:rsidRPr="00B21903">
        <w:rPr>
          <w:rFonts w:cs="Segoe UI"/>
          <w:b/>
          <w:szCs w:val="20"/>
        </w:rPr>
        <w:t>Štátny dlh, ktorý je v správe MF SR, dosiahol v menovitej hodnote ku koncu roka 2022 výšku 61 mld. eur.</w:t>
      </w:r>
      <w:r w:rsidRPr="004D2437">
        <w:rPr>
          <w:rFonts w:cs="Segoe UI"/>
          <w:szCs w:val="20"/>
        </w:rPr>
        <w:t xml:space="preserve"> V porovnaní s pred</w:t>
      </w:r>
      <w:r>
        <w:rPr>
          <w:rFonts w:cs="Segoe UI"/>
          <w:szCs w:val="20"/>
        </w:rPr>
        <w:t>chádzajúcim rokom vzrástol o 3,3</w:t>
      </w:r>
      <w:r w:rsidRPr="004D2437">
        <w:rPr>
          <w:rFonts w:cs="Segoe UI"/>
          <w:szCs w:val="20"/>
        </w:rPr>
        <w:t xml:space="preserve"> %. </w:t>
      </w:r>
      <w:r>
        <w:rPr>
          <w:rFonts w:cs="Segoe UI"/>
          <w:szCs w:val="20"/>
        </w:rPr>
        <w:t xml:space="preserve">Zvýšenie štátneho dlhu súviselo </w:t>
      </w:r>
      <w:r w:rsidRPr="004D2437">
        <w:rPr>
          <w:rFonts w:cs="Segoe UI"/>
          <w:szCs w:val="20"/>
        </w:rPr>
        <w:t>najmä s emisiou štátnych dlhopisov v</w:t>
      </w:r>
      <w:r>
        <w:rPr>
          <w:rFonts w:cs="Segoe UI"/>
          <w:szCs w:val="20"/>
        </w:rPr>
        <w:t xml:space="preserve"> súhrnnej hodnote 5,2 mld</w:t>
      </w:r>
      <w:r w:rsidRPr="004D2437">
        <w:rPr>
          <w:rFonts w:cs="Segoe UI"/>
          <w:szCs w:val="20"/>
        </w:rPr>
        <w:t xml:space="preserve">. eur a čerpaním štvrtej </w:t>
      </w:r>
      <w:proofErr w:type="spellStart"/>
      <w:r w:rsidRPr="004D2437">
        <w:rPr>
          <w:rFonts w:cs="Segoe UI"/>
          <w:szCs w:val="20"/>
        </w:rPr>
        <w:t>tranže</w:t>
      </w:r>
      <w:proofErr w:type="spellEnd"/>
      <w:r w:rsidRPr="004D2437">
        <w:rPr>
          <w:rFonts w:cs="Segoe UI"/>
          <w:szCs w:val="20"/>
        </w:rPr>
        <w:t xml:space="preserve"> úveru od Európskej investičnej banky vo výške 100 </w:t>
      </w:r>
      <w:r w:rsidR="00715128">
        <w:rPr>
          <w:rFonts w:cs="Segoe UI"/>
          <w:szCs w:val="20"/>
        </w:rPr>
        <w:t>mil.</w:t>
      </w:r>
      <w:r w:rsidRPr="004D2437">
        <w:rPr>
          <w:rFonts w:cs="Segoe UI"/>
          <w:szCs w:val="20"/>
        </w:rPr>
        <w:t xml:space="preserve"> eur.</w:t>
      </w:r>
      <w:r>
        <w:rPr>
          <w:rFonts w:cs="Segoe UI"/>
          <w:szCs w:val="20"/>
        </w:rPr>
        <w:t xml:space="preserve"> Štátny dlh je </w:t>
      </w:r>
      <w:r w:rsidRPr="004D2437">
        <w:rPr>
          <w:rFonts w:cs="Segoe UI"/>
          <w:szCs w:val="20"/>
        </w:rPr>
        <w:t xml:space="preserve">tvorený </w:t>
      </w:r>
      <w:r>
        <w:rPr>
          <w:rFonts w:cs="Segoe UI"/>
          <w:szCs w:val="20"/>
        </w:rPr>
        <w:t xml:space="preserve">prevažne </w:t>
      </w:r>
      <w:r w:rsidRPr="004D2437">
        <w:rPr>
          <w:rFonts w:cs="Segoe UI"/>
          <w:szCs w:val="20"/>
        </w:rPr>
        <w:t>záväzkami z emisi</w:t>
      </w:r>
      <w:r>
        <w:rPr>
          <w:rFonts w:cs="Segoe UI"/>
          <w:szCs w:val="20"/>
        </w:rPr>
        <w:t>e štátnych dlhopisov (89,6 %)</w:t>
      </w:r>
      <w:r w:rsidR="00715128">
        <w:rPr>
          <w:rFonts w:cs="Segoe UI"/>
          <w:szCs w:val="20"/>
        </w:rPr>
        <w:t>, ale aj</w:t>
      </w:r>
      <w:r>
        <w:rPr>
          <w:rFonts w:cs="Segoe UI"/>
          <w:szCs w:val="20"/>
        </w:rPr>
        <w:t xml:space="preserve"> </w:t>
      </w:r>
      <w:r w:rsidRPr="004D2437">
        <w:rPr>
          <w:rFonts w:cs="Segoe UI"/>
          <w:szCs w:val="20"/>
        </w:rPr>
        <w:t>prijatými bankovými úvermi, záväzkami vyplývajúcimi z vkladov v Štátnej pokladnici, záväzkami z nástroja EFSF</w:t>
      </w:r>
      <w:r>
        <w:rPr>
          <w:rFonts w:cs="Segoe UI"/>
          <w:szCs w:val="20"/>
        </w:rPr>
        <w:t xml:space="preserve"> a zábezpekami.</w:t>
      </w:r>
    </w:p>
    <w:p w14:paraId="2C71C394" w14:textId="03714BA0" w:rsidR="001B5DED" w:rsidRDefault="00297510" w:rsidP="00F467D9">
      <w:pPr>
        <w:rPr>
          <w:rFonts w:cs="Segoe UI"/>
          <w:szCs w:val="20"/>
        </w:rPr>
      </w:pPr>
      <w:r w:rsidRPr="00715128">
        <w:rPr>
          <w:rFonts w:cs="Segoe UI"/>
          <w:b/>
          <w:szCs w:val="20"/>
        </w:rPr>
        <w:t xml:space="preserve">V roku 2022 predstavoval štátny dlh 96,6 % </w:t>
      </w:r>
      <w:r w:rsidR="00A5442A">
        <w:rPr>
          <w:rFonts w:cs="Segoe UI"/>
          <w:b/>
          <w:szCs w:val="20"/>
        </w:rPr>
        <w:t xml:space="preserve">celkového dlhu VS </w:t>
      </w:r>
      <w:r w:rsidRPr="00715128">
        <w:rPr>
          <w:rFonts w:cs="Segoe UI"/>
          <w:b/>
          <w:szCs w:val="20"/>
        </w:rPr>
        <w:t>a dlh ostatných subjektov VS 3,4 %.</w:t>
      </w:r>
      <w:r w:rsidRPr="00B21903">
        <w:rPr>
          <w:rFonts w:cs="Segoe UI"/>
          <w:szCs w:val="20"/>
        </w:rPr>
        <w:t xml:space="preserve"> Rozpočet výdavkov na obsluhu štátneho dlhu (domáceho aj zahraničného) na rok 2022</w:t>
      </w:r>
      <w:r w:rsidR="00D3111D">
        <w:rPr>
          <w:rFonts w:cs="Segoe UI"/>
          <w:szCs w:val="20"/>
        </w:rPr>
        <w:t xml:space="preserve"> v celkovej sume</w:t>
      </w:r>
      <w:r>
        <w:rPr>
          <w:rFonts w:cs="Segoe UI"/>
          <w:szCs w:val="20"/>
        </w:rPr>
        <w:t xml:space="preserve"> </w:t>
      </w:r>
      <w:r w:rsidRPr="00B21903">
        <w:rPr>
          <w:rFonts w:cs="Segoe UI"/>
          <w:szCs w:val="20"/>
        </w:rPr>
        <w:t xml:space="preserve">1,1 mld. eur bol </w:t>
      </w:r>
      <w:r w:rsidR="00D3111D">
        <w:rPr>
          <w:rFonts w:cs="Segoe UI"/>
          <w:szCs w:val="20"/>
        </w:rPr>
        <w:t xml:space="preserve">v priebehu roka takmer vyčerpaný </w:t>
      </w:r>
      <w:r>
        <w:rPr>
          <w:rFonts w:cs="Segoe UI"/>
          <w:szCs w:val="20"/>
        </w:rPr>
        <w:t>(</w:t>
      </w:r>
      <w:r w:rsidR="00715128">
        <w:rPr>
          <w:rFonts w:cs="Segoe UI"/>
          <w:szCs w:val="20"/>
        </w:rPr>
        <w:t>g</w:t>
      </w:r>
      <w:r w:rsidRPr="00B21903">
        <w:rPr>
          <w:rFonts w:cs="Segoe UI"/>
          <w:szCs w:val="20"/>
        </w:rPr>
        <w:t xml:space="preserve">raf </w:t>
      </w:r>
      <w:r w:rsidR="00715128">
        <w:rPr>
          <w:rFonts w:cs="Segoe UI"/>
          <w:szCs w:val="20"/>
        </w:rPr>
        <w:t>9</w:t>
      </w:r>
      <w:r w:rsidRPr="00B21903">
        <w:rPr>
          <w:rFonts w:cs="Segoe UI"/>
          <w:szCs w:val="20"/>
        </w:rPr>
        <w:t>).</w:t>
      </w:r>
    </w:p>
    <w:p w14:paraId="0CEAD9F1" w14:textId="77777777" w:rsidR="00E86AF6" w:rsidRDefault="00E86AF6" w:rsidP="00E86AF6">
      <w:pPr>
        <w:pStyle w:val="Popis"/>
        <w:keepNext/>
        <w:pBdr>
          <w:bottom w:val="single" w:sz="4" w:space="1" w:color="auto"/>
        </w:pBdr>
      </w:pPr>
      <w:r>
        <w:t xml:space="preserve">Graf </w:t>
      </w:r>
      <w:r w:rsidRPr="00715128">
        <w:t>9</w:t>
      </w:r>
      <w:r w:rsidRPr="006F7325">
        <w:t>: Výdavky spojené so správou štátneho dlhu v rokoch 2010 až 2022 (v mil. eur)</w:t>
      </w:r>
    </w:p>
    <w:p w14:paraId="28B7B949" w14:textId="77777777" w:rsidR="00E86AF6" w:rsidRDefault="00E86AF6" w:rsidP="00E86AF6">
      <w:pPr>
        <w:pStyle w:val="Zkladntext0"/>
        <w:keepNext/>
        <w:spacing w:after="0"/>
        <w:jc w:val="both"/>
      </w:pPr>
      <w:r>
        <w:rPr>
          <w:noProof/>
          <w:lang w:eastAsia="sk-SK"/>
        </w:rPr>
        <w:drawing>
          <wp:inline distT="0" distB="0" distL="0" distR="0" wp14:anchorId="1A826146" wp14:editId="16DA75DA">
            <wp:extent cx="5759450" cy="2218055"/>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lang w:eastAsia="sk-SK"/>
        </w:rPr>
        <w:t xml:space="preserve"> </w:t>
      </w:r>
    </w:p>
    <w:p w14:paraId="67E1ACD8" w14:textId="1E81FCF1" w:rsidR="00E86AF6" w:rsidRPr="00C87105" w:rsidRDefault="00E86AF6" w:rsidP="00C87105">
      <w:pPr>
        <w:pStyle w:val="Popis"/>
        <w:pBdr>
          <w:top w:val="single" w:sz="4" w:space="1" w:color="auto"/>
        </w:pBdr>
        <w:rPr>
          <w:b w:val="0"/>
          <w:i/>
          <w:iCs w:val="0"/>
          <w:sz w:val="16"/>
          <w:szCs w:val="22"/>
        </w:rPr>
      </w:pPr>
      <w:r w:rsidRPr="00297510">
        <w:rPr>
          <w:b w:val="0"/>
          <w:i/>
          <w:iCs w:val="0"/>
          <w:sz w:val="16"/>
          <w:szCs w:val="22"/>
        </w:rPr>
        <w:t>Zdroj: MF SR</w:t>
      </w:r>
      <w:r w:rsidR="00C87105">
        <w:rPr>
          <w:b w:val="0"/>
          <w:i/>
          <w:iCs w:val="0"/>
          <w:sz w:val="16"/>
          <w:szCs w:val="22"/>
        </w:rPr>
        <w:t>.</w:t>
      </w:r>
    </w:p>
    <w:p w14:paraId="45D5488E" w14:textId="1F03CDFE" w:rsidR="000D05F7" w:rsidRDefault="001209F4" w:rsidP="002C027A">
      <w:pPr>
        <w:pStyle w:val="Nadpis1"/>
      </w:pPr>
      <w:bookmarkStart w:id="10" w:name="_Toc136418390"/>
      <w:r>
        <w:lastRenderedPageBreak/>
        <w:t>Hospodárenie štátneho rozpočtu na hotovostnej báze</w:t>
      </w:r>
      <w:bookmarkEnd w:id="10"/>
    </w:p>
    <w:p w14:paraId="74FAD3E4" w14:textId="0607C1B7" w:rsidR="00720E6F" w:rsidRDefault="00720E6F" w:rsidP="00720E6F">
      <w:r>
        <w:t>Návrh ŠZÚ SR za rok 2022</w:t>
      </w:r>
      <w:r w:rsidRPr="00B23AEB">
        <w:rPr>
          <w:vertAlign w:val="superscript"/>
        </w:rPr>
        <w:footnoteReference w:id="8"/>
      </w:r>
      <w:r w:rsidRPr="00B23AEB">
        <w:t xml:space="preserve"> obsahuje aj údaje o príjmoch, výdavkoch a výsledku rozpočtového hospodárenia ŠR na hotovostnom princípe. </w:t>
      </w:r>
      <w:r>
        <w:t xml:space="preserve">Rozpočet VS na roky 2022 až 2024 bol pripravovaný v podmienkach pokračujúcej pandémie ochorenia COVID-19 a neistoty ohľadom jej budúceho vývoja. Rozpočet bol zostavený so zreteľom na prihlásenie sa Slovenska </w:t>
      </w:r>
      <w:r w:rsidR="002E3294">
        <w:t>do</w:t>
      </w:r>
      <w:r>
        <w:t xml:space="preserve"> klubu ôsmich krajín EÚ, ktoré presadzujú, aby členské štáty v prvom rade mysleli na zdravie svojich verejných financií a znižovali verejný dlh, ktorý vznikol počas koronakrízy. Zároveň mal vytvárať priestor na štrukturálne opatrenia a plnenie cieľov, ku ktorým sa vláda zaviazala vo svojom programovom vyhlásení. Zahŕňal aj zdroje pre rozvoj ekonomiky formou investícií najmä v oblasti štrukturálnych fondov EÚ a zdrojov POO na historicky najvyššej úrovni takmer 6 mld. eur.</w:t>
      </w:r>
      <w:r w:rsidR="001A5A7E" w:rsidRPr="001A5A7E">
        <w:t xml:space="preserve"> Ďalšou výzvou pre hospodárenie rozpočtu </w:t>
      </w:r>
      <w:r w:rsidR="001A5A7E">
        <w:t xml:space="preserve">v roku 2022 </w:t>
      </w:r>
      <w:r w:rsidR="001A5A7E" w:rsidRPr="001A5A7E">
        <w:t>bol konflikt na Ukrajine, s ktorým sa pri jeho zostavovaní nepočítalo, avšak ovplyvnil jeho plnenie aj čerpanie.</w:t>
      </w:r>
    </w:p>
    <w:p w14:paraId="58461457" w14:textId="59E1AF9E" w:rsidR="00422249" w:rsidRDefault="002C027A" w:rsidP="002C027A">
      <w:pPr>
        <w:pStyle w:val="Nadpis2"/>
      </w:pPr>
      <w:bookmarkStart w:id="11" w:name="_Toc136418391"/>
      <w:r>
        <w:t xml:space="preserve">3.1 </w:t>
      </w:r>
      <w:r w:rsidR="001209F4">
        <w:t>Základné rozpočtové ukazovatele</w:t>
      </w:r>
      <w:bookmarkEnd w:id="11"/>
    </w:p>
    <w:p w14:paraId="4435CAC6" w14:textId="34107F86" w:rsidR="001551E5" w:rsidRDefault="001551E5" w:rsidP="001551E5">
      <w:pPr>
        <w:rPr>
          <w:rFonts w:cs="Segoe UI"/>
          <w:szCs w:val="20"/>
        </w:rPr>
      </w:pPr>
      <w:r w:rsidRPr="001551E5">
        <w:rPr>
          <w:b/>
        </w:rPr>
        <w:t>Rozpočtové hospodárenie SR bolo v roku 2022 ovplyvnené najmä schválením novely zákona o ŠR na rok 2022.</w:t>
      </w:r>
      <w:r>
        <w:t xml:space="preserve"> </w:t>
      </w:r>
      <w:r w:rsidRPr="00867A3A">
        <w:rPr>
          <w:rFonts w:cs="Segoe UI"/>
          <w:szCs w:val="20"/>
        </w:rPr>
        <w:t xml:space="preserve">Účelom </w:t>
      </w:r>
      <w:r>
        <w:rPr>
          <w:rFonts w:cs="Segoe UI"/>
          <w:szCs w:val="20"/>
        </w:rPr>
        <w:t xml:space="preserve">novely </w:t>
      </w:r>
      <w:r w:rsidRPr="00867A3A">
        <w:rPr>
          <w:rFonts w:cs="Segoe UI"/>
          <w:szCs w:val="20"/>
        </w:rPr>
        <w:t xml:space="preserve">bolo </w:t>
      </w:r>
      <w:r>
        <w:rPr>
          <w:rFonts w:cs="Segoe UI"/>
          <w:szCs w:val="20"/>
        </w:rPr>
        <w:t xml:space="preserve">zohľadniť rast daňových príjmov v septembrovej prognóze VpDP vo výške 1,5 mld. eur a zvýšiť celkové výdavky ŠR o túto sumu </w:t>
      </w:r>
      <w:r>
        <w:t xml:space="preserve">v reakcii na prudký nárast cien energií, výrazný nárast inflácie, vojenský konflikt na Ukrajine, ako aj kvôli zabezpečeniu zvýšených finančných nákladov súvisiacich s výrazným  rastom cien tovarov a služieb pre poberateľov dôchodkových dávok. </w:t>
      </w:r>
    </w:p>
    <w:p w14:paraId="5EB0F1A8" w14:textId="70D7171A" w:rsidR="001551E5" w:rsidRDefault="006F5D6F" w:rsidP="001551E5">
      <w:pPr>
        <w:rPr>
          <w:rFonts w:eastAsia="Calibri" w:cs="Segoe UI"/>
          <w:szCs w:val="20"/>
        </w:rPr>
      </w:pPr>
      <w:r>
        <w:rPr>
          <w:rFonts w:eastAsia="Times New Roman"/>
          <w:b/>
          <w:lang w:eastAsia="sk-SK"/>
        </w:rPr>
        <w:t>H</w:t>
      </w:r>
      <w:r w:rsidRPr="007C7D12">
        <w:rPr>
          <w:rFonts w:eastAsia="Times New Roman"/>
          <w:b/>
          <w:lang w:eastAsia="sk-SK"/>
        </w:rPr>
        <w:t>lavnou príčinou zvyšovania štátneho dlhu</w:t>
      </w:r>
      <w:r>
        <w:rPr>
          <w:rFonts w:eastAsia="Times New Roman"/>
          <w:b/>
          <w:lang w:eastAsia="sk-SK"/>
        </w:rPr>
        <w:t xml:space="preserve"> VS v roku 2022 bol, rovnako ako v roku 2021, hotovostný schodok ŠR, aj n</w:t>
      </w:r>
      <w:r w:rsidRPr="007C7D12">
        <w:rPr>
          <w:rFonts w:eastAsia="Times New Roman"/>
          <w:b/>
          <w:lang w:eastAsia="sk-SK"/>
        </w:rPr>
        <w:t xml:space="preserve">apriek </w:t>
      </w:r>
      <w:r>
        <w:rPr>
          <w:rFonts w:eastAsia="Times New Roman"/>
          <w:b/>
          <w:lang w:eastAsia="sk-SK"/>
        </w:rPr>
        <w:t xml:space="preserve">tomu, že bol medziročne </w:t>
      </w:r>
      <w:r w:rsidRPr="007C7D12">
        <w:rPr>
          <w:rFonts w:eastAsia="Times New Roman"/>
          <w:b/>
          <w:lang w:eastAsia="sk-SK"/>
        </w:rPr>
        <w:t>nižš</w:t>
      </w:r>
      <w:r>
        <w:rPr>
          <w:rFonts w:eastAsia="Times New Roman"/>
          <w:b/>
          <w:lang w:eastAsia="sk-SK"/>
        </w:rPr>
        <w:t>í</w:t>
      </w:r>
      <w:r w:rsidRPr="007C7D12">
        <w:rPr>
          <w:rFonts w:eastAsia="Times New Roman"/>
          <w:b/>
          <w:lang w:eastAsia="sk-SK"/>
        </w:rPr>
        <w:t>.</w:t>
      </w:r>
      <w:r w:rsidRPr="005B5DE4">
        <w:t xml:space="preserve"> </w:t>
      </w:r>
      <w:r w:rsidR="005B5DE4" w:rsidRPr="007C7D12">
        <w:t xml:space="preserve">Schodok ŠR dosiahol v roku 2022 výšku 4,5 mld. eur a medziročne bol nižší o 2,5 </w:t>
      </w:r>
      <w:r w:rsidR="005B5DE4">
        <w:t xml:space="preserve">mld. </w:t>
      </w:r>
      <w:r w:rsidR="005B5DE4" w:rsidRPr="007C7D12">
        <w:rPr>
          <w:rFonts w:eastAsia="Times New Roman"/>
          <w:lang w:eastAsia="sk-SK"/>
        </w:rPr>
        <w:t xml:space="preserve">eur (35,5 %). </w:t>
      </w:r>
      <w:r w:rsidR="005B5DE4">
        <w:rPr>
          <w:rFonts w:eastAsia="Times New Roman"/>
          <w:lang w:eastAsia="sk-SK"/>
        </w:rPr>
        <w:t>K</w:t>
      </w:r>
      <w:r w:rsidR="005B5DE4" w:rsidRPr="007C7D12">
        <w:rPr>
          <w:rFonts w:eastAsia="Calibri" w:cs="Segoe UI"/>
          <w:szCs w:val="20"/>
        </w:rPr>
        <w:t> </w:t>
      </w:r>
      <w:r w:rsidR="005B5DE4">
        <w:rPr>
          <w:rFonts w:eastAsia="Calibri" w:cs="Segoe UI"/>
          <w:szCs w:val="20"/>
        </w:rPr>
        <w:t>zníženiu</w:t>
      </w:r>
      <w:r w:rsidR="005B5DE4" w:rsidRPr="007C7D12">
        <w:rPr>
          <w:rFonts w:eastAsia="Calibri" w:cs="Segoe UI"/>
          <w:szCs w:val="20"/>
        </w:rPr>
        <w:t xml:space="preserve"> s</w:t>
      </w:r>
      <w:r w:rsidR="005B5DE4" w:rsidRPr="007C7D12">
        <w:t>chodku ŠR</w:t>
      </w:r>
      <w:r w:rsidR="000E57A9">
        <w:t xml:space="preserve"> prispeli</w:t>
      </w:r>
      <w:r w:rsidR="005B5DE4">
        <w:t xml:space="preserve"> </w:t>
      </w:r>
      <w:r w:rsidR="000E57A9">
        <w:t xml:space="preserve">najmä </w:t>
      </w:r>
      <w:r w:rsidR="005B5DE4">
        <w:t xml:space="preserve">príjmy ŠR, ktoré boli medziročne vyššie </w:t>
      </w:r>
      <w:r w:rsidR="001551E5" w:rsidRPr="005B5DE4">
        <w:rPr>
          <w:rFonts w:eastAsia="Calibri" w:cs="Segoe UI"/>
          <w:szCs w:val="20"/>
        </w:rPr>
        <w:t>o </w:t>
      </w:r>
      <w:r w:rsidR="001551E5" w:rsidRPr="005B5DE4">
        <w:rPr>
          <w:rFonts w:eastAsia="Times New Roman" w:cs="Segoe UI"/>
          <w:szCs w:val="20"/>
          <w:lang w:eastAsia="sk-SK"/>
        </w:rPr>
        <w:t>1,8 mld</w:t>
      </w:r>
      <w:r w:rsidR="001551E5" w:rsidRPr="005B5DE4">
        <w:rPr>
          <w:rFonts w:eastAsia="Calibri" w:cs="Segoe UI"/>
          <w:szCs w:val="20"/>
        </w:rPr>
        <w:t>. eur</w:t>
      </w:r>
      <w:r w:rsidR="000E57A9">
        <w:rPr>
          <w:rFonts w:eastAsia="Calibri" w:cs="Segoe UI"/>
          <w:szCs w:val="20"/>
        </w:rPr>
        <w:t>, ale aj nižšie výdavky</w:t>
      </w:r>
      <w:r w:rsidR="001551E5" w:rsidRPr="007C7D12">
        <w:rPr>
          <w:rFonts w:eastAsia="Calibri" w:cs="Segoe UI"/>
          <w:szCs w:val="20"/>
        </w:rPr>
        <w:t xml:space="preserve"> </w:t>
      </w:r>
      <w:r w:rsidR="001551E5" w:rsidRPr="007C7D12">
        <w:t xml:space="preserve">(tabuľka </w:t>
      </w:r>
      <w:r w:rsidR="00B53955">
        <w:t>4</w:t>
      </w:r>
      <w:r w:rsidR="001551E5" w:rsidRPr="007C7D12">
        <w:t>)</w:t>
      </w:r>
      <w:r w:rsidR="001551E5" w:rsidRPr="007C7D12">
        <w:rPr>
          <w:rFonts w:eastAsia="Calibri" w:cs="Segoe UI"/>
          <w:szCs w:val="20"/>
        </w:rPr>
        <w:t>.</w:t>
      </w:r>
    </w:p>
    <w:p w14:paraId="4EE06F80" w14:textId="77777777" w:rsidR="008736E8" w:rsidRPr="00B23AEB" w:rsidRDefault="008736E8" w:rsidP="008736E8">
      <w:pPr>
        <w:spacing w:line="240" w:lineRule="auto"/>
        <w:rPr>
          <w:rFonts w:eastAsia="Calibri" w:cs="Times New Roman"/>
          <w:b/>
          <w:iCs/>
          <w:color w:val="314364"/>
          <w:szCs w:val="18"/>
        </w:rPr>
      </w:pPr>
      <w:r w:rsidRPr="00B23AEB">
        <w:rPr>
          <w:rFonts w:eastAsia="Calibri" w:cs="Times New Roman"/>
          <w:b/>
          <w:iCs/>
          <w:color w:val="314364"/>
          <w:szCs w:val="18"/>
        </w:rPr>
        <w:t xml:space="preserve">Tabuľka </w:t>
      </w:r>
      <w:r>
        <w:rPr>
          <w:rFonts w:eastAsia="Calibri" w:cs="Times New Roman"/>
          <w:b/>
          <w:iCs/>
          <w:color w:val="314364"/>
          <w:szCs w:val="18"/>
        </w:rPr>
        <w:t>4</w:t>
      </w:r>
      <w:r w:rsidRPr="00B23AEB">
        <w:rPr>
          <w:rFonts w:eastAsia="Calibri" w:cs="Times New Roman"/>
          <w:b/>
          <w:iCs/>
          <w:color w:val="314364"/>
          <w:szCs w:val="18"/>
        </w:rPr>
        <w:t>: Základné rozpočtové ukazovatele</w:t>
      </w:r>
      <w:r>
        <w:rPr>
          <w:rFonts w:eastAsia="Calibri" w:cs="Times New Roman"/>
          <w:b/>
          <w:iCs/>
          <w:color w:val="314364"/>
          <w:szCs w:val="18"/>
        </w:rPr>
        <w:t xml:space="preserve"> </w:t>
      </w:r>
      <w:r w:rsidRPr="00842A2B">
        <w:rPr>
          <w:rFonts w:eastAsia="Calibri" w:cs="Times New Roman"/>
          <w:b/>
          <w:iCs/>
          <w:color w:val="314364"/>
          <w:szCs w:val="18"/>
        </w:rPr>
        <w:t>(v tis. eur)</w:t>
      </w:r>
    </w:p>
    <w:tbl>
      <w:tblPr>
        <w:tblpPr w:leftFromText="141" w:rightFromText="141" w:vertAnchor="text" w:tblpXSpec="center" w:tblpY="1"/>
        <w:tblOverlap w:val="never"/>
        <w:tblW w:w="0" w:type="auto"/>
        <w:jc w:val="center"/>
        <w:tblLook w:val="04A0" w:firstRow="1" w:lastRow="0" w:firstColumn="1" w:lastColumn="0" w:noHBand="0" w:noVBand="1"/>
      </w:tblPr>
      <w:tblGrid>
        <w:gridCol w:w="1552"/>
        <w:gridCol w:w="1425"/>
        <w:gridCol w:w="1134"/>
        <w:gridCol w:w="1134"/>
        <w:gridCol w:w="1134"/>
        <w:gridCol w:w="1078"/>
        <w:gridCol w:w="985"/>
        <w:gridCol w:w="628"/>
      </w:tblGrid>
      <w:tr w:rsidR="008736E8" w:rsidRPr="008B7485" w14:paraId="3AF04C0C" w14:textId="77777777" w:rsidTr="00211538">
        <w:trPr>
          <w:trHeight w:val="283"/>
          <w:jc w:val="center"/>
        </w:trPr>
        <w:tc>
          <w:tcPr>
            <w:tcW w:w="1552" w:type="dxa"/>
            <w:shd w:val="clear" w:color="auto" w:fill="314364"/>
            <w:vAlign w:val="center"/>
          </w:tcPr>
          <w:p w14:paraId="132267EE" w14:textId="77777777" w:rsidR="008736E8" w:rsidRPr="00C60492" w:rsidRDefault="008736E8" w:rsidP="00211538">
            <w:pPr>
              <w:spacing w:after="0"/>
              <w:jc w:val="left"/>
              <w:rPr>
                <w:rFonts w:eastAsia="Calibri" w:cs="Segoe UI"/>
                <w:b/>
                <w:color w:val="FFFFFF"/>
                <w:sz w:val="16"/>
                <w:szCs w:val="16"/>
              </w:rPr>
            </w:pPr>
            <w:r w:rsidRPr="00C60492">
              <w:rPr>
                <w:rFonts w:eastAsia="Calibri" w:cs="Segoe UI"/>
                <w:b/>
                <w:bCs/>
                <w:color w:val="FFFFFF"/>
                <w:sz w:val="16"/>
                <w:szCs w:val="16"/>
              </w:rPr>
              <w:t>Ukazovateľ</w:t>
            </w:r>
          </w:p>
        </w:tc>
        <w:tc>
          <w:tcPr>
            <w:tcW w:w="1425" w:type="dxa"/>
            <w:shd w:val="clear" w:color="auto" w:fill="314364"/>
            <w:vAlign w:val="center"/>
          </w:tcPr>
          <w:p w14:paraId="29F9D48D" w14:textId="77777777" w:rsidR="008736E8" w:rsidRPr="00C60492" w:rsidRDefault="008736E8" w:rsidP="00211538">
            <w:pPr>
              <w:spacing w:after="0"/>
              <w:jc w:val="right"/>
              <w:rPr>
                <w:rFonts w:eastAsia="Calibri" w:cs="Segoe UI"/>
                <w:b/>
                <w:color w:val="FFFFFF"/>
                <w:sz w:val="16"/>
                <w:szCs w:val="16"/>
              </w:rPr>
            </w:pPr>
            <w:r w:rsidRPr="00C60492">
              <w:rPr>
                <w:rFonts w:eastAsia="Calibri" w:cs="Segoe UI"/>
                <w:b/>
                <w:bCs/>
                <w:color w:val="FFFFFF"/>
                <w:sz w:val="16"/>
                <w:szCs w:val="16"/>
              </w:rPr>
              <w:t>2021 S</w:t>
            </w:r>
          </w:p>
        </w:tc>
        <w:tc>
          <w:tcPr>
            <w:tcW w:w="1134" w:type="dxa"/>
            <w:shd w:val="clear" w:color="auto" w:fill="314364"/>
            <w:vAlign w:val="center"/>
          </w:tcPr>
          <w:p w14:paraId="705BFCD0" w14:textId="77777777" w:rsidR="008736E8" w:rsidRPr="00C60492" w:rsidRDefault="008736E8" w:rsidP="00211538">
            <w:pPr>
              <w:spacing w:after="0"/>
              <w:jc w:val="right"/>
              <w:rPr>
                <w:rFonts w:eastAsia="Calibri" w:cs="Segoe UI"/>
                <w:b/>
                <w:bCs/>
                <w:color w:val="FFFFFF"/>
                <w:sz w:val="16"/>
                <w:szCs w:val="16"/>
              </w:rPr>
            </w:pPr>
            <w:r w:rsidRPr="00C60492">
              <w:rPr>
                <w:rFonts w:eastAsia="Calibri" w:cs="Segoe UI"/>
                <w:b/>
                <w:bCs/>
                <w:color w:val="FFFFFF"/>
                <w:sz w:val="16"/>
                <w:szCs w:val="16"/>
              </w:rPr>
              <w:t>2022 R</w:t>
            </w:r>
          </w:p>
        </w:tc>
        <w:tc>
          <w:tcPr>
            <w:tcW w:w="1134" w:type="dxa"/>
            <w:shd w:val="clear" w:color="auto" w:fill="314364"/>
            <w:vAlign w:val="center"/>
          </w:tcPr>
          <w:p w14:paraId="13FE9E5E" w14:textId="77777777" w:rsidR="008736E8" w:rsidRPr="00C60492" w:rsidRDefault="008736E8" w:rsidP="00211538">
            <w:pPr>
              <w:spacing w:after="0" w:line="240" w:lineRule="auto"/>
              <w:jc w:val="right"/>
              <w:rPr>
                <w:rFonts w:eastAsia="Calibri" w:cs="Segoe UI"/>
                <w:b/>
                <w:color w:val="FFFFFF"/>
                <w:sz w:val="16"/>
                <w:szCs w:val="16"/>
              </w:rPr>
            </w:pPr>
            <w:r w:rsidRPr="00C60492">
              <w:rPr>
                <w:rFonts w:eastAsia="Calibri" w:cs="Segoe UI"/>
                <w:b/>
                <w:color w:val="FFFFFF"/>
                <w:sz w:val="16"/>
                <w:szCs w:val="16"/>
              </w:rPr>
              <w:t>2022 NR</w:t>
            </w:r>
          </w:p>
        </w:tc>
        <w:tc>
          <w:tcPr>
            <w:tcW w:w="1134" w:type="dxa"/>
            <w:shd w:val="clear" w:color="auto" w:fill="314364"/>
            <w:vAlign w:val="center"/>
          </w:tcPr>
          <w:p w14:paraId="2A0E37B8" w14:textId="77777777" w:rsidR="008736E8" w:rsidRPr="00C60492" w:rsidRDefault="008736E8" w:rsidP="00211538">
            <w:pPr>
              <w:spacing w:after="0" w:line="240" w:lineRule="auto"/>
              <w:jc w:val="right"/>
              <w:rPr>
                <w:rFonts w:eastAsia="Calibri" w:cs="Segoe UI"/>
                <w:b/>
                <w:color w:val="FFFFFF"/>
                <w:sz w:val="16"/>
                <w:szCs w:val="16"/>
              </w:rPr>
            </w:pPr>
            <w:r w:rsidRPr="00C60492">
              <w:rPr>
                <w:rFonts w:eastAsia="Calibri" w:cs="Segoe UI"/>
                <w:b/>
                <w:color w:val="FFFFFF"/>
                <w:sz w:val="16"/>
                <w:szCs w:val="16"/>
              </w:rPr>
              <w:t>2022 UR</w:t>
            </w:r>
          </w:p>
        </w:tc>
        <w:tc>
          <w:tcPr>
            <w:tcW w:w="1078" w:type="dxa"/>
            <w:shd w:val="clear" w:color="auto" w:fill="314364"/>
            <w:vAlign w:val="center"/>
          </w:tcPr>
          <w:p w14:paraId="7E7C50D3" w14:textId="77777777" w:rsidR="008736E8" w:rsidRPr="00C60492" w:rsidRDefault="008736E8" w:rsidP="00211538">
            <w:pPr>
              <w:spacing w:after="0"/>
              <w:jc w:val="right"/>
              <w:rPr>
                <w:rFonts w:eastAsia="Calibri" w:cs="Segoe UI"/>
                <w:b/>
                <w:color w:val="FFFFFF"/>
                <w:sz w:val="16"/>
                <w:szCs w:val="16"/>
              </w:rPr>
            </w:pPr>
            <w:r w:rsidRPr="00C60492">
              <w:rPr>
                <w:rFonts w:eastAsia="Calibri" w:cs="Segoe UI"/>
                <w:b/>
                <w:bCs/>
                <w:color w:val="FFFFFF"/>
                <w:sz w:val="16"/>
                <w:szCs w:val="16"/>
              </w:rPr>
              <w:t>2022 S</w:t>
            </w:r>
          </w:p>
        </w:tc>
        <w:tc>
          <w:tcPr>
            <w:tcW w:w="985" w:type="dxa"/>
            <w:shd w:val="clear" w:color="auto" w:fill="314364"/>
            <w:vAlign w:val="center"/>
          </w:tcPr>
          <w:p w14:paraId="0235BDB2" w14:textId="77777777" w:rsidR="008736E8" w:rsidRPr="00C60492" w:rsidRDefault="008736E8" w:rsidP="00211538">
            <w:pPr>
              <w:spacing w:after="0"/>
              <w:ind w:hanging="114"/>
              <w:jc w:val="right"/>
              <w:rPr>
                <w:rFonts w:eastAsia="Calibri" w:cs="Segoe UI"/>
                <w:b/>
                <w:color w:val="FFFFFF"/>
                <w:sz w:val="16"/>
                <w:szCs w:val="16"/>
              </w:rPr>
            </w:pPr>
            <w:r w:rsidRPr="00C60492">
              <w:rPr>
                <w:rFonts w:eastAsia="Calibri" w:cs="Segoe UI"/>
                <w:b/>
                <w:bCs/>
                <w:color w:val="FFFFFF"/>
                <w:sz w:val="16"/>
                <w:szCs w:val="16"/>
              </w:rPr>
              <w:t>22S - 22NR</w:t>
            </w:r>
          </w:p>
        </w:tc>
        <w:tc>
          <w:tcPr>
            <w:tcW w:w="628" w:type="dxa"/>
            <w:shd w:val="clear" w:color="auto" w:fill="314364"/>
            <w:vAlign w:val="center"/>
          </w:tcPr>
          <w:p w14:paraId="62BAFFB2" w14:textId="77777777" w:rsidR="008736E8" w:rsidRPr="00C60492" w:rsidRDefault="008736E8" w:rsidP="00211538">
            <w:pPr>
              <w:spacing w:after="0"/>
              <w:jc w:val="right"/>
              <w:rPr>
                <w:rFonts w:eastAsia="Calibri" w:cs="Segoe UI"/>
                <w:b/>
                <w:color w:val="FFFFFF"/>
                <w:sz w:val="16"/>
                <w:szCs w:val="16"/>
              </w:rPr>
            </w:pPr>
            <w:r w:rsidRPr="00C60492">
              <w:rPr>
                <w:rFonts w:eastAsia="Calibri" w:cs="Segoe UI"/>
                <w:b/>
                <w:color w:val="FFFFFF"/>
                <w:sz w:val="16"/>
                <w:szCs w:val="16"/>
              </w:rPr>
              <w:t>YoY</w:t>
            </w:r>
          </w:p>
        </w:tc>
      </w:tr>
      <w:tr w:rsidR="008736E8" w:rsidRPr="008B7485" w14:paraId="7A88FBD5" w14:textId="77777777" w:rsidTr="00211538">
        <w:trPr>
          <w:trHeight w:val="283"/>
          <w:jc w:val="center"/>
        </w:trPr>
        <w:tc>
          <w:tcPr>
            <w:tcW w:w="1552" w:type="dxa"/>
            <w:shd w:val="clear" w:color="auto" w:fill="auto"/>
            <w:vAlign w:val="center"/>
          </w:tcPr>
          <w:p w14:paraId="2FA246EC" w14:textId="77777777" w:rsidR="008736E8" w:rsidRPr="00C60492" w:rsidRDefault="008736E8" w:rsidP="00211538">
            <w:pPr>
              <w:spacing w:after="0" w:line="240" w:lineRule="auto"/>
              <w:jc w:val="left"/>
              <w:rPr>
                <w:rFonts w:eastAsia="Calibri" w:cs="Segoe UI"/>
                <w:b/>
                <w:bCs/>
                <w:sz w:val="16"/>
                <w:szCs w:val="16"/>
              </w:rPr>
            </w:pPr>
            <w:r w:rsidRPr="00C60492">
              <w:rPr>
                <w:rFonts w:eastAsia="Calibri" w:cs="Segoe UI"/>
                <w:b/>
                <w:bCs/>
                <w:sz w:val="16"/>
                <w:szCs w:val="16"/>
              </w:rPr>
              <w:t>Celkové príjmy</w:t>
            </w:r>
          </w:p>
        </w:tc>
        <w:tc>
          <w:tcPr>
            <w:tcW w:w="1425" w:type="dxa"/>
            <w:shd w:val="clear" w:color="auto" w:fill="auto"/>
            <w:vAlign w:val="center"/>
          </w:tcPr>
          <w:p w14:paraId="7F87880C"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17 197 298</w:t>
            </w:r>
          </w:p>
        </w:tc>
        <w:tc>
          <w:tcPr>
            <w:tcW w:w="1134" w:type="dxa"/>
            <w:vAlign w:val="center"/>
          </w:tcPr>
          <w:p w14:paraId="0D7B3D08" w14:textId="77777777" w:rsidR="008736E8" w:rsidRPr="00C60492" w:rsidRDefault="008736E8" w:rsidP="00211538">
            <w:pPr>
              <w:spacing w:after="0" w:line="240" w:lineRule="auto"/>
              <w:jc w:val="right"/>
              <w:rPr>
                <w:rFonts w:eastAsia="Times New Roman" w:cs="Segoe UI"/>
                <w:b/>
                <w:bCs/>
                <w:sz w:val="16"/>
                <w:szCs w:val="16"/>
                <w:lang w:eastAsia="sk-SK"/>
              </w:rPr>
            </w:pPr>
            <w:r w:rsidRPr="0079548A">
              <w:rPr>
                <w:rFonts w:eastAsia="Times New Roman" w:cs="Segoe UI"/>
                <w:b/>
                <w:bCs/>
                <w:color w:val="000000"/>
                <w:sz w:val="16"/>
                <w:szCs w:val="16"/>
                <w:lang w:eastAsia="sk-SK"/>
              </w:rPr>
              <w:t>19 974 242</w:t>
            </w:r>
          </w:p>
        </w:tc>
        <w:tc>
          <w:tcPr>
            <w:tcW w:w="1134" w:type="dxa"/>
            <w:shd w:val="clear" w:color="auto" w:fill="auto"/>
            <w:vAlign w:val="center"/>
          </w:tcPr>
          <w:p w14:paraId="4BE11B5F"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21 471 899</w:t>
            </w:r>
          </w:p>
        </w:tc>
        <w:tc>
          <w:tcPr>
            <w:tcW w:w="1134" w:type="dxa"/>
            <w:shd w:val="clear" w:color="auto" w:fill="auto"/>
            <w:vAlign w:val="center"/>
          </w:tcPr>
          <w:p w14:paraId="15E3DF96"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19 209 111</w:t>
            </w:r>
          </w:p>
        </w:tc>
        <w:tc>
          <w:tcPr>
            <w:tcW w:w="1078" w:type="dxa"/>
            <w:shd w:val="clear" w:color="auto" w:fill="auto"/>
            <w:vAlign w:val="center"/>
          </w:tcPr>
          <w:p w14:paraId="62052953"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19 029 702</w:t>
            </w:r>
          </w:p>
        </w:tc>
        <w:tc>
          <w:tcPr>
            <w:tcW w:w="985" w:type="dxa"/>
            <w:shd w:val="clear" w:color="auto" w:fill="auto"/>
            <w:vAlign w:val="center"/>
          </w:tcPr>
          <w:p w14:paraId="7B0F38F4"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-179 409</w:t>
            </w:r>
          </w:p>
        </w:tc>
        <w:tc>
          <w:tcPr>
            <w:tcW w:w="628" w:type="dxa"/>
            <w:shd w:val="clear" w:color="auto" w:fill="auto"/>
            <w:vAlign w:val="center"/>
          </w:tcPr>
          <w:p w14:paraId="1208E6C0"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110,7</w:t>
            </w:r>
          </w:p>
        </w:tc>
      </w:tr>
      <w:tr w:rsidR="008736E8" w:rsidRPr="008B7485" w14:paraId="6B833B14" w14:textId="77777777" w:rsidTr="00211538">
        <w:trPr>
          <w:trHeight w:val="283"/>
          <w:jc w:val="center"/>
        </w:trPr>
        <w:tc>
          <w:tcPr>
            <w:tcW w:w="1552" w:type="dxa"/>
            <w:shd w:val="clear" w:color="auto" w:fill="auto"/>
            <w:vAlign w:val="center"/>
          </w:tcPr>
          <w:p w14:paraId="74322166" w14:textId="77777777" w:rsidR="008736E8" w:rsidRPr="00C60492" w:rsidRDefault="008736E8" w:rsidP="00211538">
            <w:pPr>
              <w:spacing w:after="0" w:line="240" w:lineRule="auto"/>
              <w:jc w:val="left"/>
              <w:rPr>
                <w:rFonts w:eastAsia="Calibri" w:cs="Segoe UI"/>
                <w:bCs/>
                <w:sz w:val="16"/>
                <w:szCs w:val="16"/>
              </w:rPr>
            </w:pPr>
            <w:r w:rsidRPr="00C60492">
              <w:rPr>
                <w:rFonts w:eastAsia="Calibri" w:cs="Segoe UI"/>
                <w:bCs/>
                <w:sz w:val="16"/>
                <w:szCs w:val="16"/>
              </w:rPr>
              <w:t>Daňové príjmy</w:t>
            </w:r>
          </w:p>
        </w:tc>
        <w:tc>
          <w:tcPr>
            <w:tcW w:w="1425" w:type="dxa"/>
            <w:shd w:val="clear" w:color="auto" w:fill="auto"/>
            <w:vAlign w:val="center"/>
          </w:tcPr>
          <w:p w14:paraId="42382C2F"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13 546 038</w:t>
            </w:r>
          </w:p>
        </w:tc>
        <w:tc>
          <w:tcPr>
            <w:tcW w:w="1134" w:type="dxa"/>
            <w:vAlign w:val="center"/>
          </w:tcPr>
          <w:p w14:paraId="0003D0BC" w14:textId="77777777" w:rsidR="008736E8" w:rsidRPr="00C60492" w:rsidRDefault="008736E8" w:rsidP="00211538">
            <w:pPr>
              <w:spacing w:after="0" w:line="240" w:lineRule="auto"/>
              <w:jc w:val="right"/>
              <w:rPr>
                <w:rFonts w:eastAsia="Times New Roman" w:cs="Segoe UI"/>
                <w:sz w:val="16"/>
                <w:szCs w:val="16"/>
                <w:lang w:eastAsia="sk-SK"/>
              </w:rPr>
            </w:pPr>
            <w:r w:rsidRPr="0079548A">
              <w:rPr>
                <w:rFonts w:eastAsia="Times New Roman" w:cs="Segoe UI"/>
                <w:color w:val="000000"/>
                <w:sz w:val="16"/>
                <w:szCs w:val="16"/>
                <w:lang w:eastAsia="sk-SK"/>
              </w:rPr>
              <w:t>14 348 197</w:t>
            </w:r>
          </w:p>
        </w:tc>
        <w:tc>
          <w:tcPr>
            <w:tcW w:w="1134" w:type="dxa"/>
            <w:shd w:val="clear" w:color="auto" w:fill="auto"/>
            <w:vAlign w:val="center"/>
          </w:tcPr>
          <w:p w14:paraId="2D6B5E9E"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15 845 854</w:t>
            </w:r>
          </w:p>
        </w:tc>
        <w:tc>
          <w:tcPr>
            <w:tcW w:w="1134" w:type="dxa"/>
            <w:shd w:val="clear" w:color="auto" w:fill="auto"/>
            <w:vAlign w:val="center"/>
          </w:tcPr>
          <w:p w14:paraId="0B198E39"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15 845 854</w:t>
            </w:r>
          </w:p>
        </w:tc>
        <w:tc>
          <w:tcPr>
            <w:tcW w:w="1078" w:type="dxa"/>
            <w:shd w:val="clear" w:color="auto" w:fill="auto"/>
            <w:vAlign w:val="center"/>
          </w:tcPr>
          <w:p w14:paraId="6E71D232"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15 517 036</w:t>
            </w:r>
          </w:p>
        </w:tc>
        <w:tc>
          <w:tcPr>
            <w:tcW w:w="985" w:type="dxa"/>
            <w:shd w:val="clear" w:color="auto" w:fill="auto"/>
            <w:vAlign w:val="center"/>
          </w:tcPr>
          <w:p w14:paraId="1F99B42D"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-328 818</w:t>
            </w:r>
          </w:p>
        </w:tc>
        <w:tc>
          <w:tcPr>
            <w:tcW w:w="628" w:type="dxa"/>
            <w:shd w:val="clear" w:color="auto" w:fill="auto"/>
            <w:vAlign w:val="center"/>
          </w:tcPr>
          <w:p w14:paraId="66A1E2B6"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114,6</w:t>
            </w:r>
          </w:p>
        </w:tc>
      </w:tr>
      <w:tr w:rsidR="008736E8" w:rsidRPr="008B7485" w14:paraId="7ED2C15B" w14:textId="77777777" w:rsidTr="00211538">
        <w:trPr>
          <w:trHeight w:val="283"/>
          <w:jc w:val="center"/>
        </w:trPr>
        <w:tc>
          <w:tcPr>
            <w:tcW w:w="1552" w:type="dxa"/>
            <w:shd w:val="clear" w:color="auto" w:fill="auto"/>
            <w:vAlign w:val="center"/>
          </w:tcPr>
          <w:p w14:paraId="247E5BBD" w14:textId="77777777" w:rsidR="008736E8" w:rsidRPr="00C60492" w:rsidRDefault="008736E8" w:rsidP="00211538">
            <w:pPr>
              <w:spacing w:after="0" w:line="240" w:lineRule="auto"/>
              <w:jc w:val="left"/>
              <w:rPr>
                <w:rFonts w:eastAsia="Calibri" w:cs="Segoe UI"/>
                <w:bCs/>
                <w:sz w:val="16"/>
                <w:szCs w:val="16"/>
              </w:rPr>
            </w:pPr>
            <w:r w:rsidRPr="00C60492">
              <w:rPr>
                <w:rFonts w:eastAsia="Calibri" w:cs="Segoe UI"/>
                <w:bCs/>
                <w:sz w:val="16"/>
                <w:szCs w:val="16"/>
              </w:rPr>
              <w:t>Nedaňové príjmy</w:t>
            </w:r>
          </w:p>
        </w:tc>
        <w:tc>
          <w:tcPr>
            <w:tcW w:w="1425" w:type="dxa"/>
            <w:shd w:val="clear" w:color="auto" w:fill="auto"/>
            <w:vAlign w:val="center"/>
          </w:tcPr>
          <w:p w14:paraId="1E9223AD"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1 338 320</w:t>
            </w:r>
          </w:p>
        </w:tc>
        <w:tc>
          <w:tcPr>
            <w:tcW w:w="1134" w:type="dxa"/>
            <w:vAlign w:val="center"/>
          </w:tcPr>
          <w:p w14:paraId="676F584C" w14:textId="77777777" w:rsidR="008736E8" w:rsidRPr="00C60492" w:rsidRDefault="008736E8" w:rsidP="00211538">
            <w:pPr>
              <w:spacing w:after="0" w:line="240" w:lineRule="auto"/>
              <w:jc w:val="right"/>
              <w:rPr>
                <w:rFonts w:eastAsia="Times New Roman" w:cs="Segoe UI"/>
                <w:sz w:val="16"/>
                <w:szCs w:val="16"/>
                <w:lang w:eastAsia="sk-SK"/>
              </w:rPr>
            </w:pPr>
            <w:r w:rsidRPr="0079548A">
              <w:rPr>
                <w:rFonts w:eastAsia="Times New Roman" w:cs="Segoe UI"/>
                <w:color w:val="000000"/>
                <w:sz w:val="16"/>
                <w:szCs w:val="16"/>
                <w:lang w:eastAsia="sk-SK"/>
              </w:rPr>
              <w:t>1 134 818</w:t>
            </w:r>
          </w:p>
        </w:tc>
        <w:tc>
          <w:tcPr>
            <w:tcW w:w="1134" w:type="dxa"/>
            <w:shd w:val="clear" w:color="auto" w:fill="auto"/>
            <w:vAlign w:val="center"/>
          </w:tcPr>
          <w:p w14:paraId="359B3B25"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1 134 818</w:t>
            </w:r>
          </w:p>
        </w:tc>
        <w:tc>
          <w:tcPr>
            <w:tcW w:w="1134" w:type="dxa"/>
            <w:shd w:val="clear" w:color="auto" w:fill="auto"/>
            <w:vAlign w:val="center"/>
          </w:tcPr>
          <w:p w14:paraId="1F38C49F"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1 134 344</w:t>
            </w:r>
          </w:p>
        </w:tc>
        <w:tc>
          <w:tcPr>
            <w:tcW w:w="1078" w:type="dxa"/>
            <w:shd w:val="clear" w:color="auto" w:fill="auto"/>
            <w:vAlign w:val="center"/>
          </w:tcPr>
          <w:p w14:paraId="5FDBDADB"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1 285 089</w:t>
            </w:r>
          </w:p>
        </w:tc>
        <w:tc>
          <w:tcPr>
            <w:tcW w:w="985" w:type="dxa"/>
            <w:shd w:val="clear" w:color="auto" w:fill="auto"/>
            <w:vAlign w:val="center"/>
          </w:tcPr>
          <w:p w14:paraId="1067EE42"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150 745</w:t>
            </w:r>
          </w:p>
        </w:tc>
        <w:tc>
          <w:tcPr>
            <w:tcW w:w="628" w:type="dxa"/>
            <w:shd w:val="clear" w:color="auto" w:fill="auto"/>
            <w:vAlign w:val="center"/>
          </w:tcPr>
          <w:p w14:paraId="7E2C26A0"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96,0</w:t>
            </w:r>
          </w:p>
        </w:tc>
      </w:tr>
      <w:tr w:rsidR="008736E8" w:rsidRPr="008B7485" w14:paraId="409CF64D" w14:textId="77777777" w:rsidTr="00211538">
        <w:trPr>
          <w:trHeight w:val="283"/>
          <w:jc w:val="center"/>
        </w:trPr>
        <w:tc>
          <w:tcPr>
            <w:tcW w:w="1552" w:type="dxa"/>
            <w:shd w:val="clear" w:color="auto" w:fill="auto"/>
            <w:vAlign w:val="center"/>
          </w:tcPr>
          <w:p w14:paraId="7650BC5D" w14:textId="77777777" w:rsidR="008736E8" w:rsidRPr="00C60492" w:rsidRDefault="008736E8" w:rsidP="00211538">
            <w:pPr>
              <w:spacing w:after="0" w:line="240" w:lineRule="auto"/>
              <w:jc w:val="left"/>
              <w:rPr>
                <w:rFonts w:eastAsia="Calibri" w:cs="Segoe UI"/>
                <w:bCs/>
                <w:sz w:val="16"/>
                <w:szCs w:val="16"/>
              </w:rPr>
            </w:pPr>
            <w:r w:rsidRPr="00C60492">
              <w:rPr>
                <w:rFonts w:eastAsia="Calibri" w:cs="Segoe UI"/>
                <w:bCs/>
                <w:sz w:val="16"/>
                <w:szCs w:val="16"/>
              </w:rPr>
              <w:t>Granty a transfery</w:t>
            </w:r>
          </w:p>
        </w:tc>
        <w:tc>
          <w:tcPr>
            <w:tcW w:w="1425" w:type="dxa"/>
            <w:shd w:val="clear" w:color="auto" w:fill="auto"/>
            <w:vAlign w:val="center"/>
          </w:tcPr>
          <w:p w14:paraId="125722D1"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2 312 939</w:t>
            </w:r>
          </w:p>
        </w:tc>
        <w:tc>
          <w:tcPr>
            <w:tcW w:w="1134" w:type="dxa"/>
            <w:vAlign w:val="center"/>
          </w:tcPr>
          <w:p w14:paraId="33DF561D" w14:textId="77777777" w:rsidR="008736E8" w:rsidRPr="00C60492" w:rsidRDefault="008736E8" w:rsidP="00211538">
            <w:pPr>
              <w:spacing w:after="0" w:line="240" w:lineRule="auto"/>
              <w:jc w:val="right"/>
              <w:rPr>
                <w:rFonts w:eastAsia="Times New Roman" w:cs="Segoe UI"/>
                <w:sz w:val="16"/>
                <w:szCs w:val="16"/>
                <w:lang w:eastAsia="sk-SK"/>
              </w:rPr>
            </w:pPr>
            <w:r w:rsidRPr="0079548A">
              <w:rPr>
                <w:rFonts w:eastAsia="Times New Roman" w:cs="Segoe UI"/>
                <w:color w:val="000000"/>
                <w:sz w:val="16"/>
                <w:szCs w:val="16"/>
                <w:lang w:eastAsia="sk-SK"/>
              </w:rPr>
              <w:t>4 491 227</w:t>
            </w:r>
          </w:p>
        </w:tc>
        <w:tc>
          <w:tcPr>
            <w:tcW w:w="1134" w:type="dxa"/>
            <w:shd w:val="clear" w:color="auto" w:fill="auto"/>
            <w:vAlign w:val="center"/>
          </w:tcPr>
          <w:p w14:paraId="19F75421"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4 491 227</w:t>
            </w:r>
          </w:p>
        </w:tc>
        <w:tc>
          <w:tcPr>
            <w:tcW w:w="1134" w:type="dxa"/>
            <w:shd w:val="clear" w:color="auto" w:fill="auto"/>
            <w:vAlign w:val="center"/>
          </w:tcPr>
          <w:p w14:paraId="4063354E"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2 228 913</w:t>
            </w:r>
          </w:p>
        </w:tc>
        <w:tc>
          <w:tcPr>
            <w:tcW w:w="1078" w:type="dxa"/>
            <w:shd w:val="clear" w:color="auto" w:fill="auto"/>
            <w:vAlign w:val="center"/>
          </w:tcPr>
          <w:p w14:paraId="3900B778"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2 227 577</w:t>
            </w:r>
          </w:p>
        </w:tc>
        <w:tc>
          <w:tcPr>
            <w:tcW w:w="985" w:type="dxa"/>
            <w:shd w:val="clear" w:color="auto" w:fill="auto"/>
            <w:vAlign w:val="center"/>
          </w:tcPr>
          <w:p w14:paraId="6B8B5108"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-1 336</w:t>
            </w:r>
          </w:p>
        </w:tc>
        <w:tc>
          <w:tcPr>
            <w:tcW w:w="628" w:type="dxa"/>
            <w:shd w:val="clear" w:color="auto" w:fill="auto"/>
            <w:vAlign w:val="center"/>
          </w:tcPr>
          <w:p w14:paraId="5AB082F6"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96,3</w:t>
            </w:r>
          </w:p>
        </w:tc>
      </w:tr>
      <w:tr w:rsidR="008736E8" w:rsidRPr="008B7485" w14:paraId="2197F22B" w14:textId="77777777" w:rsidTr="00211538">
        <w:trPr>
          <w:trHeight w:val="283"/>
          <w:jc w:val="center"/>
        </w:trPr>
        <w:tc>
          <w:tcPr>
            <w:tcW w:w="1552" w:type="dxa"/>
            <w:shd w:val="clear" w:color="auto" w:fill="auto"/>
            <w:vAlign w:val="center"/>
          </w:tcPr>
          <w:p w14:paraId="60A1C721" w14:textId="77777777" w:rsidR="008736E8" w:rsidRPr="00C60492" w:rsidRDefault="008736E8" w:rsidP="00211538">
            <w:pPr>
              <w:spacing w:after="0" w:line="240" w:lineRule="auto"/>
              <w:jc w:val="left"/>
              <w:rPr>
                <w:rFonts w:eastAsia="Calibri" w:cs="Segoe UI"/>
                <w:b/>
                <w:bCs/>
                <w:sz w:val="16"/>
                <w:szCs w:val="16"/>
              </w:rPr>
            </w:pPr>
            <w:r w:rsidRPr="00C60492">
              <w:rPr>
                <w:rFonts w:eastAsia="Calibri" w:cs="Segoe UI"/>
                <w:b/>
                <w:bCs/>
                <w:sz w:val="16"/>
                <w:szCs w:val="16"/>
              </w:rPr>
              <w:t>Celkové výdavky</w:t>
            </w:r>
          </w:p>
        </w:tc>
        <w:tc>
          <w:tcPr>
            <w:tcW w:w="1425" w:type="dxa"/>
            <w:shd w:val="clear" w:color="auto" w:fill="auto"/>
            <w:vAlign w:val="center"/>
          </w:tcPr>
          <w:p w14:paraId="3961310E"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24 211 425</w:t>
            </w:r>
          </w:p>
        </w:tc>
        <w:tc>
          <w:tcPr>
            <w:tcW w:w="1134" w:type="dxa"/>
            <w:vAlign w:val="center"/>
          </w:tcPr>
          <w:p w14:paraId="60A3A76C" w14:textId="77777777" w:rsidR="008736E8" w:rsidRPr="00C60492" w:rsidRDefault="008736E8" w:rsidP="00211538">
            <w:pPr>
              <w:spacing w:after="0" w:line="240" w:lineRule="auto"/>
              <w:jc w:val="right"/>
              <w:rPr>
                <w:rFonts w:eastAsia="Times New Roman" w:cs="Segoe UI"/>
                <w:b/>
                <w:bCs/>
                <w:sz w:val="16"/>
                <w:szCs w:val="16"/>
                <w:lang w:eastAsia="sk-SK"/>
              </w:rPr>
            </w:pPr>
            <w:r w:rsidRPr="0079548A">
              <w:rPr>
                <w:rFonts w:eastAsia="Times New Roman" w:cs="Segoe UI"/>
                <w:b/>
                <w:bCs/>
                <w:color w:val="000000"/>
                <w:sz w:val="16"/>
                <w:szCs w:val="16"/>
                <w:lang w:eastAsia="sk-SK"/>
              </w:rPr>
              <w:t>25 447 760</w:t>
            </w:r>
          </w:p>
        </w:tc>
        <w:tc>
          <w:tcPr>
            <w:tcW w:w="1134" w:type="dxa"/>
            <w:shd w:val="clear" w:color="auto" w:fill="auto"/>
            <w:vAlign w:val="center"/>
          </w:tcPr>
          <w:p w14:paraId="015AC310"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26 945 417</w:t>
            </w:r>
          </w:p>
        </w:tc>
        <w:tc>
          <w:tcPr>
            <w:tcW w:w="1134" w:type="dxa"/>
            <w:shd w:val="clear" w:color="auto" w:fill="auto"/>
            <w:vAlign w:val="center"/>
          </w:tcPr>
          <w:p w14:paraId="11F9F4B6"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23 995 099</w:t>
            </w:r>
          </w:p>
        </w:tc>
        <w:tc>
          <w:tcPr>
            <w:tcW w:w="1078" w:type="dxa"/>
            <w:shd w:val="clear" w:color="auto" w:fill="auto"/>
            <w:vAlign w:val="center"/>
          </w:tcPr>
          <w:p w14:paraId="3D2DB0ED"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23 554 555</w:t>
            </w:r>
          </w:p>
        </w:tc>
        <w:tc>
          <w:tcPr>
            <w:tcW w:w="985" w:type="dxa"/>
            <w:shd w:val="clear" w:color="auto" w:fill="auto"/>
            <w:vAlign w:val="center"/>
          </w:tcPr>
          <w:p w14:paraId="1CE94C07"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-440 544</w:t>
            </w:r>
          </w:p>
        </w:tc>
        <w:tc>
          <w:tcPr>
            <w:tcW w:w="628" w:type="dxa"/>
            <w:shd w:val="clear" w:color="auto" w:fill="auto"/>
            <w:vAlign w:val="center"/>
          </w:tcPr>
          <w:p w14:paraId="3D16751F"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97,3</w:t>
            </w:r>
          </w:p>
        </w:tc>
      </w:tr>
      <w:tr w:rsidR="008736E8" w:rsidRPr="008B7485" w14:paraId="265140F2" w14:textId="77777777" w:rsidTr="00211538">
        <w:trPr>
          <w:trHeight w:val="283"/>
          <w:jc w:val="center"/>
        </w:trPr>
        <w:tc>
          <w:tcPr>
            <w:tcW w:w="1552" w:type="dxa"/>
            <w:shd w:val="clear" w:color="auto" w:fill="auto"/>
            <w:vAlign w:val="center"/>
          </w:tcPr>
          <w:p w14:paraId="5D320F2C" w14:textId="77777777" w:rsidR="008736E8" w:rsidRPr="00C60492" w:rsidRDefault="008736E8" w:rsidP="00211538">
            <w:pPr>
              <w:spacing w:after="0" w:line="240" w:lineRule="auto"/>
              <w:jc w:val="left"/>
              <w:rPr>
                <w:rFonts w:eastAsia="Calibri" w:cs="Segoe UI"/>
                <w:bCs/>
                <w:sz w:val="16"/>
                <w:szCs w:val="16"/>
              </w:rPr>
            </w:pPr>
            <w:r w:rsidRPr="00C60492">
              <w:rPr>
                <w:rFonts w:eastAsia="Calibri" w:cs="Segoe UI"/>
                <w:bCs/>
                <w:sz w:val="16"/>
                <w:szCs w:val="16"/>
              </w:rPr>
              <w:t>Bežné výdavky</w:t>
            </w:r>
          </w:p>
        </w:tc>
        <w:tc>
          <w:tcPr>
            <w:tcW w:w="1425" w:type="dxa"/>
            <w:shd w:val="clear" w:color="auto" w:fill="auto"/>
            <w:vAlign w:val="center"/>
          </w:tcPr>
          <w:p w14:paraId="647CE39F"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21 771 263</w:t>
            </w:r>
          </w:p>
        </w:tc>
        <w:tc>
          <w:tcPr>
            <w:tcW w:w="1134" w:type="dxa"/>
            <w:vAlign w:val="center"/>
          </w:tcPr>
          <w:p w14:paraId="26354665" w14:textId="77777777" w:rsidR="008736E8" w:rsidRPr="00C60492" w:rsidRDefault="008736E8" w:rsidP="00211538">
            <w:pPr>
              <w:spacing w:after="0" w:line="240" w:lineRule="auto"/>
              <w:jc w:val="right"/>
              <w:rPr>
                <w:rFonts w:eastAsia="Times New Roman" w:cs="Segoe UI"/>
                <w:sz w:val="16"/>
                <w:szCs w:val="16"/>
                <w:lang w:eastAsia="sk-SK"/>
              </w:rPr>
            </w:pPr>
            <w:r w:rsidRPr="0079548A">
              <w:rPr>
                <w:rFonts w:eastAsia="Times New Roman" w:cs="Segoe UI"/>
                <w:color w:val="000000"/>
                <w:sz w:val="16"/>
                <w:szCs w:val="16"/>
                <w:lang w:eastAsia="sk-SK"/>
              </w:rPr>
              <w:t>21 333 956</w:t>
            </w:r>
          </w:p>
        </w:tc>
        <w:tc>
          <w:tcPr>
            <w:tcW w:w="1134" w:type="dxa"/>
            <w:shd w:val="clear" w:color="auto" w:fill="auto"/>
            <w:vAlign w:val="center"/>
          </w:tcPr>
          <w:p w14:paraId="64DA5F4A"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22 831 612</w:t>
            </w:r>
          </w:p>
        </w:tc>
        <w:tc>
          <w:tcPr>
            <w:tcW w:w="1134" w:type="dxa"/>
            <w:shd w:val="clear" w:color="auto" w:fill="auto"/>
            <w:vAlign w:val="center"/>
          </w:tcPr>
          <w:p w14:paraId="2886887B"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21 188 724</w:t>
            </w:r>
          </w:p>
        </w:tc>
        <w:tc>
          <w:tcPr>
            <w:tcW w:w="1078" w:type="dxa"/>
            <w:shd w:val="clear" w:color="auto" w:fill="auto"/>
            <w:vAlign w:val="center"/>
          </w:tcPr>
          <w:p w14:paraId="4C2E8E0E"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20 847 550</w:t>
            </w:r>
          </w:p>
        </w:tc>
        <w:tc>
          <w:tcPr>
            <w:tcW w:w="985" w:type="dxa"/>
            <w:shd w:val="clear" w:color="auto" w:fill="auto"/>
            <w:vAlign w:val="center"/>
          </w:tcPr>
          <w:p w14:paraId="310C91D8"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-341 174</w:t>
            </w:r>
          </w:p>
        </w:tc>
        <w:tc>
          <w:tcPr>
            <w:tcW w:w="628" w:type="dxa"/>
            <w:shd w:val="clear" w:color="auto" w:fill="auto"/>
            <w:vAlign w:val="center"/>
          </w:tcPr>
          <w:p w14:paraId="4A43CE61"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95,8</w:t>
            </w:r>
          </w:p>
        </w:tc>
      </w:tr>
      <w:tr w:rsidR="008736E8" w:rsidRPr="008B7485" w14:paraId="09B0D13C" w14:textId="77777777" w:rsidTr="00211538">
        <w:trPr>
          <w:trHeight w:val="283"/>
          <w:jc w:val="center"/>
        </w:trPr>
        <w:tc>
          <w:tcPr>
            <w:tcW w:w="1552" w:type="dxa"/>
            <w:shd w:val="clear" w:color="auto" w:fill="auto"/>
            <w:vAlign w:val="center"/>
          </w:tcPr>
          <w:p w14:paraId="1635585C" w14:textId="77777777" w:rsidR="008736E8" w:rsidRPr="00C60492" w:rsidRDefault="008736E8" w:rsidP="00211538">
            <w:pPr>
              <w:spacing w:after="0" w:line="240" w:lineRule="auto"/>
              <w:ind w:right="-93"/>
              <w:jc w:val="left"/>
              <w:rPr>
                <w:rFonts w:eastAsia="Calibri" w:cs="Segoe UI"/>
                <w:bCs/>
                <w:sz w:val="16"/>
                <w:szCs w:val="16"/>
              </w:rPr>
            </w:pPr>
            <w:r w:rsidRPr="00C60492">
              <w:rPr>
                <w:rFonts w:eastAsia="Calibri" w:cs="Segoe UI"/>
                <w:bCs/>
                <w:sz w:val="16"/>
                <w:szCs w:val="16"/>
              </w:rPr>
              <w:t>Kapitálové výdavky</w:t>
            </w:r>
          </w:p>
        </w:tc>
        <w:tc>
          <w:tcPr>
            <w:tcW w:w="1425" w:type="dxa"/>
            <w:shd w:val="clear" w:color="auto" w:fill="auto"/>
            <w:vAlign w:val="center"/>
          </w:tcPr>
          <w:p w14:paraId="178B9019"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2 440 161</w:t>
            </w:r>
          </w:p>
        </w:tc>
        <w:tc>
          <w:tcPr>
            <w:tcW w:w="1134" w:type="dxa"/>
            <w:vAlign w:val="center"/>
          </w:tcPr>
          <w:p w14:paraId="6023DE48" w14:textId="77777777" w:rsidR="008736E8" w:rsidRPr="00C60492" w:rsidRDefault="008736E8" w:rsidP="00211538">
            <w:pPr>
              <w:spacing w:after="0" w:line="240" w:lineRule="auto"/>
              <w:jc w:val="right"/>
              <w:rPr>
                <w:rFonts w:eastAsia="Times New Roman" w:cs="Segoe UI"/>
                <w:sz w:val="16"/>
                <w:szCs w:val="16"/>
                <w:lang w:eastAsia="sk-SK"/>
              </w:rPr>
            </w:pPr>
            <w:r w:rsidRPr="0079548A">
              <w:rPr>
                <w:rFonts w:eastAsia="Times New Roman" w:cs="Segoe UI"/>
                <w:color w:val="000000"/>
                <w:sz w:val="16"/>
                <w:szCs w:val="16"/>
                <w:lang w:eastAsia="sk-SK"/>
              </w:rPr>
              <w:t>4 113 804</w:t>
            </w:r>
          </w:p>
        </w:tc>
        <w:tc>
          <w:tcPr>
            <w:tcW w:w="1134" w:type="dxa"/>
            <w:shd w:val="clear" w:color="auto" w:fill="auto"/>
            <w:vAlign w:val="center"/>
          </w:tcPr>
          <w:p w14:paraId="5B1349C5"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4 113 805</w:t>
            </w:r>
          </w:p>
        </w:tc>
        <w:tc>
          <w:tcPr>
            <w:tcW w:w="1134" w:type="dxa"/>
            <w:shd w:val="clear" w:color="auto" w:fill="auto"/>
            <w:vAlign w:val="center"/>
          </w:tcPr>
          <w:p w14:paraId="0E01EDB3"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2 806 375</w:t>
            </w:r>
          </w:p>
        </w:tc>
        <w:tc>
          <w:tcPr>
            <w:tcW w:w="1078" w:type="dxa"/>
            <w:shd w:val="clear" w:color="auto" w:fill="auto"/>
            <w:vAlign w:val="center"/>
          </w:tcPr>
          <w:p w14:paraId="7B08AB6A" w14:textId="77777777" w:rsidR="008736E8" w:rsidRPr="00C60492" w:rsidRDefault="008736E8" w:rsidP="00211538">
            <w:pPr>
              <w:spacing w:after="0" w:line="240" w:lineRule="auto"/>
              <w:jc w:val="right"/>
              <w:rPr>
                <w:rFonts w:eastAsia="Times New Roman" w:cs="Segoe UI"/>
                <w:sz w:val="16"/>
                <w:szCs w:val="16"/>
                <w:lang w:eastAsia="sk-SK"/>
              </w:rPr>
            </w:pPr>
            <w:r w:rsidRPr="00C60492">
              <w:rPr>
                <w:rFonts w:eastAsia="Times New Roman" w:cs="Segoe UI"/>
                <w:sz w:val="16"/>
                <w:szCs w:val="16"/>
                <w:lang w:eastAsia="sk-SK"/>
              </w:rPr>
              <w:t>2 707 005</w:t>
            </w:r>
          </w:p>
        </w:tc>
        <w:tc>
          <w:tcPr>
            <w:tcW w:w="985" w:type="dxa"/>
            <w:shd w:val="clear" w:color="auto" w:fill="auto"/>
            <w:vAlign w:val="center"/>
          </w:tcPr>
          <w:p w14:paraId="16A4F4FA"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-99 370</w:t>
            </w:r>
          </w:p>
        </w:tc>
        <w:tc>
          <w:tcPr>
            <w:tcW w:w="628" w:type="dxa"/>
            <w:shd w:val="clear" w:color="auto" w:fill="auto"/>
            <w:vAlign w:val="center"/>
          </w:tcPr>
          <w:p w14:paraId="5156CAD9" w14:textId="77777777" w:rsidR="008736E8" w:rsidRPr="00C60492" w:rsidRDefault="008736E8" w:rsidP="00211538">
            <w:pPr>
              <w:spacing w:after="0" w:line="240" w:lineRule="auto"/>
              <w:jc w:val="right"/>
              <w:rPr>
                <w:rFonts w:eastAsia="Times New Roman" w:cs="Segoe UI"/>
                <w:color w:val="000000"/>
                <w:sz w:val="16"/>
                <w:szCs w:val="16"/>
                <w:lang w:eastAsia="sk-SK"/>
              </w:rPr>
            </w:pPr>
            <w:r w:rsidRPr="00C60492">
              <w:rPr>
                <w:rFonts w:eastAsia="Times New Roman" w:cs="Segoe UI"/>
                <w:color w:val="000000"/>
                <w:sz w:val="16"/>
                <w:szCs w:val="16"/>
                <w:lang w:eastAsia="sk-SK"/>
              </w:rPr>
              <w:t>110,9</w:t>
            </w:r>
          </w:p>
        </w:tc>
      </w:tr>
      <w:tr w:rsidR="008736E8" w:rsidRPr="008B7485" w14:paraId="68425DED" w14:textId="77777777" w:rsidTr="00211538">
        <w:trPr>
          <w:trHeight w:val="283"/>
          <w:jc w:val="center"/>
        </w:trPr>
        <w:tc>
          <w:tcPr>
            <w:tcW w:w="1552" w:type="dxa"/>
            <w:tcBorders>
              <w:bottom w:val="single" w:sz="4" w:space="0" w:color="314364" w:themeColor="text2"/>
            </w:tcBorders>
            <w:shd w:val="clear" w:color="auto" w:fill="auto"/>
            <w:vAlign w:val="center"/>
          </w:tcPr>
          <w:p w14:paraId="5F579B93" w14:textId="77777777" w:rsidR="008736E8" w:rsidRPr="00C60492" w:rsidRDefault="008736E8" w:rsidP="00211538">
            <w:pPr>
              <w:spacing w:after="0" w:line="240" w:lineRule="auto"/>
              <w:jc w:val="left"/>
              <w:rPr>
                <w:rFonts w:eastAsia="Calibri" w:cs="Segoe UI"/>
                <w:b/>
                <w:bCs/>
                <w:sz w:val="16"/>
                <w:szCs w:val="16"/>
              </w:rPr>
            </w:pPr>
            <w:r w:rsidRPr="00C60492">
              <w:rPr>
                <w:rFonts w:eastAsia="Calibri" w:cs="Segoe UI"/>
                <w:b/>
                <w:bCs/>
                <w:sz w:val="16"/>
                <w:szCs w:val="16"/>
              </w:rPr>
              <w:t>Schodok ŠR</w:t>
            </w:r>
          </w:p>
        </w:tc>
        <w:tc>
          <w:tcPr>
            <w:tcW w:w="1425" w:type="dxa"/>
            <w:tcBorders>
              <w:bottom w:val="single" w:sz="4" w:space="0" w:color="314364" w:themeColor="text2"/>
            </w:tcBorders>
            <w:shd w:val="clear" w:color="auto" w:fill="auto"/>
            <w:vAlign w:val="center"/>
          </w:tcPr>
          <w:p w14:paraId="3EF839C2"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-7 014 127</w:t>
            </w:r>
          </w:p>
        </w:tc>
        <w:tc>
          <w:tcPr>
            <w:tcW w:w="1134" w:type="dxa"/>
            <w:tcBorders>
              <w:bottom w:val="single" w:sz="4" w:space="0" w:color="314364" w:themeColor="text2"/>
            </w:tcBorders>
            <w:vAlign w:val="center"/>
          </w:tcPr>
          <w:p w14:paraId="53CC9BC5" w14:textId="77777777" w:rsidR="008736E8" w:rsidRPr="00C60492" w:rsidRDefault="008736E8" w:rsidP="00211538">
            <w:pPr>
              <w:spacing w:after="0" w:line="240" w:lineRule="auto"/>
              <w:jc w:val="right"/>
              <w:rPr>
                <w:rFonts w:eastAsia="Times New Roman" w:cs="Segoe UI"/>
                <w:b/>
                <w:bCs/>
                <w:sz w:val="16"/>
                <w:szCs w:val="16"/>
                <w:lang w:eastAsia="sk-SK"/>
              </w:rPr>
            </w:pPr>
            <w:r w:rsidRPr="0079548A">
              <w:rPr>
                <w:rFonts w:eastAsia="Times New Roman" w:cs="Segoe UI"/>
                <w:b/>
                <w:bCs/>
                <w:color w:val="000000"/>
                <w:sz w:val="16"/>
                <w:szCs w:val="16"/>
                <w:lang w:eastAsia="sk-SK"/>
              </w:rPr>
              <w:t>-5 473 518</w:t>
            </w:r>
          </w:p>
        </w:tc>
        <w:tc>
          <w:tcPr>
            <w:tcW w:w="1134" w:type="dxa"/>
            <w:tcBorders>
              <w:bottom w:val="single" w:sz="4" w:space="0" w:color="314364" w:themeColor="text2"/>
            </w:tcBorders>
            <w:shd w:val="clear" w:color="auto" w:fill="auto"/>
            <w:vAlign w:val="center"/>
          </w:tcPr>
          <w:p w14:paraId="6B80BBAA"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-5 473 518</w:t>
            </w:r>
          </w:p>
        </w:tc>
        <w:tc>
          <w:tcPr>
            <w:tcW w:w="1134" w:type="dxa"/>
            <w:tcBorders>
              <w:bottom w:val="single" w:sz="4" w:space="0" w:color="314364" w:themeColor="text2"/>
            </w:tcBorders>
            <w:shd w:val="clear" w:color="auto" w:fill="auto"/>
            <w:vAlign w:val="center"/>
          </w:tcPr>
          <w:p w14:paraId="44AC6690"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-4 785 988</w:t>
            </w:r>
          </w:p>
        </w:tc>
        <w:tc>
          <w:tcPr>
            <w:tcW w:w="1078" w:type="dxa"/>
            <w:tcBorders>
              <w:bottom w:val="single" w:sz="4" w:space="0" w:color="314364" w:themeColor="text2"/>
            </w:tcBorders>
            <w:shd w:val="clear" w:color="auto" w:fill="auto"/>
            <w:vAlign w:val="center"/>
          </w:tcPr>
          <w:p w14:paraId="24E77B41" w14:textId="77777777" w:rsidR="008736E8" w:rsidRPr="00C60492" w:rsidRDefault="008736E8" w:rsidP="00211538">
            <w:pPr>
              <w:spacing w:after="0" w:line="240" w:lineRule="auto"/>
              <w:jc w:val="right"/>
              <w:rPr>
                <w:rFonts w:eastAsia="Times New Roman" w:cs="Segoe UI"/>
                <w:b/>
                <w:bCs/>
                <w:sz w:val="16"/>
                <w:szCs w:val="16"/>
                <w:lang w:eastAsia="sk-SK"/>
              </w:rPr>
            </w:pPr>
            <w:r w:rsidRPr="00C60492">
              <w:rPr>
                <w:rFonts w:eastAsia="Times New Roman" w:cs="Segoe UI"/>
                <w:b/>
                <w:bCs/>
                <w:sz w:val="16"/>
                <w:szCs w:val="16"/>
                <w:lang w:eastAsia="sk-SK"/>
              </w:rPr>
              <w:t>-4 524 853</w:t>
            </w:r>
          </w:p>
        </w:tc>
        <w:tc>
          <w:tcPr>
            <w:tcW w:w="985" w:type="dxa"/>
            <w:tcBorders>
              <w:bottom w:val="single" w:sz="4" w:space="0" w:color="314364" w:themeColor="text2"/>
            </w:tcBorders>
            <w:shd w:val="clear" w:color="auto" w:fill="auto"/>
            <w:vAlign w:val="center"/>
          </w:tcPr>
          <w:p w14:paraId="5F703764"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261 135</w:t>
            </w:r>
          </w:p>
        </w:tc>
        <w:tc>
          <w:tcPr>
            <w:tcW w:w="628" w:type="dxa"/>
            <w:tcBorders>
              <w:bottom w:val="single" w:sz="4" w:space="0" w:color="314364" w:themeColor="text2"/>
            </w:tcBorders>
            <w:shd w:val="clear" w:color="auto" w:fill="auto"/>
            <w:vAlign w:val="center"/>
          </w:tcPr>
          <w:p w14:paraId="6F09DBCE" w14:textId="77777777" w:rsidR="008736E8" w:rsidRPr="00C60492" w:rsidRDefault="008736E8" w:rsidP="00211538">
            <w:pPr>
              <w:spacing w:after="0" w:line="240" w:lineRule="auto"/>
              <w:jc w:val="right"/>
              <w:rPr>
                <w:rFonts w:eastAsia="Times New Roman" w:cs="Segoe UI"/>
                <w:b/>
                <w:bCs/>
                <w:color w:val="000000"/>
                <w:sz w:val="16"/>
                <w:szCs w:val="16"/>
                <w:lang w:eastAsia="sk-SK"/>
              </w:rPr>
            </w:pPr>
            <w:r w:rsidRPr="00C60492">
              <w:rPr>
                <w:rFonts w:eastAsia="Times New Roman" w:cs="Segoe UI"/>
                <w:b/>
                <w:bCs/>
                <w:color w:val="000000"/>
                <w:sz w:val="16"/>
                <w:szCs w:val="16"/>
                <w:lang w:eastAsia="sk-SK"/>
              </w:rPr>
              <w:t>64,5</w:t>
            </w:r>
          </w:p>
        </w:tc>
      </w:tr>
    </w:tbl>
    <w:p w14:paraId="551A431C" w14:textId="05772C85" w:rsidR="008736E8" w:rsidRDefault="008736E8" w:rsidP="008736E8">
      <w:pPr>
        <w:pStyle w:val="Zdroj"/>
      </w:pPr>
      <w:r w:rsidRPr="00B23AEB">
        <w:rPr>
          <w:rFonts w:cs="Times New Roman"/>
        </w:rPr>
        <w:t>Zdroj: Návrh ŠZÚ</w:t>
      </w:r>
      <w:r>
        <w:rPr>
          <w:rFonts w:cs="Times New Roman"/>
        </w:rPr>
        <w:t xml:space="preserve"> </w:t>
      </w:r>
      <w:r w:rsidRPr="00B23AEB">
        <w:rPr>
          <w:rFonts w:cs="Times New Roman"/>
        </w:rPr>
        <w:t>202</w:t>
      </w:r>
      <w:r>
        <w:rPr>
          <w:rFonts w:cs="Times New Roman"/>
        </w:rPr>
        <w:t>2</w:t>
      </w:r>
      <w:r w:rsidR="00C87105">
        <w:rPr>
          <w:rFonts w:cs="Times New Roman"/>
        </w:rPr>
        <w:t>.</w:t>
      </w:r>
      <w:r w:rsidRPr="00B23AEB">
        <w:rPr>
          <w:rFonts w:cs="Times New Roman"/>
        </w:rPr>
        <w:br/>
      </w:r>
      <w:r>
        <w:t>S – skutočnosť, R – rozpočet, NR – novelizovaný rozpočet, UR – upravený rozpočet, YoY – medziročná zmena</w:t>
      </w:r>
    </w:p>
    <w:p w14:paraId="4A457457" w14:textId="5C1C8165" w:rsidR="001551E5" w:rsidRDefault="001551E5" w:rsidP="001551E5">
      <w:pPr>
        <w:rPr>
          <w:rFonts w:eastAsia="Times New Roman" w:cs="Segoe UI"/>
          <w:szCs w:val="20"/>
          <w:lang w:eastAsia="sk-SK"/>
        </w:rPr>
      </w:pPr>
      <w:r w:rsidRPr="00DA5560">
        <w:rPr>
          <w:rFonts w:eastAsia="Calibri" w:cs="Segoe UI"/>
          <w:b/>
          <w:szCs w:val="20"/>
        </w:rPr>
        <w:t>Zámery vo vybraných výdavkových položkách sa v predchádzajúcom roku podarilo naplniť, s výnimkou výdavkov súvisiacich s čerpan</w:t>
      </w:r>
      <w:r>
        <w:rPr>
          <w:rFonts w:eastAsia="Calibri" w:cs="Segoe UI"/>
          <w:b/>
          <w:szCs w:val="20"/>
        </w:rPr>
        <w:t>ím</w:t>
      </w:r>
      <w:r w:rsidRPr="00DA5560">
        <w:rPr>
          <w:rFonts w:eastAsia="Calibri" w:cs="Segoe UI"/>
          <w:b/>
          <w:szCs w:val="20"/>
        </w:rPr>
        <w:t xml:space="preserve"> </w:t>
      </w:r>
      <w:r w:rsidR="004643AC">
        <w:rPr>
          <w:rFonts w:eastAsia="Calibri" w:cs="Segoe UI"/>
          <w:b/>
          <w:szCs w:val="20"/>
        </w:rPr>
        <w:t>zdrojov z</w:t>
      </w:r>
      <w:r w:rsidR="00322540">
        <w:rPr>
          <w:rFonts w:eastAsia="Calibri" w:cs="Segoe UI"/>
          <w:b/>
          <w:szCs w:val="20"/>
        </w:rPr>
        <w:t> </w:t>
      </w:r>
      <w:r w:rsidRPr="00DA5560">
        <w:rPr>
          <w:rFonts w:eastAsia="Calibri" w:cs="Segoe UI"/>
          <w:b/>
          <w:szCs w:val="20"/>
        </w:rPr>
        <w:t>EÚ</w:t>
      </w:r>
      <w:r w:rsidR="00322540">
        <w:rPr>
          <w:rFonts w:eastAsia="Calibri" w:cs="Segoe UI"/>
          <w:b/>
          <w:szCs w:val="20"/>
        </w:rPr>
        <w:t xml:space="preserve"> </w:t>
      </w:r>
      <w:r w:rsidR="00322540">
        <w:rPr>
          <w:rFonts w:eastAsia="Calibri" w:cs="Segoe UI"/>
          <w:szCs w:val="20"/>
        </w:rPr>
        <w:t xml:space="preserve">(tabuľka </w:t>
      </w:r>
      <w:r w:rsidR="00B53955">
        <w:rPr>
          <w:rFonts w:eastAsia="Calibri" w:cs="Segoe UI"/>
          <w:szCs w:val="20"/>
        </w:rPr>
        <w:t>5</w:t>
      </w:r>
      <w:r w:rsidR="00322540">
        <w:rPr>
          <w:rFonts w:eastAsia="Calibri" w:cs="Segoe UI"/>
          <w:szCs w:val="20"/>
        </w:rPr>
        <w:t>).</w:t>
      </w:r>
      <w:r>
        <w:rPr>
          <w:rFonts w:eastAsia="Calibri" w:cs="Segoe UI"/>
          <w:b/>
          <w:szCs w:val="20"/>
        </w:rPr>
        <w:t xml:space="preserve"> </w:t>
      </w:r>
      <w:r w:rsidR="001842B5">
        <w:rPr>
          <w:rFonts w:eastAsia="Times New Roman" w:cs="Segoe UI"/>
          <w:szCs w:val="20"/>
          <w:lang w:eastAsia="sk-SK"/>
        </w:rPr>
        <w:t>Nepodaril</w:t>
      </w:r>
      <w:r w:rsidR="006F5D6F">
        <w:rPr>
          <w:rFonts w:eastAsia="Times New Roman" w:cs="Segoe UI"/>
          <w:szCs w:val="20"/>
          <w:lang w:eastAsia="sk-SK"/>
        </w:rPr>
        <w:t>o</w:t>
      </w:r>
      <w:r w:rsidR="001842B5">
        <w:rPr>
          <w:rFonts w:eastAsia="Times New Roman" w:cs="Segoe UI"/>
          <w:szCs w:val="20"/>
          <w:lang w:eastAsia="sk-SK"/>
        </w:rPr>
        <w:t xml:space="preserve"> sa naplniť očakávania pri POO, fondoch EÚ a spolufinancovaní zo ŠR. Prostriedky POO boli oproti rozpočtu nižšie o 1,3 mld. eur, fondov EÚ o 945 mil. eur a spolufinancovanie zo ŠR o 199 mil. eur. </w:t>
      </w:r>
      <w:r w:rsidRPr="007D2DEB">
        <w:rPr>
          <w:rFonts w:eastAsia="Times New Roman" w:cs="Segoe UI"/>
          <w:color w:val="252525"/>
          <w:szCs w:val="20"/>
          <w:lang w:eastAsia="sk-SK"/>
        </w:rPr>
        <w:t xml:space="preserve">Výdavky na obsluhu štátneho dlhu </w:t>
      </w:r>
      <w:r w:rsidR="001842B5">
        <w:rPr>
          <w:rFonts w:eastAsia="Times New Roman" w:cs="Segoe UI"/>
          <w:color w:val="252525"/>
          <w:szCs w:val="20"/>
          <w:lang w:eastAsia="sk-SK"/>
        </w:rPr>
        <w:t xml:space="preserve">síce </w:t>
      </w:r>
      <w:r w:rsidRPr="007D2DEB">
        <w:rPr>
          <w:rFonts w:eastAsia="Times New Roman" w:cs="Segoe UI"/>
          <w:color w:val="252525"/>
          <w:szCs w:val="20"/>
          <w:lang w:eastAsia="sk-SK"/>
        </w:rPr>
        <w:t>medziročn</w:t>
      </w:r>
      <w:r w:rsidR="00322540">
        <w:rPr>
          <w:rFonts w:eastAsia="Times New Roman" w:cs="Segoe UI"/>
          <w:color w:val="252525"/>
          <w:szCs w:val="20"/>
          <w:lang w:eastAsia="sk-SK"/>
        </w:rPr>
        <w:t>e</w:t>
      </w:r>
      <w:r w:rsidRPr="007D2DEB">
        <w:rPr>
          <w:rFonts w:eastAsia="Times New Roman" w:cs="Segoe UI"/>
          <w:color w:val="252525"/>
          <w:szCs w:val="20"/>
          <w:lang w:eastAsia="sk-SK"/>
        </w:rPr>
        <w:t xml:space="preserve"> </w:t>
      </w:r>
      <w:r w:rsidR="00322540">
        <w:rPr>
          <w:rFonts w:eastAsia="Times New Roman" w:cs="Segoe UI"/>
          <w:color w:val="252525"/>
          <w:szCs w:val="20"/>
          <w:lang w:eastAsia="sk-SK"/>
        </w:rPr>
        <w:t>vzrástli</w:t>
      </w:r>
      <w:r w:rsidRPr="007D2DEB">
        <w:rPr>
          <w:rFonts w:eastAsia="Times New Roman" w:cs="Segoe UI"/>
          <w:color w:val="252525"/>
          <w:szCs w:val="20"/>
          <w:lang w:eastAsia="sk-SK"/>
        </w:rPr>
        <w:t xml:space="preserve"> o 401,8 mil. eur (61,1 %)</w:t>
      </w:r>
      <w:r w:rsidR="001842B5">
        <w:rPr>
          <w:rFonts w:eastAsia="Times New Roman" w:cs="Segoe UI"/>
          <w:color w:val="252525"/>
          <w:szCs w:val="20"/>
          <w:lang w:eastAsia="sk-SK"/>
        </w:rPr>
        <w:t>, ale o</w:t>
      </w:r>
      <w:r>
        <w:rPr>
          <w:rFonts w:eastAsia="Times New Roman" w:cs="Segoe UI"/>
          <w:color w:val="252525"/>
          <w:szCs w:val="20"/>
          <w:lang w:eastAsia="sk-SK"/>
        </w:rPr>
        <w:t xml:space="preserve">proti </w:t>
      </w:r>
      <w:r w:rsidR="000D05F2">
        <w:rPr>
          <w:rFonts w:eastAsia="Times New Roman" w:cs="Segoe UI"/>
          <w:color w:val="252525"/>
          <w:szCs w:val="20"/>
          <w:lang w:eastAsia="sk-SK"/>
        </w:rPr>
        <w:t xml:space="preserve">návrhu </w:t>
      </w:r>
      <w:r>
        <w:rPr>
          <w:rFonts w:eastAsia="Times New Roman" w:cs="Segoe UI"/>
          <w:color w:val="252525"/>
          <w:szCs w:val="20"/>
          <w:lang w:eastAsia="sk-SK"/>
        </w:rPr>
        <w:t xml:space="preserve">rozpočtu na rok 2022 </w:t>
      </w:r>
      <w:r w:rsidRPr="00DF5101">
        <w:rPr>
          <w:rFonts w:eastAsia="Times New Roman" w:cs="Segoe UI"/>
          <w:szCs w:val="20"/>
          <w:lang w:eastAsia="sk-SK"/>
        </w:rPr>
        <w:t>sa podarilo ušetriť 30</w:t>
      </w:r>
      <w:r>
        <w:rPr>
          <w:rFonts w:eastAsia="Times New Roman" w:cs="Segoe UI"/>
          <w:szCs w:val="20"/>
          <w:lang w:eastAsia="sk-SK"/>
        </w:rPr>
        <w:t>,6 mil</w:t>
      </w:r>
      <w:r w:rsidRPr="00DF5101">
        <w:rPr>
          <w:rFonts w:eastAsia="Times New Roman" w:cs="Segoe UI"/>
          <w:szCs w:val="20"/>
          <w:lang w:eastAsia="sk-SK"/>
        </w:rPr>
        <w:t xml:space="preserve">. eur. </w:t>
      </w:r>
      <w:r>
        <w:rPr>
          <w:rFonts w:eastAsia="Times New Roman" w:cs="Segoe UI"/>
          <w:szCs w:val="20"/>
          <w:lang w:eastAsia="sk-SK"/>
        </w:rPr>
        <w:t xml:space="preserve">Pozitívny vplyv mali </w:t>
      </w:r>
      <w:r w:rsidRPr="00DF5101">
        <w:rPr>
          <w:rFonts w:eastAsia="Times New Roman" w:cs="Segoe UI"/>
          <w:szCs w:val="20"/>
          <w:lang w:eastAsia="sk-SK"/>
        </w:rPr>
        <w:t>nákupy slovenských štátnych dlhopisov zo strany ECB</w:t>
      </w:r>
      <w:r>
        <w:rPr>
          <w:rFonts w:eastAsia="Times New Roman" w:cs="Segoe UI"/>
          <w:szCs w:val="20"/>
          <w:lang w:eastAsia="sk-SK"/>
        </w:rPr>
        <w:t xml:space="preserve">, najmä </w:t>
      </w:r>
      <w:r w:rsidRPr="00DF5101">
        <w:rPr>
          <w:rFonts w:eastAsia="Times New Roman" w:cs="Segoe UI"/>
          <w:szCs w:val="20"/>
          <w:lang w:eastAsia="sk-SK"/>
        </w:rPr>
        <w:t>dlhopisov s väčšími kupónmi, v porovnaní s výnosmi do splatnosti</w:t>
      </w:r>
      <w:r>
        <w:rPr>
          <w:rFonts w:eastAsia="Times New Roman" w:cs="Segoe UI"/>
          <w:szCs w:val="20"/>
          <w:lang w:eastAsia="sk-SK"/>
        </w:rPr>
        <w:t>. P</w:t>
      </w:r>
      <w:r w:rsidRPr="00DF5101">
        <w:rPr>
          <w:rFonts w:eastAsia="Times New Roman" w:cs="Segoe UI"/>
          <w:szCs w:val="20"/>
          <w:lang w:eastAsia="sk-SK"/>
        </w:rPr>
        <w:t>ozitívne vplýval aj systém štátnej pokladnice, ktorý zabezpečil, že SR mala k dispozícii stabilné a lacné zdroje financovania, ktoré slúžili hlavne ako hotovostná rezerva v</w:t>
      </w:r>
      <w:r w:rsidR="004643AC">
        <w:rPr>
          <w:rFonts w:eastAsia="Times New Roman" w:cs="Segoe UI"/>
          <w:szCs w:val="20"/>
          <w:lang w:eastAsia="sk-SK"/>
        </w:rPr>
        <w:t xml:space="preserve"> prípade </w:t>
      </w:r>
      <w:r w:rsidR="000D05F2">
        <w:rPr>
          <w:rFonts w:eastAsia="Times New Roman" w:cs="Segoe UI"/>
          <w:szCs w:val="20"/>
          <w:lang w:eastAsia="sk-SK"/>
        </w:rPr>
        <w:t>horš</w:t>
      </w:r>
      <w:r w:rsidR="004643AC">
        <w:rPr>
          <w:rFonts w:eastAsia="Times New Roman" w:cs="Segoe UI"/>
          <w:szCs w:val="20"/>
          <w:lang w:eastAsia="sk-SK"/>
        </w:rPr>
        <w:t>ej situácie</w:t>
      </w:r>
      <w:r w:rsidRPr="00DF5101">
        <w:rPr>
          <w:rFonts w:eastAsia="Times New Roman" w:cs="Segoe UI"/>
          <w:szCs w:val="20"/>
          <w:lang w:eastAsia="sk-SK"/>
        </w:rPr>
        <w:t xml:space="preserve"> na finančn</w:t>
      </w:r>
      <w:r w:rsidR="004643AC">
        <w:rPr>
          <w:rFonts w:eastAsia="Times New Roman" w:cs="Segoe UI"/>
          <w:szCs w:val="20"/>
          <w:lang w:eastAsia="sk-SK"/>
        </w:rPr>
        <w:t>ých</w:t>
      </w:r>
      <w:r w:rsidRPr="00DF5101">
        <w:rPr>
          <w:rFonts w:eastAsia="Times New Roman" w:cs="Segoe UI"/>
          <w:szCs w:val="20"/>
          <w:lang w:eastAsia="sk-SK"/>
        </w:rPr>
        <w:t xml:space="preserve"> trh</w:t>
      </w:r>
      <w:r w:rsidR="004643AC">
        <w:rPr>
          <w:rFonts w:eastAsia="Times New Roman" w:cs="Segoe UI"/>
          <w:szCs w:val="20"/>
          <w:lang w:eastAsia="sk-SK"/>
        </w:rPr>
        <w:t>och</w:t>
      </w:r>
      <w:r w:rsidRPr="00DF5101">
        <w:rPr>
          <w:rFonts w:eastAsia="Times New Roman" w:cs="Segoe UI"/>
          <w:szCs w:val="20"/>
          <w:lang w:eastAsia="sk-SK"/>
        </w:rPr>
        <w:t xml:space="preserve"> (vypuknutie </w:t>
      </w:r>
      <w:r w:rsidRPr="00DF5101">
        <w:rPr>
          <w:rFonts w:eastAsia="Times New Roman" w:cs="Segoe UI"/>
          <w:szCs w:val="20"/>
          <w:lang w:eastAsia="sk-SK"/>
        </w:rPr>
        <w:lastRenderedPageBreak/>
        <w:t>vojny na Ukrajine).</w:t>
      </w:r>
      <w:r>
        <w:rPr>
          <w:rFonts w:eastAsia="Times New Roman" w:cs="Segoe UI"/>
          <w:szCs w:val="20"/>
          <w:lang w:eastAsia="sk-SK"/>
        </w:rPr>
        <w:t xml:space="preserve"> </w:t>
      </w:r>
      <w:r w:rsidR="00EF0780">
        <w:rPr>
          <w:rFonts w:eastAsia="Times New Roman" w:cs="Segoe UI"/>
          <w:szCs w:val="20"/>
          <w:lang w:eastAsia="sk-SK"/>
        </w:rPr>
        <w:t>T</w:t>
      </w:r>
      <w:r w:rsidR="00EF0780" w:rsidRPr="00EF0780">
        <w:rPr>
          <w:rFonts w:eastAsia="Times New Roman" w:cs="Segoe UI"/>
          <w:szCs w:val="20"/>
          <w:lang w:eastAsia="sk-SK"/>
        </w:rPr>
        <w:t xml:space="preserve">ransfer pre Sociálnu poisťovňu bol nižší o 297 mil. eur, </w:t>
      </w:r>
      <w:r w:rsidR="00EF0780">
        <w:rPr>
          <w:rFonts w:eastAsia="Times New Roman" w:cs="Segoe UI"/>
          <w:szCs w:val="20"/>
          <w:lang w:eastAsia="sk-SK"/>
        </w:rPr>
        <w:t xml:space="preserve">a to </w:t>
      </w:r>
      <w:r w:rsidR="00EF0780" w:rsidRPr="00EF0780">
        <w:rPr>
          <w:rFonts w:eastAsia="Times New Roman" w:cs="Segoe UI"/>
          <w:szCs w:val="20"/>
          <w:lang w:eastAsia="sk-SK"/>
        </w:rPr>
        <w:t>z dôvodu postúpenia pohľadávok SP voči ZZ vo výške 199 mil. eur</w:t>
      </w:r>
      <w:r w:rsidR="00EF0780">
        <w:rPr>
          <w:rFonts w:eastAsia="Times New Roman" w:cs="Segoe UI"/>
          <w:szCs w:val="20"/>
          <w:lang w:eastAsia="sk-SK"/>
        </w:rPr>
        <w:t>.</w:t>
      </w:r>
    </w:p>
    <w:p w14:paraId="7AB36F5C" w14:textId="77777777" w:rsidR="006F5D6F" w:rsidRPr="00B23AEB" w:rsidRDefault="006F5D6F" w:rsidP="006F5D6F">
      <w:pPr>
        <w:keepNext/>
        <w:spacing w:after="0" w:line="240" w:lineRule="auto"/>
        <w:rPr>
          <w:rFonts w:eastAsia="Calibri" w:cs="Times New Roman"/>
          <w:b/>
          <w:iCs/>
          <w:color w:val="314364"/>
          <w:szCs w:val="18"/>
        </w:rPr>
      </w:pPr>
      <w:r w:rsidRPr="00B23AEB">
        <w:rPr>
          <w:rFonts w:eastAsia="Calibri" w:cs="Times New Roman"/>
          <w:b/>
          <w:iCs/>
          <w:color w:val="314364"/>
          <w:szCs w:val="18"/>
        </w:rPr>
        <w:t xml:space="preserve">Tabuľka </w:t>
      </w:r>
      <w:r>
        <w:rPr>
          <w:rFonts w:eastAsia="Calibri" w:cs="Times New Roman"/>
          <w:b/>
          <w:iCs/>
          <w:color w:val="314364"/>
          <w:szCs w:val="18"/>
        </w:rPr>
        <w:t>5</w:t>
      </w:r>
      <w:r w:rsidRPr="00B23AEB">
        <w:rPr>
          <w:rFonts w:eastAsia="Calibri" w:cs="Times New Roman"/>
          <w:b/>
          <w:iCs/>
          <w:color w:val="314364"/>
          <w:szCs w:val="18"/>
        </w:rPr>
        <w:t xml:space="preserve">: </w:t>
      </w:r>
      <w:r>
        <w:rPr>
          <w:rFonts w:eastAsia="Calibri" w:cs="Times New Roman"/>
          <w:b/>
          <w:iCs/>
          <w:color w:val="314364"/>
          <w:szCs w:val="18"/>
        </w:rPr>
        <w:t>Čerpanie vybraných výdavkov</w:t>
      </w:r>
      <w:r w:rsidRPr="00B23AEB">
        <w:rPr>
          <w:rFonts w:eastAsia="Calibri" w:cs="Times New Roman"/>
          <w:b/>
          <w:iCs/>
          <w:color w:val="314364"/>
          <w:szCs w:val="18"/>
        </w:rPr>
        <w:t xml:space="preserve"> ŠR</w:t>
      </w:r>
      <w:r>
        <w:rPr>
          <w:rFonts w:eastAsia="Calibri" w:cs="Times New Roman"/>
          <w:b/>
          <w:iCs/>
          <w:color w:val="314364"/>
          <w:szCs w:val="18"/>
        </w:rPr>
        <w:t xml:space="preserve"> </w:t>
      </w:r>
      <w:r w:rsidRPr="00EC6614">
        <w:rPr>
          <w:rFonts w:eastAsia="Calibri" w:cs="Times New Roman"/>
          <w:b/>
          <w:iCs/>
          <w:color w:val="314364"/>
          <w:szCs w:val="18"/>
        </w:rPr>
        <w:t>(v tis. eur)</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2977"/>
        <w:gridCol w:w="1377"/>
        <w:gridCol w:w="1322"/>
        <w:gridCol w:w="1243"/>
        <w:gridCol w:w="1161"/>
        <w:gridCol w:w="990"/>
      </w:tblGrid>
      <w:tr w:rsidR="006F5D6F" w14:paraId="1F307B42" w14:textId="77777777" w:rsidTr="00B34C91">
        <w:trPr>
          <w:trHeight w:val="255"/>
        </w:trPr>
        <w:tc>
          <w:tcPr>
            <w:tcW w:w="1641" w:type="pct"/>
            <w:shd w:val="clear" w:color="auto" w:fill="314364"/>
            <w:vAlign w:val="center"/>
          </w:tcPr>
          <w:p w14:paraId="50C40DDD" w14:textId="77777777" w:rsidR="006F5D6F" w:rsidRPr="0032280E" w:rsidRDefault="006F5D6F" w:rsidP="00B34C91">
            <w:pPr>
              <w:spacing w:after="0" w:line="259" w:lineRule="auto"/>
              <w:jc w:val="left"/>
              <w:rPr>
                <w:b/>
                <w:color w:val="FFFFFF" w:themeColor="background1"/>
                <w:sz w:val="18"/>
              </w:rPr>
            </w:pPr>
            <w:r>
              <w:rPr>
                <w:rFonts w:eastAsia="Calibri" w:cs="Segoe UI"/>
                <w:b/>
                <w:bCs/>
                <w:color w:val="FFFFFF"/>
                <w:sz w:val="18"/>
                <w:szCs w:val="18"/>
              </w:rPr>
              <w:t>Ukazovateľ</w:t>
            </w:r>
          </w:p>
        </w:tc>
        <w:tc>
          <w:tcPr>
            <w:tcW w:w="759" w:type="pct"/>
            <w:shd w:val="clear" w:color="auto" w:fill="314364"/>
            <w:vAlign w:val="center"/>
          </w:tcPr>
          <w:p w14:paraId="0C54B16D" w14:textId="77777777" w:rsidR="006F5D6F" w:rsidRDefault="006F5D6F" w:rsidP="00B34C91">
            <w:pPr>
              <w:spacing w:after="0" w:line="259" w:lineRule="auto"/>
              <w:jc w:val="right"/>
              <w:rPr>
                <w:b/>
                <w:color w:val="FFFFFF" w:themeColor="background1"/>
                <w:sz w:val="18"/>
              </w:rPr>
            </w:pPr>
            <w:r>
              <w:rPr>
                <w:rFonts w:eastAsia="Calibri" w:cs="Segoe UI"/>
                <w:b/>
                <w:color w:val="FFFFFF"/>
                <w:sz w:val="18"/>
                <w:szCs w:val="18"/>
              </w:rPr>
              <w:t>2021 S</w:t>
            </w:r>
          </w:p>
        </w:tc>
        <w:tc>
          <w:tcPr>
            <w:tcW w:w="729" w:type="pct"/>
            <w:shd w:val="clear" w:color="auto" w:fill="314364"/>
            <w:vAlign w:val="center"/>
          </w:tcPr>
          <w:p w14:paraId="282769C8" w14:textId="77777777" w:rsidR="006F5D6F" w:rsidRDefault="006F5D6F" w:rsidP="00B34C91">
            <w:pPr>
              <w:spacing w:after="0" w:line="259" w:lineRule="auto"/>
              <w:jc w:val="right"/>
              <w:rPr>
                <w:b/>
                <w:color w:val="FFFFFF" w:themeColor="background1"/>
                <w:sz w:val="18"/>
              </w:rPr>
            </w:pPr>
            <w:r>
              <w:rPr>
                <w:rFonts w:eastAsia="Calibri" w:cs="Segoe UI"/>
                <w:b/>
                <w:color w:val="FFFFFF"/>
                <w:sz w:val="18"/>
                <w:szCs w:val="18"/>
              </w:rPr>
              <w:t>2022 R</w:t>
            </w:r>
          </w:p>
        </w:tc>
        <w:tc>
          <w:tcPr>
            <w:tcW w:w="685" w:type="pct"/>
            <w:shd w:val="clear" w:color="auto" w:fill="314364"/>
            <w:vAlign w:val="center"/>
          </w:tcPr>
          <w:p w14:paraId="0B11E691" w14:textId="77777777" w:rsidR="006F5D6F" w:rsidRDefault="006F5D6F" w:rsidP="00B34C91">
            <w:pPr>
              <w:spacing w:after="0" w:line="259" w:lineRule="auto"/>
              <w:jc w:val="right"/>
              <w:rPr>
                <w:b/>
                <w:color w:val="FFFFFF" w:themeColor="background1"/>
                <w:sz w:val="18"/>
              </w:rPr>
            </w:pPr>
            <w:r>
              <w:rPr>
                <w:rFonts w:eastAsia="Calibri" w:cs="Segoe UI"/>
                <w:b/>
                <w:color w:val="FFFFFF"/>
                <w:sz w:val="18"/>
                <w:szCs w:val="18"/>
              </w:rPr>
              <w:t>2022 S</w:t>
            </w:r>
          </w:p>
        </w:tc>
        <w:tc>
          <w:tcPr>
            <w:tcW w:w="640" w:type="pct"/>
            <w:shd w:val="clear" w:color="auto" w:fill="314364"/>
            <w:vAlign w:val="center"/>
          </w:tcPr>
          <w:p w14:paraId="48C6F209" w14:textId="77777777" w:rsidR="006F5D6F" w:rsidRDefault="006F5D6F" w:rsidP="00B34C91">
            <w:pPr>
              <w:spacing w:after="0" w:line="259" w:lineRule="auto"/>
              <w:jc w:val="right"/>
              <w:rPr>
                <w:b/>
                <w:color w:val="FFFFFF" w:themeColor="background1"/>
                <w:sz w:val="18"/>
              </w:rPr>
            </w:pPr>
            <w:r>
              <w:rPr>
                <w:rFonts w:eastAsia="Calibri" w:cs="Segoe UI"/>
                <w:b/>
                <w:bCs/>
                <w:color w:val="FFFFFF"/>
                <w:sz w:val="18"/>
                <w:szCs w:val="18"/>
              </w:rPr>
              <w:t xml:space="preserve">22S - </w:t>
            </w:r>
            <w:r w:rsidRPr="00842A2B">
              <w:rPr>
                <w:rFonts w:eastAsia="Calibri" w:cs="Segoe UI"/>
                <w:b/>
                <w:bCs/>
                <w:color w:val="FFFFFF"/>
                <w:sz w:val="18"/>
                <w:szCs w:val="18"/>
              </w:rPr>
              <w:t>2</w:t>
            </w:r>
            <w:r>
              <w:rPr>
                <w:rFonts w:eastAsia="Calibri" w:cs="Segoe UI"/>
                <w:b/>
                <w:bCs/>
                <w:color w:val="FFFFFF"/>
                <w:sz w:val="18"/>
                <w:szCs w:val="18"/>
              </w:rPr>
              <w:t>2</w:t>
            </w:r>
            <w:r w:rsidRPr="00842A2B">
              <w:rPr>
                <w:rFonts w:eastAsia="Calibri" w:cs="Segoe UI"/>
                <w:b/>
                <w:bCs/>
                <w:color w:val="FFFFFF"/>
                <w:sz w:val="18"/>
                <w:szCs w:val="18"/>
              </w:rPr>
              <w:t>R</w:t>
            </w:r>
          </w:p>
        </w:tc>
        <w:tc>
          <w:tcPr>
            <w:tcW w:w="546" w:type="pct"/>
            <w:shd w:val="clear" w:color="auto" w:fill="314364"/>
            <w:vAlign w:val="center"/>
          </w:tcPr>
          <w:p w14:paraId="1340274D" w14:textId="77777777" w:rsidR="006F5D6F" w:rsidRDefault="006F5D6F" w:rsidP="00B34C91">
            <w:pPr>
              <w:spacing w:after="0" w:line="259" w:lineRule="auto"/>
              <w:jc w:val="right"/>
              <w:rPr>
                <w:b/>
                <w:color w:val="FFFFFF" w:themeColor="background1"/>
                <w:sz w:val="18"/>
              </w:rPr>
            </w:pPr>
            <w:r>
              <w:rPr>
                <w:rFonts w:eastAsia="Calibri" w:cs="Segoe UI"/>
                <w:b/>
                <w:color w:val="FFFFFF"/>
                <w:sz w:val="18"/>
                <w:szCs w:val="18"/>
              </w:rPr>
              <w:t>YoY</w:t>
            </w:r>
          </w:p>
        </w:tc>
      </w:tr>
      <w:tr w:rsidR="00F7688D" w14:paraId="728F9B77" w14:textId="77777777" w:rsidTr="00846EB5">
        <w:trPr>
          <w:trHeight w:val="255"/>
        </w:trPr>
        <w:tc>
          <w:tcPr>
            <w:tcW w:w="1641" w:type="pct"/>
            <w:vAlign w:val="center"/>
          </w:tcPr>
          <w:p w14:paraId="21F554FE" w14:textId="77777777" w:rsidR="00F7688D" w:rsidRPr="00842A2B" w:rsidRDefault="00F7688D" w:rsidP="00F7688D">
            <w:pPr>
              <w:spacing w:after="0" w:line="259" w:lineRule="auto"/>
              <w:jc w:val="left"/>
              <w:rPr>
                <w:rFonts w:eastAsia="Calibri" w:cs="Segoe UI"/>
                <w:color w:val="000000"/>
                <w:sz w:val="18"/>
                <w:szCs w:val="18"/>
              </w:rPr>
            </w:pPr>
            <w:r w:rsidRPr="00842A2B">
              <w:rPr>
                <w:rFonts w:eastAsia="Calibri" w:cs="Segoe UI"/>
                <w:b/>
                <w:bCs/>
                <w:color w:val="000000"/>
                <w:sz w:val="18"/>
                <w:szCs w:val="18"/>
              </w:rPr>
              <w:t xml:space="preserve">Výdavky ŠR </w:t>
            </w:r>
            <w:r>
              <w:rPr>
                <w:rFonts w:eastAsia="Calibri" w:cs="Segoe UI"/>
                <w:b/>
                <w:bCs/>
                <w:color w:val="000000"/>
                <w:sz w:val="18"/>
                <w:szCs w:val="18"/>
              </w:rPr>
              <w:t>spolu</w:t>
            </w:r>
          </w:p>
        </w:tc>
        <w:tc>
          <w:tcPr>
            <w:tcW w:w="759" w:type="pct"/>
          </w:tcPr>
          <w:p w14:paraId="5BCA48B9" w14:textId="5E16FC40" w:rsidR="00F7688D" w:rsidRPr="002351E4" w:rsidRDefault="00F7688D" w:rsidP="00F7688D">
            <w:pPr>
              <w:spacing w:after="0" w:line="240" w:lineRule="auto"/>
              <w:jc w:val="right"/>
              <w:rPr>
                <w:rFonts w:eastAsia="Times New Roman" w:cs="Segoe UI"/>
                <w:b/>
                <w:bCs/>
                <w:color w:val="000000"/>
                <w:sz w:val="18"/>
                <w:szCs w:val="18"/>
                <w:lang w:eastAsia="sk-SK"/>
              </w:rPr>
            </w:pPr>
            <w:r w:rsidRPr="002351E4">
              <w:rPr>
                <w:b/>
                <w:sz w:val="18"/>
              </w:rPr>
              <w:t>24 211 424</w:t>
            </w:r>
          </w:p>
        </w:tc>
        <w:tc>
          <w:tcPr>
            <w:tcW w:w="729" w:type="pct"/>
          </w:tcPr>
          <w:p w14:paraId="7A54C0BD" w14:textId="22BC110A" w:rsidR="00F7688D" w:rsidRPr="002351E4" w:rsidRDefault="00F7688D" w:rsidP="00F7688D">
            <w:pPr>
              <w:spacing w:after="0" w:line="240" w:lineRule="auto"/>
              <w:jc w:val="right"/>
              <w:rPr>
                <w:rFonts w:eastAsia="Times New Roman" w:cs="Segoe UI"/>
                <w:b/>
                <w:bCs/>
                <w:color w:val="000000"/>
                <w:sz w:val="18"/>
                <w:szCs w:val="18"/>
                <w:lang w:eastAsia="sk-SK"/>
              </w:rPr>
            </w:pPr>
            <w:r w:rsidRPr="002351E4">
              <w:rPr>
                <w:b/>
                <w:sz w:val="18"/>
              </w:rPr>
              <w:t>26 945 417</w:t>
            </w:r>
          </w:p>
        </w:tc>
        <w:tc>
          <w:tcPr>
            <w:tcW w:w="685" w:type="pct"/>
          </w:tcPr>
          <w:p w14:paraId="20730334" w14:textId="59D66EC3" w:rsidR="00F7688D" w:rsidRPr="002351E4" w:rsidRDefault="00F7688D" w:rsidP="00F7688D">
            <w:pPr>
              <w:spacing w:after="0" w:line="240" w:lineRule="auto"/>
              <w:jc w:val="right"/>
              <w:rPr>
                <w:rFonts w:eastAsia="Times New Roman" w:cs="Segoe UI"/>
                <w:b/>
                <w:bCs/>
                <w:color w:val="000000"/>
                <w:sz w:val="18"/>
                <w:szCs w:val="18"/>
                <w:lang w:eastAsia="sk-SK"/>
              </w:rPr>
            </w:pPr>
            <w:r w:rsidRPr="002351E4">
              <w:rPr>
                <w:b/>
                <w:sz w:val="18"/>
              </w:rPr>
              <w:t>23 554 555</w:t>
            </w:r>
          </w:p>
        </w:tc>
        <w:tc>
          <w:tcPr>
            <w:tcW w:w="640" w:type="pct"/>
          </w:tcPr>
          <w:p w14:paraId="774EB522" w14:textId="256E0D33" w:rsidR="00F7688D" w:rsidRPr="002351E4" w:rsidRDefault="00F7688D" w:rsidP="00F7688D">
            <w:pPr>
              <w:spacing w:after="0" w:line="240" w:lineRule="auto"/>
              <w:jc w:val="right"/>
              <w:rPr>
                <w:rFonts w:eastAsia="Times New Roman" w:cs="Segoe UI"/>
                <w:b/>
                <w:bCs/>
                <w:color w:val="000000"/>
                <w:sz w:val="18"/>
                <w:szCs w:val="18"/>
                <w:lang w:eastAsia="sk-SK"/>
              </w:rPr>
            </w:pPr>
            <w:r w:rsidRPr="002351E4">
              <w:rPr>
                <w:b/>
                <w:sz w:val="18"/>
              </w:rPr>
              <w:t>-3 390 862</w:t>
            </w:r>
          </w:p>
        </w:tc>
        <w:tc>
          <w:tcPr>
            <w:tcW w:w="546" w:type="pct"/>
          </w:tcPr>
          <w:p w14:paraId="2187D1FD" w14:textId="505C18AD" w:rsidR="00F7688D" w:rsidRPr="002351E4" w:rsidRDefault="00F7688D" w:rsidP="00F7688D">
            <w:pPr>
              <w:spacing w:after="0" w:line="240" w:lineRule="auto"/>
              <w:jc w:val="right"/>
              <w:rPr>
                <w:rFonts w:eastAsia="Times New Roman" w:cs="Segoe UI"/>
                <w:b/>
                <w:bCs/>
                <w:color w:val="000000"/>
                <w:sz w:val="18"/>
                <w:szCs w:val="18"/>
                <w:lang w:eastAsia="sk-SK"/>
              </w:rPr>
            </w:pPr>
            <w:r w:rsidRPr="002351E4">
              <w:rPr>
                <w:b/>
                <w:sz w:val="18"/>
              </w:rPr>
              <w:t>97,3</w:t>
            </w:r>
          </w:p>
        </w:tc>
      </w:tr>
      <w:tr w:rsidR="00F7688D" w14:paraId="02AD9CD0" w14:textId="77777777" w:rsidTr="00846EB5">
        <w:trPr>
          <w:trHeight w:val="255"/>
        </w:trPr>
        <w:tc>
          <w:tcPr>
            <w:tcW w:w="1641" w:type="pct"/>
            <w:vAlign w:val="center"/>
          </w:tcPr>
          <w:p w14:paraId="0A4C2C27" w14:textId="77777777" w:rsidR="00F7688D" w:rsidRPr="007C7D12" w:rsidRDefault="00F7688D" w:rsidP="00F7688D">
            <w:pPr>
              <w:spacing w:after="0" w:line="240" w:lineRule="auto"/>
              <w:jc w:val="left"/>
              <w:rPr>
                <w:rFonts w:eastAsia="Times New Roman" w:cs="Segoe UI"/>
                <w:color w:val="000000"/>
                <w:sz w:val="18"/>
                <w:szCs w:val="18"/>
                <w:lang w:eastAsia="sk-SK"/>
              </w:rPr>
            </w:pPr>
            <w:r w:rsidRPr="007C7D12">
              <w:rPr>
                <w:rFonts w:eastAsia="Times New Roman" w:cs="Segoe UI"/>
                <w:color w:val="000000"/>
                <w:sz w:val="18"/>
                <w:szCs w:val="18"/>
                <w:lang w:eastAsia="sk-SK"/>
              </w:rPr>
              <w:t>Výdavky na obsluhu štátneho dlhu</w:t>
            </w:r>
          </w:p>
        </w:tc>
        <w:tc>
          <w:tcPr>
            <w:tcW w:w="759" w:type="pct"/>
          </w:tcPr>
          <w:p w14:paraId="27469AD4" w14:textId="3879CE2B"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657 488</w:t>
            </w:r>
          </w:p>
        </w:tc>
        <w:tc>
          <w:tcPr>
            <w:tcW w:w="729" w:type="pct"/>
          </w:tcPr>
          <w:p w14:paraId="5AAE7581" w14:textId="45D5F3B6"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1 089 976</w:t>
            </w:r>
          </w:p>
        </w:tc>
        <w:tc>
          <w:tcPr>
            <w:tcW w:w="685" w:type="pct"/>
          </w:tcPr>
          <w:p w14:paraId="71DEC26F" w14:textId="02BEE252"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1 059 331</w:t>
            </w:r>
          </w:p>
        </w:tc>
        <w:tc>
          <w:tcPr>
            <w:tcW w:w="640" w:type="pct"/>
          </w:tcPr>
          <w:p w14:paraId="09D5FDBC" w14:textId="59787423" w:rsidR="00F7688D" w:rsidRPr="00F7688D" w:rsidRDefault="00F7688D" w:rsidP="00F7688D">
            <w:pPr>
              <w:spacing w:after="0" w:line="240" w:lineRule="auto"/>
              <w:jc w:val="right"/>
              <w:rPr>
                <w:rFonts w:eastAsia="Times New Roman" w:cs="Segoe UI"/>
                <w:sz w:val="18"/>
                <w:szCs w:val="18"/>
                <w:lang w:eastAsia="sk-SK"/>
              </w:rPr>
            </w:pPr>
            <w:r w:rsidRPr="00F7688D">
              <w:rPr>
                <w:sz w:val="18"/>
              </w:rPr>
              <w:t>-30 645</w:t>
            </w:r>
          </w:p>
        </w:tc>
        <w:tc>
          <w:tcPr>
            <w:tcW w:w="546" w:type="pct"/>
          </w:tcPr>
          <w:p w14:paraId="7173CDDD" w14:textId="5C560468" w:rsidR="00F7688D" w:rsidRPr="00F7688D" w:rsidRDefault="00F7688D" w:rsidP="00F7688D">
            <w:pPr>
              <w:spacing w:after="0" w:line="240" w:lineRule="auto"/>
              <w:jc w:val="right"/>
              <w:rPr>
                <w:rFonts w:eastAsia="Times New Roman" w:cs="Segoe UI"/>
                <w:sz w:val="18"/>
                <w:szCs w:val="18"/>
                <w:lang w:eastAsia="sk-SK"/>
              </w:rPr>
            </w:pPr>
            <w:r w:rsidRPr="00F7688D">
              <w:rPr>
                <w:sz w:val="18"/>
              </w:rPr>
              <w:t>161,1</w:t>
            </w:r>
          </w:p>
        </w:tc>
      </w:tr>
      <w:tr w:rsidR="00F7688D" w14:paraId="238C95E0" w14:textId="77777777" w:rsidTr="00846EB5">
        <w:trPr>
          <w:trHeight w:val="255"/>
        </w:trPr>
        <w:tc>
          <w:tcPr>
            <w:tcW w:w="1641" w:type="pct"/>
            <w:vAlign w:val="center"/>
          </w:tcPr>
          <w:p w14:paraId="59657F0C" w14:textId="77777777" w:rsidR="00F7688D" w:rsidRPr="007C7D12" w:rsidRDefault="00F7688D" w:rsidP="00F7688D">
            <w:pPr>
              <w:spacing w:after="0" w:line="240" w:lineRule="auto"/>
              <w:jc w:val="left"/>
              <w:rPr>
                <w:rFonts w:eastAsia="Times New Roman" w:cs="Segoe UI"/>
                <w:color w:val="000000"/>
                <w:sz w:val="18"/>
                <w:szCs w:val="18"/>
                <w:lang w:eastAsia="sk-SK"/>
              </w:rPr>
            </w:pPr>
            <w:r w:rsidRPr="007C7D12">
              <w:rPr>
                <w:rFonts w:eastAsia="Times New Roman" w:cs="Segoe UI"/>
                <w:color w:val="000000"/>
                <w:sz w:val="18"/>
                <w:szCs w:val="18"/>
                <w:lang w:eastAsia="sk-SK"/>
              </w:rPr>
              <w:t>POO  - výdavky</w:t>
            </w:r>
          </w:p>
        </w:tc>
        <w:tc>
          <w:tcPr>
            <w:tcW w:w="759" w:type="pct"/>
          </w:tcPr>
          <w:p w14:paraId="25C7E500" w14:textId="2D7AEDE1"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6 072</w:t>
            </w:r>
          </w:p>
        </w:tc>
        <w:tc>
          <w:tcPr>
            <w:tcW w:w="729" w:type="pct"/>
          </w:tcPr>
          <w:p w14:paraId="00A9023A" w14:textId="2A286E72"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1 301 972</w:t>
            </w:r>
          </w:p>
        </w:tc>
        <w:tc>
          <w:tcPr>
            <w:tcW w:w="685" w:type="pct"/>
          </w:tcPr>
          <w:p w14:paraId="6EC71AA6" w14:textId="67C729ED"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48 973</w:t>
            </w:r>
          </w:p>
        </w:tc>
        <w:tc>
          <w:tcPr>
            <w:tcW w:w="640" w:type="pct"/>
          </w:tcPr>
          <w:p w14:paraId="67563941" w14:textId="48879C94" w:rsidR="00F7688D" w:rsidRPr="00F7688D" w:rsidRDefault="00F7688D" w:rsidP="00F7688D">
            <w:pPr>
              <w:spacing w:after="0" w:line="240" w:lineRule="auto"/>
              <w:jc w:val="right"/>
              <w:rPr>
                <w:rFonts w:eastAsia="Times New Roman" w:cs="Segoe UI"/>
                <w:sz w:val="18"/>
                <w:szCs w:val="18"/>
                <w:lang w:eastAsia="sk-SK"/>
              </w:rPr>
            </w:pPr>
            <w:r w:rsidRPr="00F7688D">
              <w:rPr>
                <w:sz w:val="18"/>
              </w:rPr>
              <w:t>-1 252 999</w:t>
            </w:r>
          </w:p>
        </w:tc>
        <w:tc>
          <w:tcPr>
            <w:tcW w:w="546" w:type="pct"/>
          </w:tcPr>
          <w:p w14:paraId="71DF6E04" w14:textId="1FA6C64F" w:rsidR="00F7688D" w:rsidRPr="00F7688D" w:rsidRDefault="00F7688D" w:rsidP="00F7688D">
            <w:pPr>
              <w:spacing w:after="0" w:line="240" w:lineRule="auto"/>
              <w:jc w:val="right"/>
              <w:rPr>
                <w:rFonts w:eastAsia="Times New Roman" w:cs="Segoe UI"/>
                <w:sz w:val="18"/>
                <w:szCs w:val="18"/>
                <w:lang w:eastAsia="sk-SK"/>
              </w:rPr>
            </w:pPr>
            <w:r w:rsidRPr="00F7688D">
              <w:rPr>
                <w:sz w:val="18"/>
              </w:rPr>
              <w:t>806,5</w:t>
            </w:r>
          </w:p>
        </w:tc>
      </w:tr>
      <w:tr w:rsidR="00F7688D" w:rsidRPr="00325BDA" w14:paraId="2D0B5F1D" w14:textId="77777777" w:rsidTr="00846EB5">
        <w:trPr>
          <w:trHeight w:val="255"/>
        </w:trPr>
        <w:tc>
          <w:tcPr>
            <w:tcW w:w="1641" w:type="pct"/>
            <w:vAlign w:val="center"/>
          </w:tcPr>
          <w:p w14:paraId="635E871E" w14:textId="77777777" w:rsidR="00F7688D" w:rsidRPr="007C7D12" w:rsidRDefault="00F7688D" w:rsidP="00F7688D">
            <w:pPr>
              <w:spacing w:after="0" w:line="240" w:lineRule="auto"/>
              <w:jc w:val="left"/>
              <w:rPr>
                <w:rFonts w:eastAsia="Times New Roman" w:cs="Segoe UI"/>
                <w:color w:val="000000"/>
                <w:sz w:val="18"/>
                <w:szCs w:val="18"/>
                <w:lang w:eastAsia="sk-SK"/>
              </w:rPr>
            </w:pPr>
            <w:r w:rsidRPr="007C7D12">
              <w:rPr>
                <w:rFonts w:eastAsia="Times New Roman" w:cs="Segoe UI"/>
                <w:color w:val="000000"/>
                <w:sz w:val="18"/>
                <w:szCs w:val="18"/>
                <w:lang w:eastAsia="sk-SK"/>
              </w:rPr>
              <w:t>POO - výdavky na DPH</w:t>
            </w:r>
          </w:p>
        </w:tc>
        <w:tc>
          <w:tcPr>
            <w:tcW w:w="759" w:type="pct"/>
          </w:tcPr>
          <w:p w14:paraId="3C727472" w14:textId="4E3F8980"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28</w:t>
            </w:r>
          </w:p>
        </w:tc>
        <w:tc>
          <w:tcPr>
            <w:tcW w:w="729" w:type="pct"/>
          </w:tcPr>
          <w:p w14:paraId="0DEA1E7F" w14:textId="43DDAC55"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197 861</w:t>
            </w:r>
          </w:p>
        </w:tc>
        <w:tc>
          <w:tcPr>
            <w:tcW w:w="685" w:type="pct"/>
          </w:tcPr>
          <w:p w14:paraId="69A0A2E2" w14:textId="0491F097"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2 948</w:t>
            </w:r>
          </w:p>
        </w:tc>
        <w:tc>
          <w:tcPr>
            <w:tcW w:w="640" w:type="pct"/>
          </w:tcPr>
          <w:p w14:paraId="5295B382" w14:textId="187D55F4" w:rsidR="00F7688D" w:rsidRPr="00F7688D" w:rsidRDefault="00F7688D" w:rsidP="00F7688D">
            <w:pPr>
              <w:spacing w:after="0" w:line="240" w:lineRule="auto"/>
              <w:jc w:val="right"/>
              <w:rPr>
                <w:rFonts w:eastAsia="Times New Roman" w:cs="Segoe UI"/>
                <w:sz w:val="18"/>
                <w:szCs w:val="18"/>
                <w:lang w:eastAsia="sk-SK"/>
              </w:rPr>
            </w:pPr>
            <w:r w:rsidRPr="00F7688D">
              <w:rPr>
                <w:sz w:val="18"/>
              </w:rPr>
              <w:t>-194 913</w:t>
            </w:r>
          </w:p>
        </w:tc>
        <w:tc>
          <w:tcPr>
            <w:tcW w:w="546" w:type="pct"/>
          </w:tcPr>
          <w:p w14:paraId="54146249" w14:textId="79CD3AD8" w:rsidR="00F7688D" w:rsidRPr="00F7688D" w:rsidRDefault="00F7688D" w:rsidP="00F7688D">
            <w:pPr>
              <w:spacing w:after="0" w:line="240" w:lineRule="auto"/>
              <w:jc w:val="right"/>
              <w:rPr>
                <w:rFonts w:eastAsia="Times New Roman" w:cs="Segoe UI"/>
                <w:sz w:val="18"/>
                <w:szCs w:val="18"/>
                <w:lang w:eastAsia="sk-SK"/>
              </w:rPr>
            </w:pPr>
            <w:r w:rsidRPr="00F7688D">
              <w:rPr>
                <w:sz w:val="18"/>
              </w:rPr>
              <w:t>10 528,6</w:t>
            </w:r>
          </w:p>
        </w:tc>
      </w:tr>
      <w:tr w:rsidR="00F7688D" w:rsidRPr="00325BDA" w14:paraId="738E8455" w14:textId="77777777" w:rsidTr="00846EB5">
        <w:trPr>
          <w:trHeight w:val="255"/>
        </w:trPr>
        <w:tc>
          <w:tcPr>
            <w:tcW w:w="1641" w:type="pct"/>
            <w:vAlign w:val="center"/>
          </w:tcPr>
          <w:p w14:paraId="284CB826" w14:textId="77777777" w:rsidR="00F7688D" w:rsidRPr="007C7D12" w:rsidRDefault="00F7688D" w:rsidP="00F7688D">
            <w:pPr>
              <w:spacing w:after="0" w:line="240" w:lineRule="auto"/>
              <w:jc w:val="left"/>
              <w:rPr>
                <w:rFonts w:eastAsia="Times New Roman" w:cs="Segoe UI"/>
                <w:color w:val="000000"/>
                <w:sz w:val="18"/>
                <w:szCs w:val="18"/>
                <w:lang w:eastAsia="sk-SK"/>
              </w:rPr>
            </w:pPr>
            <w:r w:rsidRPr="007C7D12">
              <w:rPr>
                <w:rFonts w:eastAsia="Times New Roman" w:cs="Segoe UI"/>
                <w:color w:val="000000"/>
                <w:sz w:val="18"/>
                <w:szCs w:val="18"/>
                <w:lang w:eastAsia="sk-SK"/>
              </w:rPr>
              <w:t>EÚ výdavky</w:t>
            </w:r>
          </w:p>
        </w:tc>
        <w:tc>
          <w:tcPr>
            <w:tcW w:w="759" w:type="pct"/>
          </w:tcPr>
          <w:p w14:paraId="224150C4" w14:textId="1F1AAFCF"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2 358 196</w:t>
            </w:r>
          </w:p>
        </w:tc>
        <w:tc>
          <w:tcPr>
            <w:tcW w:w="729" w:type="pct"/>
          </w:tcPr>
          <w:p w14:paraId="3EC42334" w14:textId="27BB5ACE"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3 148 001</w:t>
            </w:r>
          </w:p>
        </w:tc>
        <w:tc>
          <w:tcPr>
            <w:tcW w:w="685" w:type="pct"/>
          </w:tcPr>
          <w:p w14:paraId="05875DFB" w14:textId="1F5A723D"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2 203 315</w:t>
            </w:r>
          </w:p>
        </w:tc>
        <w:tc>
          <w:tcPr>
            <w:tcW w:w="640" w:type="pct"/>
          </w:tcPr>
          <w:p w14:paraId="352D22BA" w14:textId="26398D34" w:rsidR="00F7688D" w:rsidRPr="00F7688D" w:rsidRDefault="00F7688D" w:rsidP="00F7688D">
            <w:pPr>
              <w:spacing w:after="0" w:line="240" w:lineRule="auto"/>
              <w:jc w:val="right"/>
              <w:rPr>
                <w:rFonts w:eastAsia="Times New Roman" w:cs="Segoe UI"/>
                <w:sz w:val="18"/>
                <w:szCs w:val="18"/>
                <w:lang w:eastAsia="sk-SK"/>
              </w:rPr>
            </w:pPr>
            <w:r w:rsidRPr="00F7688D">
              <w:rPr>
                <w:sz w:val="18"/>
              </w:rPr>
              <w:t>-944 686</w:t>
            </w:r>
          </w:p>
        </w:tc>
        <w:tc>
          <w:tcPr>
            <w:tcW w:w="546" w:type="pct"/>
          </w:tcPr>
          <w:p w14:paraId="1F9A0A6C" w14:textId="30BFD4DB" w:rsidR="00F7688D" w:rsidRPr="00F7688D" w:rsidRDefault="00F7688D" w:rsidP="00F7688D">
            <w:pPr>
              <w:spacing w:after="0" w:line="240" w:lineRule="auto"/>
              <w:jc w:val="right"/>
              <w:rPr>
                <w:rFonts w:eastAsia="Times New Roman" w:cs="Segoe UI"/>
                <w:sz w:val="18"/>
                <w:szCs w:val="18"/>
                <w:lang w:eastAsia="sk-SK"/>
              </w:rPr>
            </w:pPr>
            <w:r w:rsidRPr="00F7688D">
              <w:rPr>
                <w:sz w:val="18"/>
              </w:rPr>
              <w:t>93,4</w:t>
            </w:r>
          </w:p>
        </w:tc>
      </w:tr>
      <w:tr w:rsidR="00F7688D" w:rsidRPr="00325BDA" w14:paraId="21AD1CA1" w14:textId="77777777" w:rsidTr="00846EB5">
        <w:trPr>
          <w:trHeight w:val="255"/>
        </w:trPr>
        <w:tc>
          <w:tcPr>
            <w:tcW w:w="1641" w:type="pct"/>
            <w:vAlign w:val="center"/>
          </w:tcPr>
          <w:p w14:paraId="3D77AC70" w14:textId="77777777" w:rsidR="00F7688D" w:rsidRPr="007C7D12" w:rsidRDefault="00F7688D" w:rsidP="00F7688D">
            <w:pPr>
              <w:spacing w:after="0" w:line="240" w:lineRule="auto"/>
              <w:jc w:val="left"/>
              <w:rPr>
                <w:rFonts w:eastAsia="Times New Roman" w:cs="Segoe UI"/>
                <w:color w:val="000000"/>
                <w:sz w:val="18"/>
                <w:szCs w:val="18"/>
                <w:lang w:eastAsia="sk-SK"/>
              </w:rPr>
            </w:pPr>
            <w:r w:rsidRPr="007C7D12">
              <w:rPr>
                <w:rFonts w:eastAsia="Times New Roman" w:cs="Segoe UI"/>
                <w:color w:val="000000"/>
                <w:sz w:val="18"/>
                <w:szCs w:val="18"/>
                <w:lang w:eastAsia="sk-SK"/>
              </w:rPr>
              <w:t>Spolufinancovanie</w:t>
            </w:r>
          </w:p>
        </w:tc>
        <w:tc>
          <w:tcPr>
            <w:tcW w:w="759" w:type="pct"/>
          </w:tcPr>
          <w:p w14:paraId="331F0C65" w14:textId="50B01656"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378 319</w:t>
            </w:r>
          </w:p>
        </w:tc>
        <w:tc>
          <w:tcPr>
            <w:tcW w:w="729" w:type="pct"/>
          </w:tcPr>
          <w:p w14:paraId="492B5203" w14:textId="0858F8ED"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603 870</w:t>
            </w:r>
          </w:p>
        </w:tc>
        <w:tc>
          <w:tcPr>
            <w:tcW w:w="685" w:type="pct"/>
          </w:tcPr>
          <w:p w14:paraId="1DF61655" w14:textId="6B642DCF"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404 819</w:t>
            </w:r>
          </w:p>
        </w:tc>
        <w:tc>
          <w:tcPr>
            <w:tcW w:w="640" w:type="pct"/>
          </w:tcPr>
          <w:p w14:paraId="04C37B2C" w14:textId="5BDDF0FE" w:rsidR="00F7688D" w:rsidRPr="00F7688D" w:rsidRDefault="00F7688D" w:rsidP="00F7688D">
            <w:pPr>
              <w:spacing w:after="0" w:line="240" w:lineRule="auto"/>
              <w:jc w:val="right"/>
              <w:rPr>
                <w:rFonts w:eastAsia="Times New Roman" w:cs="Segoe UI"/>
                <w:sz w:val="18"/>
                <w:szCs w:val="18"/>
                <w:lang w:eastAsia="sk-SK"/>
              </w:rPr>
            </w:pPr>
            <w:r w:rsidRPr="00F7688D">
              <w:rPr>
                <w:sz w:val="18"/>
              </w:rPr>
              <w:t>-199 051</w:t>
            </w:r>
          </w:p>
        </w:tc>
        <w:tc>
          <w:tcPr>
            <w:tcW w:w="546" w:type="pct"/>
          </w:tcPr>
          <w:p w14:paraId="5A58F49D" w14:textId="18AC05F7" w:rsidR="00F7688D" w:rsidRPr="00F7688D" w:rsidRDefault="00F7688D" w:rsidP="00F7688D">
            <w:pPr>
              <w:spacing w:after="0" w:line="240" w:lineRule="auto"/>
              <w:jc w:val="right"/>
              <w:rPr>
                <w:rFonts w:eastAsia="Times New Roman" w:cs="Segoe UI"/>
                <w:sz w:val="18"/>
                <w:szCs w:val="18"/>
                <w:lang w:eastAsia="sk-SK"/>
              </w:rPr>
            </w:pPr>
            <w:r w:rsidRPr="00F7688D">
              <w:rPr>
                <w:sz w:val="18"/>
              </w:rPr>
              <w:t>107,0</w:t>
            </w:r>
          </w:p>
        </w:tc>
      </w:tr>
      <w:tr w:rsidR="00F7688D" w:rsidRPr="00325BDA" w14:paraId="440EB45A" w14:textId="77777777" w:rsidTr="00846EB5">
        <w:trPr>
          <w:trHeight w:val="255"/>
        </w:trPr>
        <w:tc>
          <w:tcPr>
            <w:tcW w:w="1641" w:type="pct"/>
            <w:vAlign w:val="center"/>
          </w:tcPr>
          <w:p w14:paraId="09300E0E" w14:textId="77777777" w:rsidR="00F7688D" w:rsidRPr="007C7D12" w:rsidRDefault="00F7688D" w:rsidP="00F7688D">
            <w:pPr>
              <w:spacing w:after="0" w:line="240" w:lineRule="auto"/>
              <w:jc w:val="left"/>
              <w:rPr>
                <w:rFonts w:eastAsia="Times New Roman" w:cs="Segoe UI"/>
                <w:color w:val="000000"/>
                <w:sz w:val="18"/>
                <w:szCs w:val="18"/>
                <w:lang w:eastAsia="sk-SK"/>
              </w:rPr>
            </w:pPr>
            <w:r w:rsidRPr="007C7D12">
              <w:rPr>
                <w:rFonts w:eastAsia="Times New Roman" w:cs="Segoe UI"/>
                <w:color w:val="000000"/>
                <w:sz w:val="18"/>
                <w:szCs w:val="18"/>
                <w:lang w:eastAsia="sk-SK"/>
              </w:rPr>
              <w:t>Odvod do rozpočtu EÚ</w:t>
            </w:r>
          </w:p>
        </w:tc>
        <w:tc>
          <w:tcPr>
            <w:tcW w:w="759" w:type="pct"/>
          </w:tcPr>
          <w:p w14:paraId="1397E018" w14:textId="7A0608C8"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966 750</w:t>
            </w:r>
          </w:p>
        </w:tc>
        <w:tc>
          <w:tcPr>
            <w:tcW w:w="729" w:type="pct"/>
          </w:tcPr>
          <w:p w14:paraId="447CA441" w14:textId="131C023E"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1 026 568</w:t>
            </w:r>
          </w:p>
        </w:tc>
        <w:tc>
          <w:tcPr>
            <w:tcW w:w="685" w:type="pct"/>
          </w:tcPr>
          <w:p w14:paraId="7CB6198B" w14:textId="658B6343"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940 226</w:t>
            </w:r>
          </w:p>
        </w:tc>
        <w:tc>
          <w:tcPr>
            <w:tcW w:w="640" w:type="pct"/>
          </w:tcPr>
          <w:p w14:paraId="70FED1B8" w14:textId="583FDFD2" w:rsidR="00F7688D" w:rsidRPr="00F7688D" w:rsidRDefault="00F7688D" w:rsidP="00F7688D">
            <w:pPr>
              <w:spacing w:after="0" w:line="240" w:lineRule="auto"/>
              <w:jc w:val="right"/>
              <w:rPr>
                <w:rFonts w:eastAsia="Times New Roman" w:cs="Segoe UI"/>
                <w:sz w:val="18"/>
                <w:szCs w:val="18"/>
                <w:lang w:eastAsia="sk-SK"/>
              </w:rPr>
            </w:pPr>
            <w:r w:rsidRPr="00F7688D">
              <w:rPr>
                <w:sz w:val="18"/>
              </w:rPr>
              <w:t>-86 342</w:t>
            </w:r>
          </w:p>
        </w:tc>
        <w:tc>
          <w:tcPr>
            <w:tcW w:w="546" w:type="pct"/>
          </w:tcPr>
          <w:p w14:paraId="7AC07328" w14:textId="633FEC37" w:rsidR="00F7688D" w:rsidRPr="00F7688D" w:rsidRDefault="00F7688D" w:rsidP="00F7688D">
            <w:pPr>
              <w:spacing w:after="0" w:line="240" w:lineRule="auto"/>
              <w:jc w:val="right"/>
              <w:rPr>
                <w:rFonts w:eastAsia="Times New Roman" w:cs="Segoe UI"/>
                <w:sz w:val="18"/>
                <w:szCs w:val="18"/>
                <w:lang w:eastAsia="sk-SK"/>
              </w:rPr>
            </w:pPr>
            <w:r w:rsidRPr="00F7688D">
              <w:rPr>
                <w:sz w:val="18"/>
              </w:rPr>
              <w:t>97,3</w:t>
            </w:r>
          </w:p>
        </w:tc>
      </w:tr>
      <w:tr w:rsidR="00F7688D" w:rsidRPr="00325BDA" w14:paraId="4FD60BF6" w14:textId="77777777" w:rsidTr="00846EB5">
        <w:trPr>
          <w:trHeight w:val="255"/>
        </w:trPr>
        <w:tc>
          <w:tcPr>
            <w:tcW w:w="1641" w:type="pct"/>
            <w:tcBorders>
              <w:bottom w:val="single" w:sz="4" w:space="0" w:color="314364" w:themeColor="text2"/>
            </w:tcBorders>
            <w:vAlign w:val="center"/>
          </w:tcPr>
          <w:p w14:paraId="0329AD0D" w14:textId="77777777" w:rsidR="00F7688D" w:rsidRPr="007C7D12" w:rsidRDefault="00F7688D" w:rsidP="00F7688D">
            <w:pPr>
              <w:spacing w:after="0" w:line="240" w:lineRule="auto"/>
              <w:jc w:val="left"/>
              <w:rPr>
                <w:rFonts w:eastAsia="Times New Roman" w:cs="Segoe UI"/>
                <w:color w:val="000000"/>
                <w:sz w:val="18"/>
                <w:szCs w:val="18"/>
                <w:lang w:eastAsia="sk-SK"/>
              </w:rPr>
            </w:pPr>
            <w:r w:rsidRPr="007C7D12">
              <w:rPr>
                <w:rFonts w:eastAsia="Times New Roman" w:cs="Segoe UI"/>
                <w:color w:val="000000"/>
                <w:sz w:val="18"/>
                <w:szCs w:val="18"/>
                <w:lang w:eastAsia="sk-SK"/>
              </w:rPr>
              <w:t>Transfer Sociálnej poisťovni </w:t>
            </w:r>
          </w:p>
        </w:tc>
        <w:tc>
          <w:tcPr>
            <w:tcW w:w="759" w:type="pct"/>
            <w:tcBorders>
              <w:bottom w:val="single" w:sz="4" w:space="0" w:color="314364" w:themeColor="text2"/>
            </w:tcBorders>
          </w:tcPr>
          <w:p w14:paraId="70E082B8" w14:textId="499CE391"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840 000</w:t>
            </w:r>
          </w:p>
        </w:tc>
        <w:tc>
          <w:tcPr>
            <w:tcW w:w="729" w:type="pct"/>
            <w:tcBorders>
              <w:bottom w:val="single" w:sz="4" w:space="0" w:color="314364" w:themeColor="text2"/>
            </w:tcBorders>
          </w:tcPr>
          <w:p w14:paraId="7003B31F" w14:textId="170E65E0"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400 000</w:t>
            </w:r>
          </w:p>
        </w:tc>
        <w:tc>
          <w:tcPr>
            <w:tcW w:w="685" w:type="pct"/>
            <w:tcBorders>
              <w:bottom w:val="single" w:sz="4" w:space="0" w:color="314364" w:themeColor="text2"/>
            </w:tcBorders>
          </w:tcPr>
          <w:p w14:paraId="58FB9AC8" w14:textId="71510294" w:rsidR="00F7688D" w:rsidRPr="00F7688D" w:rsidRDefault="00F7688D" w:rsidP="00F7688D">
            <w:pPr>
              <w:spacing w:after="0" w:line="240" w:lineRule="auto"/>
              <w:jc w:val="right"/>
              <w:rPr>
                <w:rFonts w:eastAsia="Times New Roman" w:cs="Segoe UI"/>
                <w:color w:val="000000"/>
                <w:sz w:val="18"/>
                <w:szCs w:val="18"/>
                <w:lang w:eastAsia="sk-SK"/>
              </w:rPr>
            </w:pPr>
            <w:r w:rsidRPr="00F7688D">
              <w:rPr>
                <w:sz w:val="18"/>
              </w:rPr>
              <w:t>103 488</w:t>
            </w:r>
          </w:p>
        </w:tc>
        <w:tc>
          <w:tcPr>
            <w:tcW w:w="640" w:type="pct"/>
            <w:tcBorders>
              <w:bottom w:val="single" w:sz="4" w:space="0" w:color="314364" w:themeColor="text2"/>
            </w:tcBorders>
          </w:tcPr>
          <w:p w14:paraId="476DC17F" w14:textId="70D673A4" w:rsidR="00F7688D" w:rsidRPr="00F7688D" w:rsidRDefault="00F7688D" w:rsidP="00F7688D">
            <w:pPr>
              <w:spacing w:after="0" w:line="240" w:lineRule="auto"/>
              <w:jc w:val="right"/>
              <w:rPr>
                <w:rFonts w:eastAsia="Times New Roman" w:cs="Segoe UI"/>
                <w:sz w:val="18"/>
                <w:szCs w:val="18"/>
                <w:lang w:eastAsia="sk-SK"/>
              </w:rPr>
            </w:pPr>
            <w:r w:rsidRPr="00F7688D">
              <w:rPr>
                <w:sz w:val="18"/>
              </w:rPr>
              <w:t>-296 512</w:t>
            </w:r>
          </w:p>
        </w:tc>
        <w:tc>
          <w:tcPr>
            <w:tcW w:w="546" w:type="pct"/>
            <w:tcBorders>
              <w:bottom w:val="single" w:sz="4" w:space="0" w:color="314364" w:themeColor="text2"/>
            </w:tcBorders>
          </w:tcPr>
          <w:p w14:paraId="58A512FB" w14:textId="3FAECD3C" w:rsidR="00F7688D" w:rsidRPr="00F7688D" w:rsidRDefault="00F7688D" w:rsidP="00F7688D">
            <w:pPr>
              <w:spacing w:after="0" w:line="240" w:lineRule="auto"/>
              <w:jc w:val="right"/>
              <w:rPr>
                <w:rFonts w:eastAsia="Times New Roman" w:cs="Segoe UI"/>
                <w:sz w:val="18"/>
                <w:szCs w:val="18"/>
                <w:lang w:eastAsia="sk-SK"/>
              </w:rPr>
            </w:pPr>
            <w:r w:rsidRPr="00F7688D">
              <w:rPr>
                <w:sz w:val="18"/>
              </w:rPr>
              <w:t>12,3</w:t>
            </w:r>
          </w:p>
        </w:tc>
      </w:tr>
    </w:tbl>
    <w:p w14:paraId="6195C1F8" w14:textId="6AD74C7D" w:rsidR="006F5D6F" w:rsidRPr="004416DA" w:rsidRDefault="006F5D6F" w:rsidP="006F5D6F">
      <w:pPr>
        <w:pStyle w:val="Zdroj"/>
        <w:spacing w:after="0"/>
      </w:pPr>
      <w:r w:rsidRPr="00B23AEB">
        <w:t xml:space="preserve">Zdroj: </w:t>
      </w:r>
      <w:r>
        <w:t xml:space="preserve">RVS 2022 </w:t>
      </w:r>
      <w:r w:rsidR="002351E4">
        <w:t xml:space="preserve">– </w:t>
      </w:r>
      <w:r>
        <w:t>2024, Návrh ŠZÚ 2022</w:t>
      </w:r>
      <w:r w:rsidR="00C87105">
        <w:t>.</w:t>
      </w:r>
      <w:r>
        <w:br/>
        <w:t>S – skutočnosť, R – rozpočet, YoY – medziročná zmena</w:t>
      </w:r>
    </w:p>
    <w:p w14:paraId="688ECC03" w14:textId="244B2B2B" w:rsidR="005E65E6" w:rsidRDefault="002C027A" w:rsidP="002C027A">
      <w:pPr>
        <w:pStyle w:val="Nadpis2"/>
      </w:pPr>
      <w:bookmarkStart w:id="12" w:name="_Toc105414678"/>
      <w:bookmarkStart w:id="13" w:name="_Toc136418392"/>
      <w:r>
        <w:t xml:space="preserve">3.2 </w:t>
      </w:r>
      <w:r w:rsidR="005E65E6">
        <w:t>Príjmy štátneho rozpočtu</w:t>
      </w:r>
      <w:bookmarkEnd w:id="12"/>
      <w:bookmarkEnd w:id="13"/>
    </w:p>
    <w:p w14:paraId="493589D2" w14:textId="5DD8482E" w:rsidR="005E65E6" w:rsidRDefault="00FC259F" w:rsidP="005E65E6">
      <w:pPr>
        <w:rPr>
          <w:rFonts w:eastAsia="Calibri" w:cs="Segoe UI"/>
          <w:szCs w:val="20"/>
        </w:rPr>
      </w:pPr>
      <w:r w:rsidRPr="00FC259F">
        <w:rPr>
          <w:rFonts w:eastAsia="Calibri" w:cs="Segoe UI"/>
          <w:b/>
          <w:szCs w:val="20"/>
        </w:rPr>
        <w:t>Skutočne dosiahnuté príjmy</w:t>
      </w:r>
      <w:r w:rsidR="00201AD2">
        <w:rPr>
          <w:rFonts w:eastAsia="Calibri" w:cs="Segoe UI"/>
          <w:b/>
          <w:szCs w:val="20"/>
        </w:rPr>
        <w:t xml:space="preserve"> ŠR</w:t>
      </w:r>
      <w:r w:rsidRPr="00FC259F">
        <w:rPr>
          <w:rFonts w:eastAsia="Calibri" w:cs="Segoe UI"/>
          <w:b/>
          <w:szCs w:val="20"/>
        </w:rPr>
        <w:t xml:space="preserve"> </w:t>
      </w:r>
      <w:r w:rsidR="00201AD2">
        <w:rPr>
          <w:rFonts w:eastAsia="Calibri" w:cs="Segoe UI"/>
          <w:b/>
          <w:szCs w:val="20"/>
        </w:rPr>
        <w:t xml:space="preserve">v roku 2022 </w:t>
      </w:r>
      <w:r w:rsidR="00D944EA" w:rsidRPr="00FC259F">
        <w:rPr>
          <w:rFonts w:eastAsia="Calibri" w:cs="Segoe UI"/>
          <w:b/>
          <w:szCs w:val="20"/>
        </w:rPr>
        <w:t>medziročne v</w:t>
      </w:r>
      <w:r w:rsidR="00D944EA">
        <w:rPr>
          <w:rFonts w:eastAsia="Calibri" w:cs="Segoe UI"/>
          <w:b/>
          <w:szCs w:val="20"/>
        </w:rPr>
        <w:t>zrástli</w:t>
      </w:r>
      <w:r w:rsidR="00D944EA" w:rsidRPr="00FC259F">
        <w:rPr>
          <w:rFonts w:eastAsia="Calibri" w:cs="Segoe UI"/>
          <w:b/>
          <w:szCs w:val="20"/>
        </w:rPr>
        <w:t xml:space="preserve"> o </w:t>
      </w:r>
      <w:r w:rsidR="00D944EA" w:rsidRPr="00FC259F">
        <w:rPr>
          <w:rFonts w:eastAsia="Times New Roman" w:cs="Segoe UI"/>
          <w:b/>
          <w:szCs w:val="20"/>
          <w:lang w:eastAsia="sk-SK"/>
        </w:rPr>
        <w:t>1,8 mld</w:t>
      </w:r>
      <w:r w:rsidR="00D944EA" w:rsidRPr="00FC259F">
        <w:rPr>
          <w:rFonts w:eastAsia="Calibri" w:cs="Segoe UI"/>
          <w:b/>
          <w:szCs w:val="20"/>
        </w:rPr>
        <w:t xml:space="preserve">. eur </w:t>
      </w:r>
      <w:r w:rsidR="00D944EA">
        <w:rPr>
          <w:rFonts w:eastAsia="Calibri" w:cs="Segoe UI"/>
          <w:b/>
          <w:szCs w:val="20"/>
        </w:rPr>
        <w:t xml:space="preserve">a </w:t>
      </w:r>
      <w:r w:rsidRPr="00FC259F">
        <w:rPr>
          <w:rFonts w:eastAsia="Calibri" w:cs="Segoe UI"/>
          <w:b/>
          <w:szCs w:val="20"/>
        </w:rPr>
        <w:t xml:space="preserve">oproti novelizovanému rozpočtu </w:t>
      </w:r>
      <w:r w:rsidR="00D944EA">
        <w:rPr>
          <w:rFonts w:eastAsia="Calibri" w:cs="Segoe UI"/>
          <w:b/>
          <w:szCs w:val="20"/>
        </w:rPr>
        <w:t xml:space="preserve">boli </w:t>
      </w:r>
      <w:r w:rsidRPr="00FC259F">
        <w:rPr>
          <w:rFonts w:eastAsia="Calibri" w:cs="Segoe UI"/>
          <w:b/>
          <w:szCs w:val="20"/>
        </w:rPr>
        <w:t>nižšie o 0,9 %</w:t>
      </w:r>
      <w:r w:rsidRPr="002D7D5E">
        <w:rPr>
          <w:rFonts w:eastAsia="Calibri" w:cs="Segoe UI"/>
          <w:szCs w:val="20"/>
        </w:rPr>
        <w:t>.</w:t>
      </w:r>
      <w:r>
        <w:rPr>
          <w:rFonts w:eastAsia="Calibri" w:cs="Segoe UI"/>
          <w:szCs w:val="20"/>
        </w:rPr>
        <w:t xml:space="preserve"> </w:t>
      </w:r>
      <w:r w:rsidR="005E65E6">
        <w:rPr>
          <w:rFonts w:eastAsia="Calibri" w:cs="Segoe UI"/>
          <w:szCs w:val="20"/>
        </w:rPr>
        <w:t>Zákonom o ŠR na rok 2022</w:t>
      </w:r>
      <w:r w:rsidR="005E65E6" w:rsidRPr="0011429E">
        <w:rPr>
          <w:rFonts w:eastAsia="Calibri" w:cs="Segoe UI"/>
          <w:szCs w:val="20"/>
        </w:rPr>
        <w:t xml:space="preserve"> boli celkové</w:t>
      </w:r>
      <w:r w:rsidR="005E65E6">
        <w:rPr>
          <w:rFonts w:eastAsia="Calibri" w:cs="Segoe UI"/>
          <w:szCs w:val="20"/>
        </w:rPr>
        <w:t xml:space="preserve"> príjmy ŠR schválené </w:t>
      </w:r>
      <w:r>
        <w:rPr>
          <w:rFonts w:eastAsia="Calibri" w:cs="Segoe UI"/>
          <w:szCs w:val="20"/>
        </w:rPr>
        <w:t xml:space="preserve">pôvodne </w:t>
      </w:r>
      <w:r w:rsidR="005E65E6">
        <w:rPr>
          <w:rFonts w:eastAsia="Calibri" w:cs="Segoe UI"/>
          <w:szCs w:val="20"/>
        </w:rPr>
        <w:t>vo výške 20 mld</w:t>
      </w:r>
      <w:r w:rsidR="005E65E6" w:rsidRPr="0011429E">
        <w:rPr>
          <w:rFonts w:eastAsia="Calibri" w:cs="Segoe UI"/>
          <w:szCs w:val="20"/>
        </w:rPr>
        <w:t xml:space="preserve">. eur. </w:t>
      </w:r>
      <w:r w:rsidR="005E65E6">
        <w:rPr>
          <w:rFonts w:eastAsia="Calibri" w:cs="Segoe UI"/>
          <w:szCs w:val="20"/>
        </w:rPr>
        <w:t>Novelou zákona o ŠR boli zvýšené o 1,5 mld. eur</w:t>
      </w:r>
      <w:r>
        <w:rPr>
          <w:rFonts w:eastAsia="Calibri" w:cs="Segoe UI"/>
          <w:szCs w:val="20"/>
        </w:rPr>
        <w:t xml:space="preserve">, ale </w:t>
      </w:r>
      <w:r w:rsidR="003F1333">
        <w:rPr>
          <w:rFonts w:eastAsia="Calibri" w:cs="Segoe UI"/>
          <w:szCs w:val="20"/>
        </w:rPr>
        <w:t>cez RO</w:t>
      </w:r>
      <w:r w:rsidR="005E65E6">
        <w:rPr>
          <w:rFonts w:eastAsia="Calibri" w:cs="Segoe UI"/>
          <w:szCs w:val="20"/>
        </w:rPr>
        <w:t xml:space="preserve"> </w:t>
      </w:r>
      <w:r w:rsidR="005E65E6" w:rsidRPr="0011429E">
        <w:rPr>
          <w:rFonts w:eastAsia="Calibri" w:cs="Segoe UI"/>
          <w:szCs w:val="20"/>
        </w:rPr>
        <w:t xml:space="preserve">boli </w:t>
      </w:r>
      <w:r>
        <w:rPr>
          <w:rFonts w:eastAsia="Calibri" w:cs="Segoe UI"/>
          <w:szCs w:val="20"/>
        </w:rPr>
        <w:t xml:space="preserve">napokon </w:t>
      </w:r>
      <w:r w:rsidR="005E65E6" w:rsidRPr="0011429E">
        <w:rPr>
          <w:rFonts w:eastAsia="Calibri" w:cs="Segoe UI"/>
          <w:szCs w:val="20"/>
        </w:rPr>
        <w:t>znížené o</w:t>
      </w:r>
      <w:r>
        <w:rPr>
          <w:rFonts w:eastAsia="Calibri" w:cs="Segoe UI"/>
          <w:szCs w:val="20"/>
        </w:rPr>
        <w:t> 2,3 mld. eur</w:t>
      </w:r>
      <w:r w:rsidR="00D944EA">
        <w:rPr>
          <w:rFonts w:eastAsia="Calibri" w:cs="Segoe UI"/>
          <w:szCs w:val="20"/>
        </w:rPr>
        <w:t>.</w:t>
      </w:r>
      <w:r w:rsidR="00D944EA" w:rsidRPr="00D944EA">
        <w:rPr>
          <w:rFonts w:eastAsia="Calibri" w:cs="Times New Roman"/>
        </w:rPr>
        <w:t xml:space="preserve"> </w:t>
      </w:r>
      <w:r w:rsidR="00D944EA" w:rsidRPr="007767AF">
        <w:rPr>
          <w:rFonts w:eastAsia="Calibri" w:cs="Times New Roman"/>
        </w:rPr>
        <w:t>Daňové príjmy</w:t>
      </w:r>
      <w:r w:rsidR="00D944EA">
        <w:rPr>
          <w:rFonts w:eastAsia="Calibri" w:cs="Times New Roman"/>
        </w:rPr>
        <w:t xml:space="preserve"> tvorili 81,5 % celkových príjmoch ŠR, nedaňové príjmy</w:t>
      </w:r>
      <w:r w:rsidR="00D944EA" w:rsidRPr="00D944EA">
        <w:rPr>
          <w:rFonts w:eastAsia="Calibri" w:cs="Times New Roman"/>
        </w:rPr>
        <w:t xml:space="preserve"> sa na celkových príjmoch ŠR podieľali 6,8 %</w:t>
      </w:r>
      <w:r w:rsidR="00D61B03">
        <w:rPr>
          <w:rFonts w:eastAsia="Calibri" w:cs="Times New Roman"/>
        </w:rPr>
        <w:t xml:space="preserve"> a zvyšok tvorili granty a transfery (tabuľka 4)</w:t>
      </w:r>
      <w:r w:rsidR="00D944EA">
        <w:rPr>
          <w:rFonts w:eastAsia="Calibri" w:cs="Times New Roman"/>
        </w:rPr>
        <w:t>.</w:t>
      </w:r>
    </w:p>
    <w:p w14:paraId="25F52B5C" w14:textId="3CA259D2" w:rsidR="005E65E6" w:rsidRPr="00DF5101" w:rsidRDefault="008A45CE" w:rsidP="005E65E6">
      <w:pPr>
        <w:rPr>
          <w:rFonts w:cs="Segoe UI"/>
          <w:szCs w:val="20"/>
        </w:rPr>
      </w:pPr>
      <w:r w:rsidRPr="007767AF">
        <w:rPr>
          <w:rFonts w:eastAsia="Times New Roman" w:cs="Segoe UI"/>
          <w:b/>
          <w:szCs w:val="20"/>
          <w:lang w:eastAsia="sk-SK"/>
        </w:rPr>
        <w:t xml:space="preserve">Medziročne vzrástli </w:t>
      </w:r>
      <w:r w:rsidRPr="007767AF">
        <w:rPr>
          <w:rFonts w:cs="Segoe UI"/>
          <w:b/>
          <w:szCs w:val="20"/>
        </w:rPr>
        <w:t xml:space="preserve">celkové daňové príjmy o 14,6 % </w:t>
      </w:r>
      <w:r w:rsidRPr="00FC259F">
        <w:rPr>
          <w:rFonts w:cs="Segoe UI"/>
          <w:szCs w:val="20"/>
        </w:rPr>
        <w:t>(takmer 2 mld. eur).</w:t>
      </w:r>
      <w:r>
        <w:rPr>
          <w:rFonts w:eastAsia="Calibri" w:cs="Times New Roman"/>
        </w:rPr>
        <w:t> </w:t>
      </w:r>
      <w:r w:rsidR="00201AD2">
        <w:rPr>
          <w:rFonts w:eastAsia="Calibri" w:cs="Times New Roman"/>
        </w:rPr>
        <w:t>N</w:t>
      </w:r>
      <w:r>
        <w:rPr>
          <w:rFonts w:eastAsia="Calibri" w:cs="Times New Roman"/>
        </w:rPr>
        <w:t>a rok</w:t>
      </w:r>
      <w:r w:rsidR="005E65E6" w:rsidRPr="00C0654C">
        <w:rPr>
          <w:rFonts w:eastAsia="Calibri" w:cs="Segoe UI"/>
          <w:szCs w:val="20"/>
        </w:rPr>
        <w:t xml:space="preserve"> 202</w:t>
      </w:r>
      <w:r w:rsidR="005E65E6">
        <w:rPr>
          <w:rFonts w:eastAsia="Calibri" w:cs="Segoe UI"/>
          <w:szCs w:val="20"/>
        </w:rPr>
        <w:t>2</w:t>
      </w:r>
      <w:r w:rsidR="005E65E6" w:rsidRPr="00C0654C">
        <w:rPr>
          <w:rFonts w:eastAsia="Calibri" w:cs="Segoe UI"/>
          <w:szCs w:val="20"/>
        </w:rPr>
        <w:t xml:space="preserve"> boli </w:t>
      </w:r>
      <w:r w:rsidR="00B34AD8">
        <w:rPr>
          <w:rFonts w:eastAsia="Calibri" w:cs="Segoe UI"/>
          <w:szCs w:val="20"/>
        </w:rPr>
        <w:t>novelizáciou</w:t>
      </w:r>
      <w:r>
        <w:rPr>
          <w:rFonts w:eastAsia="Calibri" w:cs="Segoe UI"/>
          <w:szCs w:val="20"/>
        </w:rPr>
        <w:t xml:space="preserve"> </w:t>
      </w:r>
      <w:r w:rsidR="005E65E6" w:rsidRPr="00C0654C">
        <w:rPr>
          <w:rFonts w:eastAsia="Calibri" w:cs="Segoe UI"/>
          <w:szCs w:val="20"/>
        </w:rPr>
        <w:t xml:space="preserve">rozpočtované vo výške </w:t>
      </w:r>
      <w:r w:rsidR="005E65E6" w:rsidRPr="00C0654C">
        <w:rPr>
          <w:rFonts w:eastAsia="Calibri" w:cs="Segoe UI"/>
          <w:bCs/>
          <w:szCs w:val="20"/>
          <w:lang w:eastAsia="sk-SK"/>
        </w:rPr>
        <w:t>1</w:t>
      </w:r>
      <w:r w:rsidR="00B34AD8">
        <w:rPr>
          <w:rFonts w:eastAsia="Calibri" w:cs="Segoe UI"/>
          <w:bCs/>
          <w:szCs w:val="20"/>
          <w:lang w:eastAsia="sk-SK"/>
        </w:rPr>
        <w:t>4</w:t>
      </w:r>
      <w:r w:rsidR="005E65E6">
        <w:rPr>
          <w:rFonts w:eastAsia="Calibri" w:cs="Segoe UI"/>
          <w:bCs/>
          <w:szCs w:val="20"/>
          <w:lang w:eastAsia="sk-SK"/>
        </w:rPr>
        <w:t>,</w:t>
      </w:r>
      <w:r w:rsidR="00B34AD8">
        <w:rPr>
          <w:rFonts w:eastAsia="Calibri" w:cs="Segoe UI"/>
          <w:bCs/>
          <w:szCs w:val="20"/>
          <w:lang w:eastAsia="sk-SK"/>
        </w:rPr>
        <w:t>4</w:t>
      </w:r>
      <w:r w:rsidR="005E65E6" w:rsidRPr="00C0654C">
        <w:rPr>
          <w:rFonts w:eastAsia="Calibri" w:cs="Segoe UI"/>
          <w:bCs/>
          <w:szCs w:val="20"/>
          <w:lang w:eastAsia="sk-SK"/>
        </w:rPr>
        <w:t xml:space="preserve"> ml</w:t>
      </w:r>
      <w:r w:rsidR="005E65E6">
        <w:rPr>
          <w:rFonts w:eastAsia="Calibri" w:cs="Segoe UI"/>
          <w:bCs/>
          <w:szCs w:val="20"/>
          <w:lang w:eastAsia="sk-SK"/>
        </w:rPr>
        <w:t>d</w:t>
      </w:r>
      <w:r w:rsidR="005E65E6" w:rsidRPr="00C0654C">
        <w:rPr>
          <w:rFonts w:eastAsia="Calibri" w:cs="Segoe UI"/>
          <w:szCs w:val="20"/>
        </w:rPr>
        <w:t>. eur</w:t>
      </w:r>
      <w:r w:rsidR="00201AD2">
        <w:rPr>
          <w:rFonts w:eastAsia="Calibri" w:cs="Segoe UI"/>
          <w:szCs w:val="20"/>
        </w:rPr>
        <w:t>, ale</w:t>
      </w:r>
      <w:r w:rsidR="005E65E6">
        <w:rPr>
          <w:rFonts w:eastAsia="Calibri" w:cs="Segoe UI"/>
          <w:szCs w:val="20"/>
        </w:rPr>
        <w:t xml:space="preserve"> v skutočnosti</w:t>
      </w:r>
      <w:r w:rsidR="005E65E6" w:rsidRPr="00C0654C">
        <w:rPr>
          <w:rFonts w:eastAsia="Calibri" w:cs="Segoe UI"/>
          <w:szCs w:val="20"/>
        </w:rPr>
        <w:t xml:space="preserve"> boli </w:t>
      </w:r>
      <w:r w:rsidR="005E65E6">
        <w:rPr>
          <w:rFonts w:eastAsia="Calibri" w:cs="Segoe UI"/>
          <w:szCs w:val="20"/>
        </w:rPr>
        <w:t xml:space="preserve">nižšie o 2,1 </w:t>
      </w:r>
      <w:r w:rsidR="005E65E6" w:rsidRPr="00C0654C">
        <w:rPr>
          <w:rFonts w:eastAsia="Calibri" w:cs="Segoe UI"/>
          <w:szCs w:val="20"/>
        </w:rPr>
        <w:t>%</w:t>
      </w:r>
      <w:r w:rsidR="005E65E6">
        <w:rPr>
          <w:rFonts w:eastAsia="Calibri" w:cs="Segoe UI"/>
          <w:szCs w:val="20"/>
        </w:rPr>
        <w:t xml:space="preserve"> (tabuľka 4 v prílohe). Výpadok </w:t>
      </w:r>
      <w:r w:rsidR="002D7D5E">
        <w:rPr>
          <w:rFonts w:eastAsia="Calibri" w:cs="Segoe UI"/>
          <w:szCs w:val="20"/>
        </w:rPr>
        <w:t xml:space="preserve">oproti novelizovanému rozpočtu </w:t>
      </w:r>
      <w:r w:rsidR="005E65E6">
        <w:rPr>
          <w:rFonts w:eastAsia="Calibri" w:cs="Segoe UI"/>
          <w:szCs w:val="20"/>
        </w:rPr>
        <w:t xml:space="preserve">bol zaznamenaný </w:t>
      </w:r>
      <w:r w:rsidR="005E65E6" w:rsidRPr="00C0654C">
        <w:rPr>
          <w:rFonts w:eastAsia="Times New Roman" w:cs="Segoe UI"/>
          <w:szCs w:val="20"/>
          <w:lang w:eastAsia="sk-SK"/>
        </w:rPr>
        <w:t xml:space="preserve">pri </w:t>
      </w:r>
      <w:r>
        <w:rPr>
          <w:rFonts w:eastAsia="Times New Roman" w:cs="Segoe UI"/>
          <w:szCs w:val="20"/>
          <w:lang w:eastAsia="sk-SK"/>
        </w:rPr>
        <w:t xml:space="preserve">príjmoch z </w:t>
      </w:r>
      <w:r w:rsidR="005E65E6" w:rsidRPr="00C0654C">
        <w:rPr>
          <w:rFonts w:eastAsia="Times New Roman" w:cs="Segoe UI"/>
          <w:szCs w:val="20"/>
          <w:lang w:eastAsia="sk-SK"/>
        </w:rPr>
        <w:t xml:space="preserve">DPH </w:t>
      </w:r>
      <w:r w:rsidR="005E65E6">
        <w:rPr>
          <w:rFonts w:eastAsia="Times New Roman" w:cs="Segoe UI"/>
          <w:szCs w:val="20"/>
          <w:lang w:eastAsia="sk-SK"/>
        </w:rPr>
        <w:t xml:space="preserve">o 211,6 </w:t>
      </w:r>
      <w:r w:rsidR="005E65E6" w:rsidRPr="00C0654C">
        <w:rPr>
          <w:rFonts w:eastAsia="Times New Roman" w:cs="Segoe UI"/>
          <w:szCs w:val="20"/>
          <w:lang w:eastAsia="sk-SK"/>
        </w:rPr>
        <w:t xml:space="preserve">mil. eur, pri DPPO </w:t>
      </w:r>
      <w:r w:rsidR="005E65E6">
        <w:rPr>
          <w:rFonts w:eastAsia="Times New Roman" w:cs="Segoe UI"/>
          <w:szCs w:val="20"/>
          <w:lang w:eastAsia="sk-SK"/>
        </w:rPr>
        <w:t>o 115,7</w:t>
      </w:r>
      <w:r w:rsidR="005E65E6" w:rsidRPr="00C0654C">
        <w:rPr>
          <w:rFonts w:eastAsia="Times New Roman" w:cs="Segoe UI"/>
          <w:szCs w:val="20"/>
          <w:lang w:eastAsia="sk-SK"/>
        </w:rPr>
        <w:t xml:space="preserve"> mil. eur</w:t>
      </w:r>
      <w:r w:rsidR="005E65E6">
        <w:rPr>
          <w:rFonts w:eastAsia="Times New Roman" w:cs="Segoe UI"/>
          <w:szCs w:val="20"/>
          <w:lang w:eastAsia="sk-SK"/>
        </w:rPr>
        <w:t>, pri DPFO o 25,8 a pri dani z príjmov vyberanej zrážkou 5,6 mil. eur. Na</w:t>
      </w:r>
      <w:r w:rsidR="007767AF">
        <w:rPr>
          <w:rFonts w:eastAsia="Times New Roman" w:cs="Segoe UI"/>
          <w:szCs w:val="20"/>
          <w:lang w:eastAsia="sk-SK"/>
        </w:rPr>
        <w:t xml:space="preserve"> druhe</w:t>
      </w:r>
      <w:r w:rsidR="00D944EA">
        <w:rPr>
          <w:rFonts w:eastAsia="Times New Roman" w:cs="Segoe UI"/>
          <w:szCs w:val="20"/>
          <w:lang w:eastAsia="sk-SK"/>
        </w:rPr>
        <w:t>j</w:t>
      </w:r>
      <w:r w:rsidR="007767AF">
        <w:rPr>
          <w:rFonts w:eastAsia="Times New Roman" w:cs="Segoe UI"/>
          <w:szCs w:val="20"/>
          <w:lang w:eastAsia="sk-SK"/>
        </w:rPr>
        <w:t xml:space="preserve"> strane</w:t>
      </w:r>
      <w:r w:rsidR="005E65E6">
        <w:rPr>
          <w:rFonts w:eastAsia="Times New Roman" w:cs="Segoe UI"/>
          <w:szCs w:val="20"/>
          <w:lang w:eastAsia="sk-SK"/>
        </w:rPr>
        <w:t xml:space="preserve"> rast zaznamena</w:t>
      </w:r>
      <w:r>
        <w:rPr>
          <w:rFonts w:eastAsia="Times New Roman" w:cs="Segoe UI"/>
          <w:szCs w:val="20"/>
          <w:lang w:eastAsia="sk-SK"/>
        </w:rPr>
        <w:t>li</w:t>
      </w:r>
      <w:r w:rsidR="005E65E6" w:rsidRPr="00C0654C">
        <w:rPr>
          <w:rFonts w:eastAsia="Times New Roman" w:cs="Segoe UI"/>
          <w:szCs w:val="20"/>
          <w:lang w:eastAsia="sk-SK"/>
        </w:rPr>
        <w:t xml:space="preserve"> spotrebn</w:t>
      </w:r>
      <w:r>
        <w:rPr>
          <w:rFonts w:eastAsia="Times New Roman" w:cs="Segoe UI"/>
          <w:szCs w:val="20"/>
          <w:lang w:eastAsia="sk-SK"/>
        </w:rPr>
        <w:t>é</w:t>
      </w:r>
      <w:r w:rsidR="005E65E6" w:rsidRPr="00C0654C">
        <w:rPr>
          <w:rFonts w:eastAsia="Times New Roman" w:cs="Segoe UI"/>
          <w:szCs w:val="20"/>
          <w:lang w:eastAsia="sk-SK"/>
        </w:rPr>
        <w:t xml:space="preserve"> dan</w:t>
      </w:r>
      <w:r>
        <w:rPr>
          <w:rFonts w:eastAsia="Times New Roman" w:cs="Segoe UI"/>
          <w:szCs w:val="20"/>
          <w:lang w:eastAsia="sk-SK"/>
        </w:rPr>
        <w:t>e</w:t>
      </w:r>
      <w:r w:rsidR="005E65E6" w:rsidRPr="00C0654C">
        <w:rPr>
          <w:rFonts w:eastAsia="Times New Roman" w:cs="Segoe UI"/>
          <w:szCs w:val="20"/>
          <w:lang w:eastAsia="sk-SK"/>
        </w:rPr>
        <w:t xml:space="preserve"> </w:t>
      </w:r>
      <w:r>
        <w:rPr>
          <w:rFonts w:eastAsia="Times New Roman" w:cs="Segoe UI"/>
          <w:szCs w:val="20"/>
          <w:lang w:eastAsia="sk-SK"/>
        </w:rPr>
        <w:t>(</w:t>
      </w:r>
      <w:r w:rsidR="005E65E6">
        <w:rPr>
          <w:rFonts w:eastAsia="Times New Roman" w:cs="Segoe UI"/>
          <w:szCs w:val="20"/>
          <w:lang w:eastAsia="sk-SK"/>
        </w:rPr>
        <w:t>12,5 mil. eur</w:t>
      </w:r>
      <w:r>
        <w:rPr>
          <w:rFonts w:eastAsia="Times New Roman" w:cs="Segoe UI"/>
          <w:szCs w:val="20"/>
          <w:lang w:eastAsia="sk-SK"/>
        </w:rPr>
        <w:t>)</w:t>
      </w:r>
      <w:r w:rsidR="005E65E6">
        <w:rPr>
          <w:rFonts w:eastAsia="Times New Roman" w:cs="Segoe UI"/>
          <w:szCs w:val="20"/>
          <w:lang w:eastAsia="sk-SK"/>
        </w:rPr>
        <w:t xml:space="preserve"> a dan</w:t>
      </w:r>
      <w:r>
        <w:rPr>
          <w:rFonts w:eastAsia="Times New Roman" w:cs="Segoe UI"/>
          <w:szCs w:val="20"/>
          <w:lang w:eastAsia="sk-SK"/>
        </w:rPr>
        <w:t>e</w:t>
      </w:r>
      <w:r w:rsidR="005E65E6">
        <w:rPr>
          <w:rFonts w:eastAsia="Times New Roman" w:cs="Segoe UI"/>
          <w:szCs w:val="20"/>
          <w:lang w:eastAsia="sk-SK"/>
        </w:rPr>
        <w:t xml:space="preserve"> z medzinárodného obchodu a transakcií (2,8 mil. eur). </w:t>
      </w:r>
    </w:p>
    <w:p w14:paraId="498D3BBE" w14:textId="60267F56" w:rsidR="005E65E6" w:rsidRDefault="005E65E6" w:rsidP="005E65E6">
      <w:pPr>
        <w:rPr>
          <w:rFonts w:eastAsia="Times New Roman" w:cs="Segoe UI"/>
          <w:szCs w:val="20"/>
          <w:lang w:eastAsia="sk-SK"/>
        </w:rPr>
      </w:pPr>
      <w:r w:rsidRPr="00C818D1">
        <w:rPr>
          <w:rFonts w:eastAsia="Times New Roman" w:cs="Segoe UI"/>
          <w:szCs w:val="20"/>
          <w:lang w:eastAsia="sk-SK"/>
        </w:rPr>
        <w:t xml:space="preserve">NKÚ SR venoval v roku 2022 pozornosť </w:t>
      </w:r>
      <w:r w:rsidR="008A45CE" w:rsidRPr="00C818D1">
        <w:rPr>
          <w:rFonts w:eastAsia="Times New Roman" w:cs="Segoe UI"/>
          <w:szCs w:val="20"/>
          <w:lang w:eastAsia="sk-SK"/>
        </w:rPr>
        <w:t xml:space="preserve">aj </w:t>
      </w:r>
      <w:r w:rsidRPr="00C818D1">
        <w:rPr>
          <w:rFonts w:eastAsia="Times New Roman" w:cs="Segoe UI"/>
          <w:szCs w:val="20"/>
          <w:lang w:eastAsia="sk-SK"/>
        </w:rPr>
        <w:t>daňový</w:t>
      </w:r>
      <w:r w:rsidR="008A45CE" w:rsidRPr="00C818D1">
        <w:rPr>
          <w:rFonts w:eastAsia="Times New Roman" w:cs="Segoe UI"/>
          <w:szCs w:val="20"/>
          <w:lang w:eastAsia="sk-SK"/>
        </w:rPr>
        <w:t>m nástrojom na zvýšenie výberu daní do</w:t>
      </w:r>
      <w:r w:rsidRPr="00C818D1">
        <w:rPr>
          <w:rFonts w:eastAsia="Times New Roman" w:cs="Segoe UI"/>
          <w:szCs w:val="20"/>
          <w:lang w:eastAsia="sk-SK"/>
        </w:rPr>
        <w:t xml:space="preserve"> ŠR</w:t>
      </w:r>
      <w:r w:rsidR="008A7B99" w:rsidRPr="00C818D1">
        <w:rPr>
          <w:rFonts w:eastAsia="Times New Roman" w:cs="Segoe UI"/>
          <w:szCs w:val="20"/>
          <w:lang w:eastAsia="sk-SK"/>
        </w:rPr>
        <w:t>, a to e</w:t>
      </w:r>
      <w:r w:rsidR="00201AD2">
        <w:rPr>
          <w:rFonts w:eastAsia="Times New Roman" w:cs="Segoe UI"/>
          <w:szCs w:val="20"/>
          <w:lang w:eastAsia="sk-SK"/>
        </w:rPr>
        <w:t xml:space="preserve">lektronickej </w:t>
      </w:r>
      <w:r w:rsidR="008A7B99" w:rsidRPr="00C818D1">
        <w:rPr>
          <w:rFonts w:eastAsia="Times New Roman" w:cs="Segoe UI"/>
          <w:szCs w:val="20"/>
          <w:lang w:eastAsia="sk-SK"/>
        </w:rPr>
        <w:t xml:space="preserve">fakturácii </w:t>
      </w:r>
      <w:r w:rsidR="00C818D1">
        <w:rPr>
          <w:rFonts w:eastAsia="Times New Roman" w:cs="Segoe UI"/>
          <w:szCs w:val="20"/>
          <w:lang w:eastAsia="sk-SK"/>
        </w:rPr>
        <w:t xml:space="preserve">(box 1) </w:t>
      </w:r>
      <w:r w:rsidR="008A7B99" w:rsidRPr="00C818D1">
        <w:rPr>
          <w:rFonts w:eastAsia="Times New Roman" w:cs="Segoe UI"/>
          <w:szCs w:val="20"/>
          <w:lang w:eastAsia="sk-SK"/>
        </w:rPr>
        <w:t>a</w:t>
      </w:r>
      <w:r w:rsidR="00C818D1" w:rsidRPr="00C818D1">
        <w:rPr>
          <w:rFonts w:eastAsia="Times New Roman" w:cs="Segoe UI"/>
          <w:szCs w:val="20"/>
          <w:lang w:eastAsia="sk-SK"/>
        </w:rPr>
        <w:t xml:space="preserve"> možným riešeniam </w:t>
      </w:r>
      <w:r w:rsidR="008A7B99" w:rsidRPr="00C818D1">
        <w:rPr>
          <w:rFonts w:eastAsia="Times New Roman" w:cs="Segoe UI"/>
          <w:szCs w:val="20"/>
          <w:lang w:eastAsia="sk-SK"/>
        </w:rPr>
        <w:t>problematik</w:t>
      </w:r>
      <w:r w:rsidR="00C818D1" w:rsidRPr="00C818D1">
        <w:rPr>
          <w:rFonts w:eastAsia="Times New Roman" w:cs="Segoe UI"/>
          <w:szCs w:val="20"/>
          <w:lang w:eastAsia="sk-SK"/>
        </w:rPr>
        <w:t>y</w:t>
      </w:r>
      <w:r w:rsidR="008A7B99" w:rsidRPr="00C818D1">
        <w:rPr>
          <w:rFonts w:eastAsia="Times New Roman" w:cs="Segoe UI"/>
          <w:szCs w:val="20"/>
          <w:lang w:eastAsia="sk-SK"/>
        </w:rPr>
        <w:t xml:space="preserve"> </w:t>
      </w:r>
      <w:r w:rsidR="00C818D1" w:rsidRPr="00C818D1">
        <w:rPr>
          <w:rFonts w:eastAsia="Times New Roman" w:cs="Segoe UI"/>
          <w:szCs w:val="20"/>
          <w:lang w:eastAsia="sk-SK"/>
        </w:rPr>
        <w:t xml:space="preserve">fiktívnych </w:t>
      </w:r>
      <w:r w:rsidR="008A7B99" w:rsidRPr="00C818D1">
        <w:rPr>
          <w:rFonts w:eastAsia="Times New Roman" w:cs="Segoe UI"/>
          <w:szCs w:val="20"/>
          <w:lang w:eastAsia="sk-SK"/>
        </w:rPr>
        <w:t>živnostníkov</w:t>
      </w:r>
      <w:r w:rsidR="00C818D1">
        <w:rPr>
          <w:rFonts w:eastAsia="Times New Roman" w:cs="Segoe UI"/>
          <w:szCs w:val="20"/>
          <w:lang w:eastAsia="sk-SK"/>
        </w:rPr>
        <w:t xml:space="preserve"> (box 2)</w:t>
      </w:r>
      <w:r w:rsidR="008A7B99" w:rsidRPr="00C818D1">
        <w:rPr>
          <w:rFonts w:eastAsia="Times New Roman" w:cs="Segoe UI"/>
          <w:szCs w:val="20"/>
          <w:lang w:eastAsia="sk-SK"/>
        </w:rPr>
        <w:t>.</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500D62" w:rsidRPr="00AC3675" w14:paraId="6D18F4A0" w14:textId="77777777" w:rsidTr="00211538">
        <w:tc>
          <w:tcPr>
            <w:tcW w:w="9060" w:type="dxa"/>
            <w:shd w:val="clear" w:color="auto" w:fill="EBF0FB" w:themeFill="background2" w:themeFillTint="33"/>
          </w:tcPr>
          <w:p w14:paraId="0808141C" w14:textId="77777777" w:rsidR="00500D62" w:rsidRPr="00767017" w:rsidRDefault="00500D62" w:rsidP="00211538">
            <w:pPr>
              <w:spacing w:before="120" w:line="240" w:lineRule="auto"/>
              <w:rPr>
                <w:b/>
                <w:szCs w:val="18"/>
              </w:rPr>
            </w:pPr>
            <w:r w:rsidRPr="00767017">
              <w:rPr>
                <w:b/>
                <w:szCs w:val="18"/>
              </w:rPr>
              <w:t xml:space="preserve">BOX </w:t>
            </w:r>
            <w:r w:rsidRPr="00C818D1">
              <w:rPr>
                <w:b/>
                <w:szCs w:val="18"/>
              </w:rPr>
              <w:t>1</w:t>
            </w:r>
            <w:r w:rsidRPr="00767017">
              <w:rPr>
                <w:b/>
                <w:szCs w:val="18"/>
              </w:rPr>
              <w:t xml:space="preserve">: </w:t>
            </w:r>
            <w:r>
              <w:rPr>
                <w:b/>
              </w:rPr>
              <w:t>Elektronická fakturácia</w:t>
            </w:r>
          </w:p>
          <w:p w14:paraId="38F823E1" w14:textId="267953B8" w:rsidR="00500D62" w:rsidRPr="00C818D1" w:rsidRDefault="00500D62" w:rsidP="00211538">
            <w:pPr>
              <w:rPr>
                <w:sz w:val="18"/>
              </w:rPr>
            </w:pPr>
            <w:r w:rsidRPr="00C818D1">
              <w:rPr>
                <w:b/>
                <w:sz w:val="18"/>
              </w:rPr>
              <w:t xml:space="preserve">Počas roku 2022 pokračovala príprava a zavádzanie systému zaručenej elektronickej fakturácie, tzv. </w:t>
            </w:r>
            <w:proofErr w:type="spellStart"/>
            <w:r w:rsidRPr="00C818D1">
              <w:rPr>
                <w:b/>
                <w:sz w:val="18"/>
              </w:rPr>
              <w:t>eFaktúra</w:t>
            </w:r>
            <w:proofErr w:type="spellEnd"/>
            <w:r w:rsidRPr="00C818D1">
              <w:rPr>
                <w:b/>
                <w:sz w:val="18"/>
              </w:rPr>
              <w:t>.</w:t>
            </w:r>
            <w:r w:rsidRPr="00C818D1">
              <w:rPr>
                <w:sz w:val="18"/>
              </w:rPr>
              <w:t xml:space="preserve"> Táto sa vo svojej podstate podobá na systém eKasa, keďže v oboch prípadoch sú zapojené servery </w:t>
            </w:r>
            <w:r w:rsidR="00B34AD8" w:rsidRPr="00C818D1">
              <w:rPr>
                <w:sz w:val="18"/>
              </w:rPr>
              <w:t>F</w:t>
            </w:r>
            <w:r w:rsidR="00B34AD8">
              <w:rPr>
                <w:sz w:val="18"/>
              </w:rPr>
              <w:t>R SR</w:t>
            </w:r>
            <w:r w:rsidR="00B34AD8" w:rsidRPr="00C818D1">
              <w:rPr>
                <w:sz w:val="18"/>
              </w:rPr>
              <w:t xml:space="preserve"> </w:t>
            </w:r>
            <w:r w:rsidRPr="00C818D1">
              <w:rPr>
                <w:sz w:val="18"/>
              </w:rPr>
              <w:t xml:space="preserve">. V prípade </w:t>
            </w:r>
            <w:proofErr w:type="spellStart"/>
            <w:r w:rsidRPr="00C818D1">
              <w:rPr>
                <w:sz w:val="18"/>
              </w:rPr>
              <w:t>eKasy</w:t>
            </w:r>
            <w:proofErr w:type="spellEnd"/>
            <w:r w:rsidRPr="00C818D1">
              <w:rPr>
                <w:sz w:val="18"/>
              </w:rPr>
              <w:t xml:space="preserve"> je to pri vydávaní pokladničných dokladov z elektronických registračných pokladníc a pri </w:t>
            </w:r>
            <w:proofErr w:type="spellStart"/>
            <w:r w:rsidRPr="00C818D1">
              <w:rPr>
                <w:sz w:val="18"/>
              </w:rPr>
              <w:t>eFaktúre</w:t>
            </w:r>
            <w:proofErr w:type="spellEnd"/>
            <w:r w:rsidRPr="00C818D1">
              <w:rPr>
                <w:sz w:val="18"/>
              </w:rPr>
              <w:t xml:space="preserve"> pri vystavovaní faktúr. Samotné faktúry môžu byť vystavované v on-line prostredí alebo pomocou účtovných softvérov po ich aktualizácii. Formát elektronickej faktúry by mal byť štandardizovaný nielen na Slovensku, ale aj v rámci celej EÚ. Právny rámec vychádza zo smernice EP a Rady o elektronickej fakturácii vo verejnom obstarávaní, nadväzných vykonávacích rozhodnutí, transponujúcich zákonov a technických noriem. Štúdia uskutočniteľnosti uvádzala tri prínosy. Dva sa vzťahovali k znižovaniu medzier výberu DPH o 1,4 p. b. a výberu DPPO o 1,3 p. b. Tretí prínos predpokladal úsporu času pri evidovaní a zverejňovaní faktúr, ktorá bola vyčíslená na 4,5 mi</w:t>
            </w:r>
            <w:r>
              <w:rPr>
                <w:sz w:val="18"/>
              </w:rPr>
              <w:t>l</w:t>
            </w:r>
            <w:r w:rsidRPr="00C818D1">
              <w:rPr>
                <w:sz w:val="18"/>
              </w:rPr>
              <w:t xml:space="preserve">. eur ročne. Zároveň sa predpokladalo zasielanie zaručených elektronických faktúr nielen medzi inštitúciami štátnej / verejnej správy (G2G – </w:t>
            </w:r>
            <w:proofErr w:type="spellStart"/>
            <w:r w:rsidRPr="00C818D1">
              <w:rPr>
                <w:sz w:val="18"/>
              </w:rPr>
              <w:t>Government-Government</w:t>
            </w:r>
            <w:proofErr w:type="spellEnd"/>
            <w:r w:rsidRPr="00C818D1">
              <w:rPr>
                <w:sz w:val="18"/>
              </w:rPr>
              <w:t>) a inštitúciami štátnej / verejnej správy a podnikateľmi (B2G – Business-</w:t>
            </w:r>
            <w:proofErr w:type="spellStart"/>
            <w:r w:rsidRPr="00C818D1">
              <w:rPr>
                <w:sz w:val="18"/>
              </w:rPr>
              <w:t>Government</w:t>
            </w:r>
            <w:proofErr w:type="spellEnd"/>
            <w:r w:rsidRPr="00C818D1">
              <w:rPr>
                <w:sz w:val="18"/>
              </w:rPr>
              <w:t>)</w:t>
            </w:r>
            <w:r>
              <w:rPr>
                <w:sz w:val="18"/>
              </w:rPr>
              <w:t>,</w:t>
            </w:r>
            <w:r w:rsidRPr="00C818D1">
              <w:rPr>
                <w:sz w:val="18"/>
              </w:rPr>
              <w:t xml:space="preserve"> ale aj v súkromnom sektore medzi podnikateľmi a medzi podnikateľmi a zákazníkmi (B2B – Business-Business a B2C – Business-</w:t>
            </w:r>
            <w:proofErr w:type="spellStart"/>
            <w:r w:rsidRPr="00C818D1">
              <w:rPr>
                <w:sz w:val="18"/>
              </w:rPr>
              <w:t>Customer</w:t>
            </w:r>
            <w:proofErr w:type="spellEnd"/>
            <w:r w:rsidRPr="00C818D1">
              <w:rPr>
                <w:sz w:val="18"/>
              </w:rPr>
              <w:t xml:space="preserve">). </w:t>
            </w:r>
          </w:p>
          <w:p w14:paraId="228540F0" w14:textId="77777777" w:rsidR="00500D62" w:rsidRPr="00C818D1" w:rsidRDefault="00500D62" w:rsidP="00211538">
            <w:r w:rsidRPr="00C818D1">
              <w:rPr>
                <w:b/>
                <w:sz w:val="18"/>
              </w:rPr>
              <w:t>Z pôvodného zámeru ostala kostra s obmedzeným prínosom pre zníženie medzery DPH/DPPO a obmedzeniu legalizác</w:t>
            </w:r>
            <w:r>
              <w:rPr>
                <w:b/>
                <w:sz w:val="18"/>
              </w:rPr>
              <w:t>ie príjmov z nelegálnej činnosti</w:t>
            </w:r>
            <w:r w:rsidRPr="00C818D1">
              <w:rPr>
                <w:b/>
                <w:sz w:val="18"/>
              </w:rPr>
              <w:t>.</w:t>
            </w:r>
            <w:r w:rsidRPr="00C818D1">
              <w:rPr>
                <w:sz w:val="18"/>
              </w:rPr>
              <w:t xml:space="preserve"> Súčasná úroveň implementácie sa približuje tzv. </w:t>
            </w:r>
            <w:r w:rsidRPr="00C818D1">
              <w:rPr>
                <w:sz w:val="18"/>
              </w:rPr>
              <w:lastRenderedPageBreak/>
              <w:t xml:space="preserve">minimalistickému riešeniu, ktoré bolo v štúdii uskutočniteľnosti najhoršie hodnotené. Podľa vyjadrenia MF SR sa toto riešenie prijalo s ohľadom na fakt, že ešte stále nemáme platnú legislatívu, ktorá by ustanovovala povinnosť zasielať zaručené elektronické faktúry pre B2B oblasť. Rozpočet na IS EFA bol na rok 2022 schválený v celkovej výške 2 mil. eur, z ktorých bolo vyčerpaných 6 tis. eur na </w:t>
            </w:r>
            <w:proofErr w:type="spellStart"/>
            <w:r w:rsidRPr="00C818D1">
              <w:rPr>
                <w:sz w:val="18"/>
              </w:rPr>
              <w:t>cloudové</w:t>
            </w:r>
            <w:proofErr w:type="spellEnd"/>
            <w:r w:rsidRPr="00C818D1">
              <w:rPr>
                <w:sz w:val="18"/>
              </w:rPr>
              <w:t xml:space="preserve"> prostredie. Zvyšné náklady na vývojový tím sa riešili z interných zdrojov. V nadväznosti na iniciatívu EK DPH v digitálnom veku sa očakáva rozvoj systému na národnej úrovni, pričom e-fakturácie by mal</w:t>
            </w:r>
            <w:r>
              <w:rPr>
                <w:sz w:val="18"/>
              </w:rPr>
              <w:t>i</w:t>
            </w:r>
            <w:r w:rsidRPr="00C818D1">
              <w:rPr>
                <w:sz w:val="18"/>
              </w:rPr>
              <w:t xml:space="preserve"> byť podľa návrhu EK povinné do roku 2028.</w:t>
            </w:r>
          </w:p>
        </w:tc>
      </w:tr>
    </w:tbl>
    <w:p w14:paraId="716D9C3A" w14:textId="77777777" w:rsidR="00500D62" w:rsidRPr="00C818D1" w:rsidRDefault="00500D62" w:rsidP="00500D62">
      <w:pPr>
        <w:spacing w:after="0"/>
        <w:rPr>
          <w:rFonts w:eastAsia="Times New Roman" w:cs="Segoe UI"/>
          <w:szCs w:val="20"/>
          <w:lang w:eastAsia="sk-SK"/>
        </w:rPr>
      </w:pP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500D62" w:rsidRPr="00AC3675" w14:paraId="62018909" w14:textId="77777777" w:rsidTr="00211538">
        <w:tc>
          <w:tcPr>
            <w:tcW w:w="9060" w:type="dxa"/>
            <w:shd w:val="clear" w:color="auto" w:fill="EBF0FB" w:themeFill="background2" w:themeFillTint="33"/>
          </w:tcPr>
          <w:p w14:paraId="150F51E3" w14:textId="77777777" w:rsidR="00500D62" w:rsidRPr="00767017" w:rsidRDefault="00500D62" w:rsidP="00211538">
            <w:pPr>
              <w:spacing w:before="120" w:line="240" w:lineRule="auto"/>
              <w:rPr>
                <w:b/>
                <w:szCs w:val="18"/>
              </w:rPr>
            </w:pPr>
            <w:r w:rsidRPr="00767017">
              <w:rPr>
                <w:b/>
                <w:szCs w:val="18"/>
              </w:rPr>
              <w:t xml:space="preserve">BOX </w:t>
            </w:r>
            <w:r>
              <w:rPr>
                <w:b/>
                <w:szCs w:val="18"/>
              </w:rPr>
              <w:t>2</w:t>
            </w:r>
            <w:r w:rsidRPr="00767017">
              <w:rPr>
                <w:b/>
                <w:szCs w:val="18"/>
              </w:rPr>
              <w:t xml:space="preserve">: </w:t>
            </w:r>
            <w:r>
              <w:rPr>
                <w:b/>
                <w:szCs w:val="18"/>
              </w:rPr>
              <w:t>Fiktívni živnostníci</w:t>
            </w:r>
          </w:p>
          <w:p w14:paraId="07C52BD6" w14:textId="77274278" w:rsidR="00500D62" w:rsidRPr="00534FE0" w:rsidRDefault="007C7CEF" w:rsidP="00211538">
            <w:pPr>
              <w:tabs>
                <w:tab w:val="left" w:pos="3024"/>
              </w:tabs>
              <w:rPr>
                <w:i/>
                <w:sz w:val="18"/>
              </w:rPr>
            </w:pPr>
            <w:r>
              <w:rPr>
                <w:sz w:val="18"/>
              </w:rPr>
              <w:t xml:space="preserve">Podľa analýzy </w:t>
            </w:r>
            <w:r w:rsidR="00FB0439">
              <w:rPr>
                <w:sz w:val="18"/>
              </w:rPr>
              <w:t xml:space="preserve">NKÚ SR na základe </w:t>
            </w:r>
            <w:r>
              <w:rPr>
                <w:sz w:val="18"/>
              </w:rPr>
              <w:t>údajov zo</w:t>
            </w:r>
            <w:r w:rsidR="00FB0439">
              <w:rPr>
                <w:sz w:val="18"/>
              </w:rPr>
              <w:t xml:space="preserve"> ŠÚ SR mala</w:t>
            </w:r>
            <w:r w:rsidR="00500D62" w:rsidRPr="00A9609E">
              <w:rPr>
                <w:sz w:val="18"/>
              </w:rPr>
              <w:t xml:space="preserve"> zmena legislatívy</w:t>
            </w:r>
            <w:r w:rsidR="00FB0439">
              <w:rPr>
                <w:sz w:val="18"/>
              </w:rPr>
              <w:t>,</w:t>
            </w:r>
            <w:r w:rsidR="00500D62" w:rsidRPr="00A9609E">
              <w:rPr>
                <w:sz w:val="18"/>
              </w:rPr>
              <w:t xml:space="preserve"> znižujúca daňové zaťaženie živnostníkov od roku 2017</w:t>
            </w:r>
            <w:r w:rsidR="00FB0439">
              <w:rPr>
                <w:sz w:val="18"/>
              </w:rPr>
              <w:t>,</w:t>
            </w:r>
            <w:r w:rsidR="00500D62" w:rsidRPr="00A9609E">
              <w:rPr>
                <w:sz w:val="18"/>
              </w:rPr>
              <w:t xml:space="preserve"> za následok nárast počtu domácich fiktívnych živnostníkov</w:t>
            </w:r>
            <w:r w:rsidR="00FB0439">
              <w:rPr>
                <w:sz w:val="18"/>
              </w:rPr>
              <w:t xml:space="preserve"> </w:t>
            </w:r>
            <w:r w:rsidR="00534FE0" w:rsidRPr="00534FE0">
              <w:rPr>
                <w:sz w:val="18"/>
              </w:rPr>
              <w:t>(</w:t>
            </w:r>
            <w:r w:rsidR="00FB0439" w:rsidRPr="00534FE0">
              <w:rPr>
                <w:sz w:val="18"/>
              </w:rPr>
              <w:t xml:space="preserve">fiktívny živnostník </w:t>
            </w:r>
            <w:r w:rsidR="00534FE0" w:rsidRPr="00534FE0">
              <w:rPr>
                <w:sz w:val="18"/>
              </w:rPr>
              <w:t>je</w:t>
            </w:r>
            <w:r w:rsidR="00FB0439" w:rsidRPr="00534FE0">
              <w:rPr>
                <w:sz w:val="18"/>
              </w:rPr>
              <w:t xml:space="preserve"> človek, ktorý má namiesto pracovnej zmluvy živnosť, ale v práci sa správa ako zamestnanec, nie ako slobodn</w:t>
            </w:r>
            <w:r w:rsidR="00534FE0" w:rsidRPr="00534FE0">
              <w:rPr>
                <w:sz w:val="18"/>
              </w:rPr>
              <w:t xml:space="preserve">e rozhodujúci dodávateľ služieb). </w:t>
            </w:r>
            <w:r w:rsidR="00500D62" w:rsidRPr="00534FE0">
              <w:rPr>
                <w:sz w:val="18"/>
              </w:rPr>
              <w:t xml:space="preserve">Keďže fiktívni živnostníci môžu byť vyslaní za prácou aj do zahraničia, </w:t>
            </w:r>
            <w:r w:rsidRPr="00534FE0">
              <w:rPr>
                <w:sz w:val="18"/>
              </w:rPr>
              <w:t xml:space="preserve">analyzovali </w:t>
            </w:r>
            <w:r w:rsidR="00500D62" w:rsidRPr="00534FE0">
              <w:rPr>
                <w:sz w:val="18"/>
              </w:rPr>
              <w:t>sme, aký vplyv mala táto zme</w:t>
            </w:r>
            <w:r w:rsidR="00500D62" w:rsidRPr="00A9609E">
              <w:rPr>
                <w:sz w:val="18"/>
              </w:rPr>
              <w:t xml:space="preserve">na legislatívy na vyslaných fiktívnych živnostníkov. Tí vďaka výnimke môžu platiť dane a odvody na Slovensku, a preto z pohľadu príjmov </w:t>
            </w:r>
            <w:r w:rsidR="00500D62">
              <w:rPr>
                <w:sz w:val="18"/>
              </w:rPr>
              <w:t>VS</w:t>
            </w:r>
            <w:r w:rsidR="002C4827">
              <w:rPr>
                <w:sz w:val="18"/>
              </w:rPr>
              <w:t xml:space="preserve"> ide o relevantnú skupinu osôb.</w:t>
            </w:r>
          </w:p>
          <w:p w14:paraId="322F7753" w14:textId="301522A4" w:rsidR="00500D62" w:rsidRPr="00FA23FB" w:rsidRDefault="00500D62" w:rsidP="00D61B03">
            <w:r w:rsidRPr="00A9609E">
              <w:rPr>
                <w:sz w:val="18"/>
              </w:rPr>
              <w:t>Z dát S</w:t>
            </w:r>
            <w:r w:rsidR="002C4827">
              <w:rPr>
                <w:sz w:val="18"/>
              </w:rPr>
              <w:t>ociálnej poisťovne</w:t>
            </w:r>
            <w:r w:rsidRPr="00A9609E">
              <w:rPr>
                <w:sz w:val="18"/>
              </w:rPr>
              <w:t xml:space="preserve"> </w:t>
            </w:r>
            <w:r w:rsidR="00D61B03">
              <w:rPr>
                <w:sz w:val="18"/>
              </w:rPr>
              <w:t>je možné vyhodnotiť</w:t>
            </w:r>
            <w:r w:rsidRPr="00A9609E">
              <w:rPr>
                <w:sz w:val="18"/>
              </w:rPr>
              <w:t>, že fiktívni živnostníci tvori</w:t>
            </w:r>
            <w:r w:rsidR="00D61B03">
              <w:rPr>
                <w:sz w:val="18"/>
              </w:rPr>
              <w:t>li</w:t>
            </w:r>
            <w:r w:rsidRPr="00A9609E">
              <w:rPr>
                <w:sz w:val="18"/>
              </w:rPr>
              <w:t xml:space="preserve"> značnú časť nárastu podielu SZČO na celkovom počte vyslaných osôb, aj keď s určitým oneskorením. Pozorovaný rast tohto podielu počas prvých troch rokov od zmeny legislatívy bol ťahaný najmä vývojom v sektore stavebníctva, priemyslu a iných služieb. Zmena trendu v čase nadobudnutia účinnosti zákona (január 2017) však nastala iba v prípade stavebníctva, čo možno pripísať vplyvu zmeny legislatívy. V roku 2021 tak bolo v stavebníctve približne 2</w:t>
            </w:r>
            <w:r w:rsidR="002C4827">
              <w:rPr>
                <w:sz w:val="18"/>
              </w:rPr>
              <w:t xml:space="preserve"> tisíc fiktívnych živnostníkov na</w:t>
            </w:r>
            <w:r w:rsidRPr="00A9609E">
              <w:rPr>
                <w:sz w:val="18"/>
              </w:rPr>
              <w:t xml:space="preserve">d rámec tých, ktorí boli fiktívni už pred zmenou legislatívy. </w:t>
            </w:r>
            <w:r w:rsidRPr="00A9609E">
              <w:rPr>
                <w:b/>
                <w:sz w:val="18"/>
              </w:rPr>
              <w:t>Stratu na daňových a odvodových príjmoch tak možno v roku 2021 odhadovať približne na úrovni 9,8 až 14,6 mil. eur.</w:t>
            </w:r>
          </w:p>
        </w:tc>
      </w:tr>
    </w:tbl>
    <w:p w14:paraId="73872B4B" w14:textId="6426677D" w:rsidR="005E65E6" w:rsidRDefault="005E65E6" w:rsidP="00C818D1">
      <w:pPr>
        <w:spacing w:before="120"/>
        <w:rPr>
          <w:rFonts w:eastAsia="Calibri" w:cs="Segoe UI"/>
          <w:b/>
          <w:szCs w:val="20"/>
        </w:rPr>
      </w:pPr>
      <w:r w:rsidRPr="00487772">
        <w:rPr>
          <w:rFonts w:eastAsia="Calibri" w:cs="Segoe UI"/>
          <w:szCs w:val="20"/>
        </w:rPr>
        <w:t>Skutoč</w:t>
      </w:r>
      <w:r>
        <w:rPr>
          <w:rFonts w:eastAsia="Calibri" w:cs="Segoe UI"/>
          <w:szCs w:val="20"/>
        </w:rPr>
        <w:t>n</w:t>
      </w:r>
      <w:r w:rsidR="00154246">
        <w:rPr>
          <w:rFonts w:eastAsia="Calibri" w:cs="Segoe UI"/>
          <w:szCs w:val="20"/>
        </w:rPr>
        <w:t>é</w:t>
      </w:r>
      <w:r>
        <w:rPr>
          <w:rFonts w:eastAsia="Calibri" w:cs="Segoe UI"/>
          <w:szCs w:val="20"/>
        </w:rPr>
        <w:t xml:space="preserve"> plneni</w:t>
      </w:r>
      <w:r w:rsidR="00154246">
        <w:rPr>
          <w:rFonts w:eastAsia="Calibri" w:cs="Segoe UI"/>
          <w:szCs w:val="20"/>
        </w:rPr>
        <w:t>e</w:t>
      </w:r>
      <w:r w:rsidRPr="00487772">
        <w:rPr>
          <w:rFonts w:eastAsia="Calibri" w:cs="Segoe UI"/>
          <w:szCs w:val="20"/>
        </w:rPr>
        <w:t xml:space="preserve"> </w:t>
      </w:r>
      <w:r w:rsidRPr="00403A7C">
        <w:rPr>
          <w:rFonts w:eastAsia="Calibri" w:cs="Segoe UI"/>
          <w:szCs w:val="20"/>
        </w:rPr>
        <w:t>nedaňových príjmov</w:t>
      </w:r>
      <w:r>
        <w:rPr>
          <w:rFonts w:eastAsia="Calibri" w:cs="Segoe UI"/>
          <w:szCs w:val="20"/>
        </w:rPr>
        <w:t xml:space="preserve"> dosiahl</w:t>
      </w:r>
      <w:r w:rsidR="00154246">
        <w:rPr>
          <w:rFonts w:eastAsia="Calibri" w:cs="Segoe UI"/>
          <w:szCs w:val="20"/>
        </w:rPr>
        <w:t>o</w:t>
      </w:r>
      <w:r>
        <w:rPr>
          <w:rFonts w:eastAsia="Calibri" w:cs="Segoe UI"/>
          <w:szCs w:val="20"/>
        </w:rPr>
        <w:t xml:space="preserve"> </w:t>
      </w:r>
      <w:r w:rsidRPr="00487772">
        <w:rPr>
          <w:rFonts w:eastAsia="Calibri" w:cs="Segoe UI"/>
          <w:szCs w:val="20"/>
        </w:rPr>
        <w:t>113</w:t>
      </w:r>
      <w:r>
        <w:rPr>
          <w:rFonts w:eastAsia="Calibri" w:cs="Segoe UI"/>
          <w:szCs w:val="20"/>
        </w:rPr>
        <w:t xml:space="preserve">,2 % </w:t>
      </w:r>
      <w:r w:rsidRPr="00487772">
        <w:rPr>
          <w:rFonts w:eastAsia="Calibri" w:cs="Segoe UI"/>
          <w:szCs w:val="20"/>
        </w:rPr>
        <w:t>rozpočtovanej hodnoty</w:t>
      </w:r>
      <w:r w:rsidR="00B53955">
        <w:rPr>
          <w:rFonts w:eastAsia="Calibri" w:cs="Segoe UI"/>
          <w:szCs w:val="20"/>
        </w:rPr>
        <w:t xml:space="preserve"> </w:t>
      </w:r>
      <w:r w:rsidR="00B53955" w:rsidRPr="00B23AEB">
        <w:rPr>
          <w:rFonts w:eastAsia="Calibri" w:cs="Segoe UI"/>
          <w:szCs w:val="20"/>
        </w:rPr>
        <w:t>(</w:t>
      </w:r>
      <w:r w:rsidR="00B53955">
        <w:rPr>
          <w:rFonts w:eastAsia="Calibri" w:cs="Segoe UI"/>
          <w:szCs w:val="20"/>
        </w:rPr>
        <w:t>t</w:t>
      </w:r>
      <w:r w:rsidR="00B53955" w:rsidRPr="00B23AEB">
        <w:rPr>
          <w:rFonts w:eastAsia="Calibri" w:cs="Segoe UI"/>
          <w:szCs w:val="20"/>
        </w:rPr>
        <w:t xml:space="preserve">abuľka </w:t>
      </w:r>
      <w:r w:rsidR="00B53955">
        <w:rPr>
          <w:rFonts w:eastAsia="Calibri" w:cs="Segoe UI"/>
          <w:szCs w:val="20"/>
        </w:rPr>
        <w:t>6</w:t>
      </w:r>
      <w:r w:rsidR="00B53955" w:rsidRPr="00B23AEB">
        <w:rPr>
          <w:rFonts w:eastAsia="Calibri" w:cs="Segoe UI"/>
          <w:szCs w:val="20"/>
        </w:rPr>
        <w:t>).</w:t>
      </w:r>
      <w:r w:rsidRPr="00487772">
        <w:rPr>
          <w:rFonts w:eastAsia="Calibri" w:cs="Segoe UI"/>
          <w:szCs w:val="20"/>
        </w:rPr>
        <w:t xml:space="preserve"> </w:t>
      </w:r>
      <w:r>
        <w:rPr>
          <w:rFonts w:eastAsia="Calibri" w:cs="Segoe UI"/>
          <w:szCs w:val="20"/>
        </w:rPr>
        <w:t>Medziročne bol</w:t>
      </w:r>
      <w:r w:rsidR="00154246">
        <w:rPr>
          <w:rFonts w:eastAsia="Calibri" w:cs="Segoe UI"/>
          <w:szCs w:val="20"/>
        </w:rPr>
        <w:t>o</w:t>
      </w:r>
      <w:r>
        <w:rPr>
          <w:rFonts w:eastAsia="Calibri" w:cs="Segoe UI"/>
          <w:szCs w:val="20"/>
        </w:rPr>
        <w:t xml:space="preserve"> nižši</w:t>
      </w:r>
      <w:r w:rsidR="00154246">
        <w:rPr>
          <w:rFonts w:eastAsia="Calibri" w:cs="Segoe UI"/>
          <w:szCs w:val="20"/>
        </w:rPr>
        <w:t>e</w:t>
      </w:r>
      <w:r>
        <w:rPr>
          <w:rFonts w:eastAsia="Calibri" w:cs="Segoe UI"/>
          <w:szCs w:val="20"/>
        </w:rPr>
        <w:t xml:space="preserve"> o 4 % (150,7 mil</w:t>
      </w:r>
      <w:r w:rsidRPr="00487772">
        <w:rPr>
          <w:rFonts w:eastAsia="Calibri" w:cs="Segoe UI"/>
          <w:szCs w:val="20"/>
        </w:rPr>
        <w:t>. eur</w:t>
      </w:r>
      <w:r w:rsidR="00154246">
        <w:rPr>
          <w:rFonts w:eastAsia="Calibri" w:cs="Segoe UI"/>
          <w:szCs w:val="20"/>
        </w:rPr>
        <w:t>)</w:t>
      </w:r>
      <w:r w:rsidRPr="00487772">
        <w:rPr>
          <w:rFonts w:eastAsia="Calibri" w:cs="Segoe UI"/>
          <w:szCs w:val="20"/>
        </w:rPr>
        <w:t xml:space="preserve">, a to najmä z dôvodu </w:t>
      </w:r>
      <w:r>
        <w:rPr>
          <w:rFonts w:eastAsia="Calibri" w:cs="Segoe UI"/>
          <w:szCs w:val="20"/>
        </w:rPr>
        <w:t>nižších</w:t>
      </w:r>
      <w:r w:rsidRPr="00487772">
        <w:rPr>
          <w:rFonts w:eastAsia="Calibri" w:cs="Segoe UI"/>
          <w:szCs w:val="20"/>
        </w:rPr>
        <w:t xml:space="preserve"> príjmov z dividend o</w:t>
      </w:r>
      <w:r>
        <w:rPr>
          <w:rFonts w:eastAsia="Calibri" w:cs="Segoe UI"/>
          <w:szCs w:val="20"/>
        </w:rPr>
        <w:t> 223,4 mil</w:t>
      </w:r>
      <w:r w:rsidRPr="00487772">
        <w:rPr>
          <w:rFonts w:eastAsia="Calibri" w:cs="Segoe UI"/>
          <w:szCs w:val="20"/>
        </w:rPr>
        <w:t>. eur</w:t>
      </w:r>
      <w:r>
        <w:rPr>
          <w:rFonts w:eastAsia="Calibri" w:cs="Segoe UI"/>
          <w:szCs w:val="20"/>
        </w:rPr>
        <w:t xml:space="preserve"> </w:t>
      </w:r>
      <w:r>
        <w:rPr>
          <w:rFonts w:cs="Segoe UI"/>
          <w:szCs w:val="20"/>
        </w:rPr>
        <w:t>(posun</w:t>
      </w:r>
      <w:r w:rsidRPr="00DF5101">
        <w:rPr>
          <w:rFonts w:cs="Segoe UI"/>
          <w:szCs w:val="20"/>
        </w:rPr>
        <w:t xml:space="preserve"> splatnosti výplaty dividend </w:t>
      </w:r>
      <w:r>
        <w:rPr>
          <w:rFonts w:cs="Segoe UI"/>
          <w:szCs w:val="20"/>
        </w:rPr>
        <w:t xml:space="preserve">SPP, a. s. </w:t>
      </w:r>
      <w:r w:rsidRPr="00DF5101">
        <w:rPr>
          <w:rFonts w:cs="Segoe UI"/>
          <w:color w:val="000000" w:themeColor="text1"/>
          <w:szCs w:val="20"/>
        </w:rPr>
        <w:t>v sume 220</w:t>
      </w:r>
      <w:r>
        <w:rPr>
          <w:rFonts w:cs="Segoe UI"/>
          <w:color w:val="000000" w:themeColor="text1"/>
          <w:szCs w:val="20"/>
        </w:rPr>
        <w:t xml:space="preserve"> mil</w:t>
      </w:r>
      <w:r w:rsidRPr="00DF5101">
        <w:rPr>
          <w:rFonts w:cs="Segoe UI"/>
          <w:color w:val="000000" w:themeColor="text1"/>
          <w:szCs w:val="20"/>
        </w:rPr>
        <w:t xml:space="preserve">. eur </w:t>
      </w:r>
      <w:r w:rsidRPr="00DF5101">
        <w:rPr>
          <w:rFonts w:cs="Segoe UI"/>
          <w:szCs w:val="20"/>
        </w:rPr>
        <w:t xml:space="preserve">za rok 2022 </w:t>
      </w:r>
      <w:r>
        <w:rPr>
          <w:rFonts w:cs="Segoe UI"/>
          <w:szCs w:val="20"/>
        </w:rPr>
        <w:t xml:space="preserve">na 31. 3. 2023). </w:t>
      </w:r>
      <w:r>
        <w:rPr>
          <w:rFonts w:eastAsia="Calibri" w:cs="Segoe UI"/>
          <w:szCs w:val="20"/>
        </w:rPr>
        <w:t xml:space="preserve">Lepšie ako očakávané boli najmä príjmy z iných nedaňových príjmov o 328 mil. eur a úrokov z tuzemských a zahraničných pôžičiek, návratných finančných výpomocí, vkladov a ážia o 40,8 mil. eur. </w:t>
      </w:r>
      <w:r w:rsidRPr="005F5CFD">
        <w:rPr>
          <w:rFonts w:eastAsia="Calibri" w:cs="Segoe UI"/>
          <w:b/>
          <w:szCs w:val="20"/>
        </w:rPr>
        <w:t xml:space="preserve">NKÚ </w:t>
      </w:r>
      <w:r w:rsidR="00A22AD6">
        <w:rPr>
          <w:rFonts w:eastAsia="Calibri" w:cs="Segoe UI"/>
          <w:b/>
          <w:szCs w:val="20"/>
        </w:rPr>
        <w:t xml:space="preserve">SR </w:t>
      </w:r>
      <w:r w:rsidRPr="005F5CFD">
        <w:rPr>
          <w:rFonts w:eastAsia="Calibri" w:cs="Segoe UI"/>
          <w:b/>
          <w:szCs w:val="20"/>
        </w:rPr>
        <w:t xml:space="preserve">pozitívne hodnotí rozpočtovanie kapitálových príjmov, ktoré boli oproti rozpočtu vyššie o 3,9 mil. eur </w:t>
      </w:r>
      <w:r>
        <w:rPr>
          <w:rFonts w:eastAsia="Calibri" w:cs="Segoe UI"/>
          <w:b/>
          <w:szCs w:val="20"/>
        </w:rPr>
        <w:t xml:space="preserve">a </w:t>
      </w:r>
      <w:r w:rsidRPr="005F5CFD">
        <w:rPr>
          <w:rFonts w:eastAsia="Calibri" w:cs="Segoe UI"/>
          <w:b/>
          <w:szCs w:val="20"/>
        </w:rPr>
        <w:t>v roku 2022 neboli nadhodnotené.</w:t>
      </w:r>
    </w:p>
    <w:p w14:paraId="75AB8A01" w14:textId="77777777" w:rsidR="00363DB9" w:rsidRPr="00B23AEB" w:rsidRDefault="00363DB9" w:rsidP="00363DB9">
      <w:pPr>
        <w:keepNext/>
        <w:spacing w:after="0" w:line="240" w:lineRule="auto"/>
        <w:rPr>
          <w:rFonts w:eastAsia="Calibri" w:cs="Times New Roman"/>
          <w:b/>
          <w:iCs/>
          <w:color w:val="314364"/>
          <w:szCs w:val="18"/>
        </w:rPr>
      </w:pPr>
      <w:r w:rsidRPr="00B23AEB">
        <w:rPr>
          <w:rFonts w:eastAsia="Calibri" w:cs="Times New Roman"/>
          <w:b/>
          <w:iCs/>
          <w:color w:val="314364"/>
          <w:szCs w:val="18"/>
        </w:rPr>
        <w:t xml:space="preserve">Tabuľka </w:t>
      </w:r>
      <w:r>
        <w:rPr>
          <w:rFonts w:eastAsia="Calibri" w:cs="Times New Roman"/>
          <w:b/>
          <w:iCs/>
          <w:color w:val="314364"/>
          <w:szCs w:val="18"/>
        </w:rPr>
        <w:t>6</w:t>
      </w:r>
      <w:r w:rsidRPr="00B23AEB">
        <w:rPr>
          <w:rFonts w:eastAsia="Calibri" w:cs="Times New Roman"/>
          <w:b/>
          <w:iCs/>
          <w:color w:val="314364"/>
          <w:szCs w:val="18"/>
        </w:rPr>
        <w:t>: Prehľad o plnení nedaňových príjmov ŠR</w:t>
      </w:r>
      <w:r>
        <w:rPr>
          <w:rFonts w:eastAsia="Calibri" w:cs="Times New Roman"/>
          <w:b/>
          <w:iCs/>
          <w:color w:val="314364"/>
          <w:szCs w:val="18"/>
        </w:rPr>
        <w:t xml:space="preserve"> </w:t>
      </w:r>
      <w:r w:rsidRPr="00EC6614">
        <w:rPr>
          <w:rFonts w:eastAsia="Calibri" w:cs="Times New Roman"/>
          <w:b/>
          <w:iCs/>
          <w:color w:val="314364"/>
          <w:szCs w:val="18"/>
        </w:rPr>
        <w:t>(v tis. eur)</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3828"/>
        <w:gridCol w:w="1134"/>
        <w:gridCol w:w="1134"/>
        <w:gridCol w:w="1134"/>
        <w:gridCol w:w="1134"/>
        <w:gridCol w:w="706"/>
      </w:tblGrid>
      <w:tr w:rsidR="00363DB9" w14:paraId="56362E39" w14:textId="77777777" w:rsidTr="00211538">
        <w:trPr>
          <w:trHeight w:val="283"/>
        </w:trPr>
        <w:tc>
          <w:tcPr>
            <w:tcW w:w="2110" w:type="pct"/>
            <w:tcBorders>
              <w:bottom w:val="single" w:sz="4" w:space="0" w:color="314364"/>
            </w:tcBorders>
            <w:shd w:val="clear" w:color="auto" w:fill="314364"/>
            <w:vAlign w:val="center"/>
          </w:tcPr>
          <w:p w14:paraId="50DA4711" w14:textId="77777777" w:rsidR="00363DB9" w:rsidRPr="0032280E" w:rsidRDefault="00363DB9" w:rsidP="00211538">
            <w:pPr>
              <w:spacing w:after="0" w:line="259" w:lineRule="auto"/>
              <w:jc w:val="left"/>
              <w:rPr>
                <w:b/>
                <w:color w:val="FFFFFF" w:themeColor="background1"/>
                <w:sz w:val="18"/>
              </w:rPr>
            </w:pPr>
            <w:r>
              <w:rPr>
                <w:b/>
                <w:color w:val="FFFFFF" w:themeColor="background1"/>
                <w:sz w:val="18"/>
              </w:rPr>
              <w:t>Ukazovateľ</w:t>
            </w:r>
          </w:p>
        </w:tc>
        <w:tc>
          <w:tcPr>
            <w:tcW w:w="625" w:type="pct"/>
            <w:tcBorders>
              <w:bottom w:val="single" w:sz="4" w:space="0" w:color="314364"/>
            </w:tcBorders>
            <w:shd w:val="clear" w:color="auto" w:fill="314364"/>
            <w:vAlign w:val="center"/>
          </w:tcPr>
          <w:p w14:paraId="60E53702" w14:textId="77777777" w:rsidR="00363DB9" w:rsidRDefault="00363DB9" w:rsidP="00211538">
            <w:pPr>
              <w:spacing w:after="0" w:line="259" w:lineRule="auto"/>
              <w:jc w:val="right"/>
              <w:rPr>
                <w:b/>
                <w:color w:val="FFFFFF" w:themeColor="background1"/>
                <w:sz w:val="18"/>
              </w:rPr>
            </w:pPr>
            <w:r>
              <w:rPr>
                <w:rFonts w:eastAsia="Calibri" w:cs="Segoe UI"/>
                <w:b/>
                <w:bCs/>
                <w:color w:val="FFFFFF"/>
                <w:sz w:val="18"/>
                <w:szCs w:val="18"/>
              </w:rPr>
              <w:t>2021 S</w:t>
            </w:r>
          </w:p>
        </w:tc>
        <w:tc>
          <w:tcPr>
            <w:tcW w:w="625" w:type="pct"/>
            <w:tcBorders>
              <w:bottom w:val="single" w:sz="4" w:space="0" w:color="314364"/>
            </w:tcBorders>
            <w:shd w:val="clear" w:color="auto" w:fill="314364"/>
            <w:vAlign w:val="center"/>
          </w:tcPr>
          <w:p w14:paraId="547C2DC7" w14:textId="77777777" w:rsidR="00363DB9" w:rsidRDefault="00363DB9" w:rsidP="00211538">
            <w:pPr>
              <w:spacing w:after="0" w:line="259" w:lineRule="auto"/>
              <w:jc w:val="right"/>
              <w:rPr>
                <w:b/>
                <w:color w:val="FFFFFF" w:themeColor="background1"/>
                <w:sz w:val="18"/>
              </w:rPr>
            </w:pPr>
            <w:r>
              <w:rPr>
                <w:rFonts w:eastAsia="Calibri" w:cs="Segoe UI"/>
                <w:b/>
                <w:color w:val="FFFFFF"/>
                <w:sz w:val="18"/>
                <w:szCs w:val="18"/>
              </w:rPr>
              <w:t>2022 R</w:t>
            </w:r>
          </w:p>
        </w:tc>
        <w:tc>
          <w:tcPr>
            <w:tcW w:w="625" w:type="pct"/>
            <w:tcBorders>
              <w:bottom w:val="single" w:sz="4" w:space="0" w:color="314364"/>
            </w:tcBorders>
            <w:shd w:val="clear" w:color="auto" w:fill="314364"/>
            <w:vAlign w:val="center"/>
          </w:tcPr>
          <w:p w14:paraId="3AF51445" w14:textId="77777777" w:rsidR="00363DB9" w:rsidRDefault="00363DB9" w:rsidP="00211538">
            <w:pPr>
              <w:spacing w:after="0" w:line="259" w:lineRule="auto"/>
              <w:jc w:val="right"/>
              <w:rPr>
                <w:b/>
                <w:color w:val="FFFFFF" w:themeColor="background1"/>
                <w:sz w:val="18"/>
              </w:rPr>
            </w:pPr>
            <w:r>
              <w:rPr>
                <w:rFonts w:eastAsia="Calibri" w:cs="Segoe UI"/>
                <w:b/>
                <w:bCs/>
                <w:color w:val="FFFFFF"/>
                <w:sz w:val="18"/>
                <w:szCs w:val="18"/>
              </w:rPr>
              <w:t>2022 S</w:t>
            </w:r>
          </w:p>
        </w:tc>
        <w:tc>
          <w:tcPr>
            <w:tcW w:w="625" w:type="pct"/>
            <w:tcBorders>
              <w:bottom w:val="single" w:sz="4" w:space="0" w:color="314364"/>
            </w:tcBorders>
            <w:shd w:val="clear" w:color="auto" w:fill="314364"/>
            <w:vAlign w:val="center"/>
          </w:tcPr>
          <w:p w14:paraId="671760E6" w14:textId="77777777" w:rsidR="00363DB9" w:rsidRDefault="00363DB9" w:rsidP="00211538">
            <w:pPr>
              <w:spacing w:after="0" w:line="259" w:lineRule="auto"/>
              <w:ind w:hanging="114"/>
              <w:jc w:val="right"/>
              <w:rPr>
                <w:b/>
                <w:color w:val="FFFFFF" w:themeColor="background1"/>
                <w:sz w:val="18"/>
              </w:rPr>
            </w:pPr>
            <w:r>
              <w:rPr>
                <w:rFonts w:eastAsia="Calibri" w:cs="Segoe UI"/>
                <w:b/>
                <w:bCs/>
                <w:color w:val="FFFFFF"/>
                <w:sz w:val="18"/>
                <w:szCs w:val="18"/>
              </w:rPr>
              <w:t>22S - 22</w:t>
            </w:r>
            <w:r w:rsidRPr="00EC6614">
              <w:rPr>
                <w:rFonts w:eastAsia="Calibri" w:cs="Segoe UI"/>
                <w:b/>
                <w:bCs/>
                <w:color w:val="FFFFFF"/>
                <w:sz w:val="18"/>
                <w:szCs w:val="18"/>
              </w:rPr>
              <w:t>R</w:t>
            </w:r>
          </w:p>
        </w:tc>
        <w:tc>
          <w:tcPr>
            <w:tcW w:w="389" w:type="pct"/>
            <w:tcBorders>
              <w:bottom w:val="single" w:sz="4" w:space="0" w:color="314364"/>
            </w:tcBorders>
            <w:shd w:val="clear" w:color="auto" w:fill="314364"/>
            <w:vAlign w:val="center"/>
          </w:tcPr>
          <w:p w14:paraId="06ED3C7D" w14:textId="77777777" w:rsidR="00363DB9" w:rsidRDefault="00363DB9" w:rsidP="00211538">
            <w:pPr>
              <w:spacing w:after="0" w:line="259" w:lineRule="auto"/>
              <w:jc w:val="right"/>
              <w:rPr>
                <w:b/>
                <w:color w:val="FFFFFF" w:themeColor="background1"/>
                <w:sz w:val="18"/>
              </w:rPr>
            </w:pPr>
            <w:r>
              <w:rPr>
                <w:rFonts w:eastAsia="Calibri" w:cs="Segoe UI"/>
                <w:b/>
                <w:color w:val="FFFFFF"/>
                <w:sz w:val="18"/>
                <w:szCs w:val="18"/>
              </w:rPr>
              <w:t>YoY</w:t>
            </w:r>
          </w:p>
        </w:tc>
      </w:tr>
      <w:tr w:rsidR="00363DB9" w:rsidRPr="00EA0C33" w14:paraId="67B5E705" w14:textId="77777777" w:rsidTr="00211538">
        <w:trPr>
          <w:trHeight w:val="283"/>
        </w:trPr>
        <w:tc>
          <w:tcPr>
            <w:tcW w:w="2110" w:type="pct"/>
            <w:tcBorders>
              <w:top w:val="single" w:sz="4" w:space="0" w:color="314364"/>
            </w:tcBorders>
            <w:vAlign w:val="center"/>
          </w:tcPr>
          <w:p w14:paraId="77981DFD" w14:textId="77777777" w:rsidR="00363DB9" w:rsidRPr="00A95AAC" w:rsidRDefault="00363DB9" w:rsidP="00211538">
            <w:pPr>
              <w:spacing w:after="0" w:line="240" w:lineRule="auto"/>
              <w:jc w:val="left"/>
              <w:rPr>
                <w:rFonts w:eastAsia="Times New Roman" w:cs="Segoe UI"/>
                <w:b/>
                <w:bCs/>
                <w:color w:val="000000"/>
                <w:sz w:val="18"/>
                <w:szCs w:val="18"/>
                <w:lang w:eastAsia="sk-SK"/>
              </w:rPr>
            </w:pPr>
            <w:r w:rsidRPr="00A95AAC">
              <w:rPr>
                <w:rFonts w:eastAsia="Times New Roman" w:cs="Segoe UI"/>
                <w:b/>
                <w:bCs/>
                <w:color w:val="000000"/>
                <w:sz w:val="18"/>
                <w:szCs w:val="18"/>
                <w:lang w:eastAsia="sk-SK"/>
              </w:rPr>
              <w:t>Nedaňové príjmy spolu</w:t>
            </w:r>
          </w:p>
        </w:tc>
        <w:tc>
          <w:tcPr>
            <w:tcW w:w="625" w:type="pct"/>
            <w:tcBorders>
              <w:top w:val="single" w:sz="4" w:space="0" w:color="314364"/>
            </w:tcBorders>
            <w:vAlign w:val="bottom"/>
          </w:tcPr>
          <w:p w14:paraId="21C37896" w14:textId="77777777" w:rsidR="00363DB9" w:rsidRPr="00A95AAC" w:rsidRDefault="00363DB9" w:rsidP="00211538">
            <w:pPr>
              <w:spacing w:after="0" w:line="240" w:lineRule="auto"/>
              <w:jc w:val="right"/>
              <w:rPr>
                <w:rFonts w:eastAsia="Times New Roman" w:cs="Segoe UI"/>
                <w:b/>
                <w:bCs/>
                <w:sz w:val="18"/>
                <w:szCs w:val="18"/>
                <w:lang w:eastAsia="sk-SK"/>
              </w:rPr>
            </w:pPr>
            <w:r w:rsidRPr="00A95AAC">
              <w:rPr>
                <w:rFonts w:eastAsia="Times New Roman" w:cs="Segoe UI"/>
                <w:b/>
                <w:bCs/>
                <w:sz w:val="18"/>
                <w:szCs w:val="18"/>
                <w:lang w:eastAsia="sk-SK"/>
              </w:rPr>
              <w:t>1 338 320</w:t>
            </w:r>
          </w:p>
        </w:tc>
        <w:tc>
          <w:tcPr>
            <w:tcW w:w="625" w:type="pct"/>
            <w:tcBorders>
              <w:top w:val="single" w:sz="4" w:space="0" w:color="314364"/>
            </w:tcBorders>
            <w:vAlign w:val="bottom"/>
          </w:tcPr>
          <w:p w14:paraId="62F5C7C4" w14:textId="77777777" w:rsidR="00363DB9" w:rsidRPr="00A95AAC" w:rsidRDefault="00363DB9" w:rsidP="00211538">
            <w:pPr>
              <w:spacing w:after="0" w:line="240" w:lineRule="auto"/>
              <w:jc w:val="right"/>
              <w:rPr>
                <w:rFonts w:eastAsia="Times New Roman" w:cs="Segoe UI"/>
                <w:b/>
                <w:bCs/>
                <w:sz w:val="18"/>
                <w:szCs w:val="18"/>
                <w:lang w:eastAsia="sk-SK"/>
              </w:rPr>
            </w:pPr>
            <w:r w:rsidRPr="00A95AAC">
              <w:rPr>
                <w:rFonts w:eastAsia="Times New Roman" w:cs="Segoe UI"/>
                <w:b/>
                <w:bCs/>
                <w:sz w:val="18"/>
                <w:szCs w:val="18"/>
                <w:lang w:eastAsia="sk-SK"/>
              </w:rPr>
              <w:t>1 134 818</w:t>
            </w:r>
          </w:p>
        </w:tc>
        <w:tc>
          <w:tcPr>
            <w:tcW w:w="625" w:type="pct"/>
            <w:tcBorders>
              <w:top w:val="single" w:sz="4" w:space="0" w:color="314364"/>
            </w:tcBorders>
            <w:vAlign w:val="bottom"/>
          </w:tcPr>
          <w:p w14:paraId="09FD89AA" w14:textId="77777777" w:rsidR="00363DB9" w:rsidRPr="00A95AAC" w:rsidRDefault="00363DB9" w:rsidP="00211538">
            <w:pPr>
              <w:spacing w:after="0" w:line="240" w:lineRule="auto"/>
              <w:jc w:val="right"/>
              <w:rPr>
                <w:rFonts w:eastAsia="Times New Roman" w:cs="Segoe UI"/>
                <w:b/>
                <w:bCs/>
                <w:sz w:val="18"/>
                <w:szCs w:val="18"/>
                <w:lang w:eastAsia="sk-SK"/>
              </w:rPr>
            </w:pPr>
            <w:r w:rsidRPr="00A95AAC">
              <w:rPr>
                <w:rFonts w:eastAsia="Times New Roman" w:cs="Segoe UI"/>
                <w:b/>
                <w:bCs/>
                <w:sz w:val="18"/>
                <w:szCs w:val="18"/>
                <w:lang w:eastAsia="sk-SK"/>
              </w:rPr>
              <w:t>1 285 089</w:t>
            </w:r>
          </w:p>
        </w:tc>
        <w:tc>
          <w:tcPr>
            <w:tcW w:w="625" w:type="pct"/>
            <w:tcBorders>
              <w:top w:val="single" w:sz="4" w:space="0" w:color="314364"/>
            </w:tcBorders>
            <w:vAlign w:val="center"/>
          </w:tcPr>
          <w:p w14:paraId="5E9701F8" w14:textId="77777777" w:rsidR="00363DB9" w:rsidRPr="006D0D4F" w:rsidRDefault="00363DB9" w:rsidP="00211538">
            <w:pPr>
              <w:spacing w:after="0" w:line="240" w:lineRule="auto"/>
              <w:jc w:val="right"/>
              <w:rPr>
                <w:rFonts w:eastAsia="Times New Roman" w:cs="Segoe UI"/>
                <w:b/>
                <w:bCs/>
                <w:color w:val="000000"/>
                <w:sz w:val="18"/>
                <w:szCs w:val="18"/>
                <w:lang w:eastAsia="sk-SK"/>
              </w:rPr>
            </w:pPr>
            <w:r w:rsidRPr="006D0D4F">
              <w:rPr>
                <w:rFonts w:eastAsia="Times New Roman" w:cs="Segoe UI"/>
                <w:b/>
                <w:bCs/>
                <w:color w:val="000000"/>
                <w:sz w:val="18"/>
                <w:szCs w:val="18"/>
                <w:lang w:eastAsia="sk-SK"/>
              </w:rPr>
              <w:t>150 271</w:t>
            </w:r>
          </w:p>
        </w:tc>
        <w:tc>
          <w:tcPr>
            <w:tcW w:w="389" w:type="pct"/>
            <w:tcBorders>
              <w:top w:val="single" w:sz="4" w:space="0" w:color="314364"/>
            </w:tcBorders>
            <w:vAlign w:val="center"/>
          </w:tcPr>
          <w:p w14:paraId="62335E4F" w14:textId="77777777" w:rsidR="00363DB9" w:rsidRPr="006D0D4F" w:rsidRDefault="00363DB9" w:rsidP="00211538">
            <w:pPr>
              <w:spacing w:after="0" w:line="240" w:lineRule="auto"/>
              <w:jc w:val="right"/>
              <w:rPr>
                <w:rFonts w:eastAsia="Times New Roman" w:cs="Segoe UI"/>
                <w:b/>
                <w:bCs/>
                <w:color w:val="000000"/>
                <w:sz w:val="18"/>
                <w:szCs w:val="18"/>
                <w:lang w:eastAsia="sk-SK"/>
              </w:rPr>
            </w:pPr>
            <w:r w:rsidRPr="006D0D4F">
              <w:rPr>
                <w:rFonts w:eastAsia="Times New Roman" w:cs="Segoe UI"/>
                <w:b/>
                <w:bCs/>
                <w:color w:val="000000"/>
                <w:sz w:val="18"/>
                <w:szCs w:val="18"/>
                <w:lang w:eastAsia="sk-SK"/>
              </w:rPr>
              <w:t>96,0</w:t>
            </w:r>
          </w:p>
        </w:tc>
      </w:tr>
      <w:tr w:rsidR="00363DB9" w:rsidRPr="00EA0C33" w14:paraId="5987F7E2" w14:textId="77777777" w:rsidTr="00211538">
        <w:trPr>
          <w:trHeight w:val="283"/>
        </w:trPr>
        <w:tc>
          <w:tcPr>
            <w:tcW w:w="2110" w:type="pct"/>
            <w:vAlign w:val="center"/>
          </w:tcPr>
          <w:p w14:paraId="486CA15A" w14:textId="77777777" w:rsidR="00363DB9" w:rsidRPr="00A95AAC" w:rsidRDefault="00363DB9" w:rsidP="00211538">
            <w:pPr>
              <w:spacing w:after="0" w:line="240" w:lineRule="auto"/>
              <w:jc w:val="left"/>
              <w:rPr>
                <w:rFonts w:eastAsia="Times New Roman" w:cs="Segoe UI"/>
                <w:color w:val="000000"/>
                <w:sz w:val="18"/>
                <w:szCs w:val="18"/>
                <w:lang w:eastAsia="sk-SK"/>
              </w:rPr>
            </w:pPr>
            <w:r w:rsidRPr="00A95AAC">
              <w:rPr>
                <w:rFonts w:eastAsia="Times New Roman" w:cs="Segoe UI"/>
                <w:color w:val="000000"/>
                <w:sz w:val="18"/>
                <w:szCs w:val="18"/>
                <w:lang w:eastAsia="sk-SK"/>
              </w:rPr>
              <w:t>Príjmy z podnikania a z vlastníctva majetku</w:t>
            </w:r>
          </w:p>
        </w:tc>
        <w:tc>
          <w:tcPr>
            <w:tcW w:w="625" w:type="pct"/>
            <w:vAlign w:val="center"/>
          </w:tcPr>
          <w:p w14:paraId="0A76E12D"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486 010</w:t>
            </w:r>
          </w:p>
        </w:tc>
        <w:tc>
          <w:tcPr>
            <w:tcW w:w="625" w:type="pct"/>
            <w:vAlign w:val="center"/>
          </w:tcPr>
          <w:p w14:paraId="0DA928E8"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389 780</w:t>
            </w:r>
          </w:p>
        </w:tc>
        <w:tc>
          <w:tcPr>
            <w:tcW w:w="625" w:type="pct"/>
            <w:vAlign w:val="center"/>
          </w:tcPr>
          <w:p w14:paraId="2D93108B"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168 025</w:t>
            </w:r>
          </w:p>
        </w:tc>
        <w:tc>
          <w:tcPr>
            <w:tcW w:w="625" w:type="pct"/>
            <w:vAlign w:val="center"/>
          </w:tcPr>
          <w:p w14:paraId="7DEE6A2D"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-221 755</w:t>
            </w:r>
          </w:p>
        </w:tc>
        <w:tc>
          <w:tcPr>
            <w:tcW w:w="389" w:type="pct"/>
            <w:vAlign w:val="center"/>
          </w:tcPr>
          <w:p w14:paraId="3E6C3DB4"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34,6</w:t>
            </w:r>
          </w:p>
        </w:tc>
      </w:tr>
      <w:tr w:rsidR="00363DB9" w:rsidRPr="00EA0C33" w14:paraId="37E0E5B5" w14:textId="77777777" w:rsidTr="00211538">
        <w:trPr>
          <w:trHeight w:val="283"/>
        </w:trPr>
        <w:tc>
          <w:tcPr>
            <w:tcW w:w="2110" w:type="pct"/>
            <w:vAlign w:val="center"/>
          </w:tcPr>
          <w:p w14:paraId="503D7C9B" w14:textId="77777777" w:rsidR="00363DB9" w:rsidRPr="00A95AAC" w:rsidRDefault="00363DB9" w:rsidP="00211538">
            <w:pPr>
              <w:spacing w:after="0" w:line="240" w:lineRule="auto"/>
              <w:rPr>
                <w:rFonts w:eastAsia="Times New Roman" w:cs="Segoe UI"/>
                <w:color w:val="000000"/>
                <w:sz w:val="18"/>
                <w:szCs w:val="18"/>
                <w:lang w:eastAsia="sk-SK"/>
              </w:rPr>
            </w:pPr>
            <w:r>
              <w:rPr>
                <w:rFonts w:eastAsia="Times New Roman" w:cs="Segoe UI"/>
                <w:color w:val="000000"/>
                <w:sz w:val="18"/>
                <w:szCs w:val="18"/>
                <w:lang w:eastAsia="sk-SK"/>
              </w:rPr>
              <w:t>−</w:t>
            </w:r>
            <w:r w:rsidRPr="00A95AAC">
              <w:rPr>
                <w:rFonts w:eastAsia="Times New Roman" w:cs="Segoe UI"/>
                <w:color w:val="000000"/>
                <w:sz w:val="18"/>
                <w:szCs w:val="18"/>
                <w:lang w:eastAsia="sk-SK"/>
              </w:rPr>
              <w:t xml:space="preserve"> dividendy</w:t>
            </w:r>
          </w:p>
        </w:tc>
        <w:tc>
          <w:tcPr>
            <w:tcW w:w="625" w:type="pct"/>
            <w:vAlign w:val="center"/>
          </w:tcPr>
          <w:p w14:paraId="61E2288A"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480 226</w:t>
            </w:r>
          </w:p>
        </w:tc>
        <w:tc>
          <w:tcPr>
            <w:tcW w:w="625" w:type="pct"/>
            <w:vAlign w:val="center"/>
          </w:tcPr>
          <w:p w14:paraId="3C3A14FE"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383 955</w:t>
            </w:r>
          </w:p>
        </w:tc>
        <w:tc>
          <w:tcPr>
            <w:tcW w:w="625" w:type="pct"/>
            <w:vAlign w:val="center"/>
          </w:tcPr>
          <w:p w14:paraId="1B442C77"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160 519</w:t>
            </w:r>
          </w:p>
        </w:tc>
        <w:tc>
          <w:tcPr>
            <w:tcW w:w="625" w:type="pct"/>
            <w:vAlign w:val="center"/>
          </w:tcPr>
          <w:p w14:paraId="216AA30E"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-223 436</w:t>
            </w:r>
          </w:p>
        </w:tc>
        <w:tc>
          <w:tcPr>
            <w:tcW w:w="389" w:type="pct"/>
            <w:vAlign w:val="center"/>
          </w:tcPr>
          <w:p w14:paraId="12FE110D"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33,4</w:t>
            </w:r>
          </w:p>
        </w:tc>
      </w:tr>
      <w:tr w:rsidR="00363DB9" w:rsidRPr="002F2AC0" w14:paraId="012E159A" w14:textId="77777777" w:rsidTr="00211538">
        <w:trPr>
          <w:trHeight w:val="283"/>
        </w:trPr>
        <w:tc>
          <w:tcPr>
            <w:tcW w:w="2110" w:type="pct"/>
            <w:vAlign w:val="center"/>
          </w:tcPr>
          <w:p w14:paraId="49D91D41" w14:textId="77777777" w:rsidR="00363DB9" w:rsidRPr="00A95AAC" w:rsidRDefault="00363DB9" w:rsidP="00211538">
            <w:pPr>
              <w:spacing w:after="0" w:line="240" w:lineRule="auto"/>
              <w:jc w:val="left"/>
              <w:rPr>
                <w:rFonts w:eastAsia="Times New Roman" w:cs="Segoe UI"/>
                <w:color w:val="000000"/>
                <w:sz w:val="18"/>
                <w:szCs w:val="18"/>
                <w:lang w:eastAsia="sk-SK"/>
              </w:rPr>
            </w:pPr>
            <w:r w:rsidRPr="00A95AAC">
              <w:rPr>
                <w:rFonts w:eastAsia="Times New Roman" w:cs="Segoe UI"/>
                <w:color w:val="000000"/>
                <w:sz w:val="18"/>
                <w:szCs w:val="18"/>
                <w:lang w:eastAsia="sk-SK"/>
              </w:rPr>
              <w:t>Administratívne poplatky a iné poplatky a platby</w:t>
            </w:r>
          </w:p>
        </w:tc>
        <w:tc>
          <w:tcPr>
            <w:tcW w:w="625" w:type="pct"/>
            <w:vAlign w:val="center"/>
          </w:tcPr>
          <w:p w14:paraId="294431EA"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354 592</w:t>
            </w:r>
          </w:p>
        </w:tc>
        <w:tc>
          <w:tcPr>
            <w:tcW w:w="625" w:type="pct"/>
            <w:vAlign w:val="center"/>
          </w:tcPr>
          <w:p w14:paraId="383B95AE"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364 111</w:t>
            </w:r>
          </w:p>
        </w:tc>
        <w:tc>
          <w:tcPr>
            <w:tcW w:w="625" w:type="pct"/>
            <w:vAlign w:val="center"/>
          </w:tcPr>
          <w:p w14:paraId="60EA0C7A"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400 937</w:t>
            </w:r>
          </w:p>
        </w:tc>
        <w:tc>
          <w:tcPr>
            <w:tcW w:w="625" w:type="pct"/>
            <w:vAlign w:val="center"/>
          </w:tcPr>
          <w:p w14:paraId="0DED7D1D"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36</w:t>
            </w:r>
            <w:r>
              <w:rPr>
                <w:rFonts w:eastAsia="Times New Roman" w:cs="Segoe UI"/>
                <w:color w:val="000000"/>
                <w:sz w:val="18"/>
                <w:szCs w:val="18"/>
                <w:lang w:eastAsia="sk-SK"/>
              </w:rPr>
              <w:t> </w:t>
            </w:r>
            <w:r w:rsidRPr="006D0D4F">
              <w:rPr>
                <w:rFonts w:eastAsia="Times New Roman" w:cs="Segoe UI"/>
                <w:color w:val="000000"/>
                <w:sz w:val="18"/>
                <w:szCs w:val="18"/>
                <w:lang w:eastAsia="sk-SK"/>
              </w:rPr>
              <w:t>826</w:t>
            </w:r>
          </w:p>
        </w:tc>
        <w:tc>
          <w:tcPr>
            <w:tcW w:w="389" w:type="pct"/>
            <w:vAlign w:val="center"/>
          </w:tcPr>
          <w:p w14:paraId="6AE57E60"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113,1</w:t>
            </w:r>
          </w:p>
        </w:tc>
      </w:tr>
      <w:tr w:rsidR="00363DB9" w:rsidRPr="002F2AC0" w14:paraId="24B08FA7" w14:textId="77777777" w:rsidTr="00211538">
        <w:trPr>
          <w:trHeight w:val="283"/>
        </w:trPr>
        <w:tc>
          <w:tcPr>
            <w:tcW w:w="2110" w:type="pct"/>
            <w:vAlign w:val="center"/>
          </w:tcPr>
          <w:p w14:paraId="5FFF57A3" w14:textId="77777777" w:rsidR="00363DB9" w:rsidRPr="00A95AAC" w:rsidRDefault="00363DB9" w:rsidP="00211538">
            <w:pPr>
              <w:spacing w:after="0" w:line="240" w:lineRule="auto"/>
              <w:jc w:val="left"/>
              <w:rPr>
                <w:rFonts w:eastAsia="Times New Roman" w:cs="Segoe UI"/>
                <w:color w:val="000000"/>
                <w:sz w:val="18"/>
                <w:szCs w:val="18"/>
                <w:lang w:eastAsia="sk-SK"/>
              </w:rPr>
            </w:pPr>
            <w:r w:rsidRPr="00A95AAC">
              <w:rPr>
                <w:rFonts w:eastAsia="Times New Roman" w:cs="Segoe UI"/>
                <w:color w:val="000000"/>
                <w:sz w:val="18"/>
                <w:szCs w:val="18"/>
                <w:lang w:eastAsia="sk-SK"/>
              </w:rPr>
              <w:t>Kapitálové príjmy</w:t>
            </w:r>
          </w:p>
        </w:tc>
        <w:tc>
          <w:tcPr>
            <w:tcW w:w="625" w:type="pct"/>
            <w:vAlign w:val="center"/>
          </w:tcPr>
          <w:p w14:paraId="61D1E5E0"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13 703</w:t>
            </w:r>
          </w:p>
        </w:tc>
        <w:tc>
          <w:tcPr>
            <w:tcW w:w="625" w:type="pct"/>
            <w:vAlign w:val="center"/>
          </w:tcPr>
          <w:p w14:paraId="4C6CA9A0"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7 513</w:t>
            </w:r>
          </w:p>
        </w:tc>
        <w:tc>
          <w:tcPr>
            <w:tcW w:w="625" w:type="pct"/>
            <w:vAlign w:val="center"/>
          </w:tcPr>
          <w:p w14:paraId="7FB44480"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11 459</w:t>
            </w:r>
          </w:p>
        </w:tc>
        <w:tc>
          <w:tcPr>
            <w:tcW w:w="625" w:type="pct"/>
            <w:vAlign w:val="center"/>
          </w:tcPr>
          <w:p w14:paraId="41B4D97D"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3 946</w:t>
            </w:r>
          </w:p>
        </w:tc>
        <w:tc>
          <w:tcPr>
            <w:tcW w:w="389" w:type="pct"/>
            <w:vAlign w:val="center"/>
          </w:tcPr>
          <w:p w14:paraId="520854F8"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83,6</w:t>
            </w:r>
          </w:p>
        </w:tc>
      </w:tr>
      <w:tr w:rsidR="00363DB9" w:rsidRPr="002F2AC0" w14:paraId="4B78F84B" w14:textId="77777777" w:rsidTr="00211538">
        <w:trPr>
          <w:trHeight w:val="283"/>
        </w:trPr>
        <w:tc>
          <w:tcPr>
            <w:tcW w:w="2110" w:type="pct"/>
            <w:vAlign w:val="center"/>
          </w:tcPr>
          <w:p w14:paraId="2483C02D" w14:textId="77777777" w:rsidR="00363DB9" w:rsidRPr="00A95AAC" w:rsidRDefault="00363DB9" w:rsidP="00211538">
            <w:pPr>
              <w:spacing w:after="0" w:line="240" w:lineRule="auto"/>
              <w:jc w:val="left"/>
              <w:rPr>
                <w:rFonts w:eastAsia="Times New Roman" w:cs="Segoe UI"/>
                <w:color w:val="000000"/>
                <w:sz w:val="18"/>
                <w:szCs w:val="18"/>
                <w:lang w:eastAsia="sk-SK"/>
              </w:rPr>
            </w:pPr>
            <w:r w:rsidRPr="00A95AAC">
              <w:rPr>
                <w:rFonts w:eastAsia="Times New Roman" w:cs="Segoe UI"/>
                <w:color w:val="000000"/>
                <w:sz w:val="18"/>
                <w:szCs w:val="18"/>
                <w:lang w:eastAsia="sk-SK"/>
              </w:rPr>
              <w:t>Úroky z</w:t>
            </w:r>
            <w:r>
              <w:rPr>
                <w:rFonts w:eastAsia="Times New Roman" w:cs="Segoe UI"/>
                <w:color w:val="000000"/>
                <w:sz w:val="18"/>
                <w:szCs w:val="18"/>
                <w:lang w:eastAsia="sk-SK"/>
              </w:rPr>
              <w:t> </w:t>
            </w:r>
            <w:proofErr w:type="spellStart"/>
            <w:r w:rsidRPr="00A95AAC">
              <w:rPr>
                <w:rFonts w:eastAsia="Times New Roman" w:cs="Segoe UI"/>
                <w:color w:val="000000"/>
                <w:sz w:val="18"/>
                <w:szCs w:val="18"/>
                <w:lang w:eastAsia="sk-SK"/>
              </w:rPr>
              <w:t>tuz</w:t>
            </w:r>
            <w:proofErr w:type="spellEnd"/>
            <w:r>
              <w:rPr>
                <w:rFonts w:eastAsia="Times New Roman" w:cs="Segoe UI"/>
                <w:color w:val="000000"/>
                <w:sz w:val="18"/>
                <w:szCs w:val="18"/>
                <w:lang w:eastAsia="sk-SK"/>
              </w:rPr>
              <w:t xml:space="preserve">. </w:t>
            </w:r>
            <w:r w:rsidRPr="00A95AAC">
              <w:rPr>
                <w:rFonts w:eastAsia="Times New Roman" w:cs="Segoe UI"/>
                <w:color w:val="000000"/>
                <w:sz w:val="18"/>
                <w:szCs w:val="18"/>
                <w:lang w:eastAsia="sk-SK"/>
              </w:rPr>
              <w:t>a </w:t>
            </w:r>
            <w:proofErr w:type="spellStart"/>
            <w:r w:rsidRPr="00A95AAC">
              <w:rPr>
                <w:rFonts w:eastAsia="Times New Roman" w:cs="Segoe UI"/>
                <w:color w:val="000000"/>
                <w:sz w:val="18"/>
                <w:szCs w:val="18"/>
                <w:lang w:eastAsia="sk-SK"/>
              </w:rPr>
              <w:t>zahr</w:t>
            </w:r>
            <w:proofErr w:type="spellEnd"/>
            <w:r w:rsidRPr="00A95AAC">
              <w:rPr>
                <w:rFonts w:eastAsia="Times New Roman" w:cs="Segoe UI"/>
                <w:color w:val="000000"/>
                <w:sz w:val="18"/>
                <w:szCs w:val="18"/>
                <w:lang w:eastAsia="sk-SK"/>
              </w:rPr>
              <w:t>. úverov, pôžičiek, návratných finančných výpomocí, vkladov a ážio</w:t>
            </w:r>
          </w:p>
        </w:tc>
        <w:tc>
          <w:tcPr>
            <w:tcW w:w="625" w:type="pct"/>
            <w:vAlign w:val="center"/>
          </w:tcPr>
          <w:p w14:paraId="6D705543"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368 295</w:t>
            </w:r>
          </w:p>
        </w:tc>
        <w:tc>
          <w:tcPr>
            <w:tcW w:w="625" w:type="pct"/>
            <w:vAlign w:val="center"/>
          </w:tcPr>
          <w:p w14:paraId="0983E028"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371 624</w:t>
            </w:r>
          </w:p>
        </w:tc>
        <w:tc>
          <w:tcPr>
            <w:tcW w:w="625" w:type="pct"/>
            <w:vAlign w:val="center"/>
          </w:tcPr>
          <w:p w14:paraId="233B18E7"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412 396</w:t>
            </w:r>
          </w:p>
        </w:tc>
        <w:tc>
          <w:tcPr>
            <w:tcW w:w="625" w:type="pct"/>
            <w:vAlign w:val="center"/>
          </w:tcPr>
          <w:p w14:paraId="2D371C80"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40 772</w:t>
            </w:r>
          </w:p>
        </w:tc>
        <w:tc>
          <w:tcPr>
            <w:tcW w:w="389" w:type="pct"/>
            <w:vAlign w:val="center"/>
          </w:tcPr>
          <w:p w14:paraId="364D3863"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112,0</w:t>
            </w:r>
          </w:p>
        </w:tc>
      </w:tr>
      <w:tr w:rsidR="00363DB9" w:rsidRPr="002F2AC0" w14:paraId="24DB3EF6" w14:textId="77777777" w:rsidTr="00211538">
        <w:trPr>
          <w:trHeight w:val="283"/>
        </w:trPr>
        <w:tc>
          <w:tcPr>
            <w:tcW w:w="2110" w:type="pct"/>
            <w:tcBorders>
              <w:bottom w:val="single" w:sz="4" w:space="0" w:color="314364" w:themeColor="text2"/>
            </w:tcBorders>
            <w:vAlign w:val="center"/>
          </w:tcPr>
          <w:p w14:paraId="7ADA3646" w14:textId="77777777" w:rsidR="00363DB9" w:rsidRPr="00A95AAC" w:rsidRDefault="00363DB9" w:rsidP="00211538">
            <w:pPr>
              <w:spacing w:after="0" w:line="240" w:lineRule="auto"/>
              <w:jc w:val="left"/>
              <w:rPr>
                <w:rFonts w:eastAsia="Times New Roman" w:cs="Segoe UI"/>
                <w:color w:val="000000"/>
                <w:sz w:val="18"/>
                <w:szCs w:val="18"/>
                <w:lang w:eastAsia="sk-SK"/>
              </w:rPr>
            </w:pPr>
            <w:r w:rsidRPr="00A95AAC">
              <w:rPr>
                <w:rFonts w:eastAsia="Times New Roman" w:cs="Segoe UI"/>
                <w:color w:val="000000"/>
                <w:sz w:val="18"/>
                <w:szCs w:val="18"/>
                <w:lang w:eastAsia="sk-SK"/>
              </w:rPr>
              <w:t>Iné nedaňové príjmy</w:t>
            </w:r>
          </w:p>
        </w:tc>
        <w:tc>
          <w:tcPr>
            <w:tcW w:w="625" w:type="pct"/>
            <w:tcBorders>
              <w:bottom w:val="single" w:sz="4" w:space="0" w:color="314364" w:themeColor="text2"/>
            </w:tcBorders>
            <w:vAlign w:val="center"/>
          </w:tcPr>
          <w:p w14:paraId="20612440"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476 960</w:t>
            </w:r>
          </w:p>
        </w:tc>
        <w:tc>
          <w:tcPr>
            <w:tcW w:w="625" w:type="pct"/>
            <w:tcBorders>
              <w:bottom w:val="single" w:sz="4" w:space="0" w:color="314364" w:themeColor="text2"/>
            </w:tcBorders>
            <w:vAlign w:val="center"/>
          </w:tcPr>
          <w:p w14:paraId="49B878CD"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366 652</w:t>
            </w:r>
          </w:p>
        </w:tc>
        <w:tc>
          <w:tcPr>
            <w:tcW w:w="625" w:type="pct"/>
            <w:tcBorders>
              <w:bottom w:val="single" w:sz="4" w:space="0" w:color="314364" w:themeColor="text2"/>
            </w:tcBorders>
            <w:vAlign w:val="center"/>
          </w:tcPr>
          <w:p w14:paraId="44FF2A3D" w14:textId="77777777" w:rsidR="00363DB9" w:rsidRPr="00A95AAC" w:rsidRDefault="00363DB9" w:rsidP="00211538">
            <w:pPr>
              <w:spacing w:after="0" w:line="240" w:lineRule="auto"/>
              <w:jc w:val="right"/>
              <w:rPr>
                <w:rFonts w:eastAsia="Times New Roman" w:cs="Segoe UI"/>
                <w:sz w:val="18"/>
                <w:szCs w:val="18"/>
                <w:lang w:eastAsia="sk-SK"/>
              </w:rPr>
            </w:pPr>
            <w:r w:rsidRPr="00A95AAC">
              <w:rPr>
                <w:rFonts w:eastAsia="Times New Roman" w:cs="Segoe UI"/>
                <w:sz w:val="18"/>
                <w:szCs w:val="18"/>
                <w:lang w:eastAsia="sk-SK"/>
              </w:rPr>
              <w:t>694 671</w:t>
            </w:r>
          </w:p>
        </w:tc>
        <w:tc>
          <w:tcPr>
            <w:tcW w:w="625" w:type="pct"/>
            <w:tcBorders>
              <w:bottom w:val="single" w:sz="4" w:space="0" w:color="314364" w:themeColor="text2"/>
            </w:tcBorders>
            <w:vAlign w:val="center"/>
          </w:tcPr>
          <w:p w14:paraId="0C0430DE"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328 019</w:t>
            </w:r>
          </w:p>
        </w:tc>
        <w:tc>
          <w:tcPr>
            <w:tcW w:w="389" w:type="pct"/>
            <w:tcBorders>
              <w:bottom w:val="single" w:sz="4" w:space="0" w:color="314364" w:themeColor="text2"/>
            </w:tcBorders>
            <w:vAlign w:val="center"/>
          </w:tcPr>
          <w:p w14:paraId="17D36BCC" w14:textId="77777777" w:rsidR="00363DB9" w:rsidRPr="006D0D4F" w:rsidRDefault="00363DB9" w:rsidP="00211538">
            <w:pPr>
              <w:spacing w:after="0" w:line="240" w:lineRule="auto"/>
              <w:jc w:val="right"/>
              <w:rPr>
                <w:rFonts w:eastAsia="Times New Roman" w:cs="Segoe UI"/>
                <w:color w:val="000000"/>
                <w:sz w:val="18"/>
                <w:szCs w:val="18"/>
                <w:lang w:eastAsia="sk-SK"/>
              </w:rPr>
            </w:pPr>
            <w:r w:rsidRPr="006D0D4F">
              <w:rPr>
                <w:rFonts w:eastAsia="Times New Roman" w:cs="Segoe UI"/>
                <w:color w:val="000000"/>
                <w:sz w:val="18"/>
                <w:szCs w:val="18"/>
                <w:lang w:eastAsia="sk-SK"/>
              </w:rPr>
              <w:t>145,6</w:t>
            </w:r>
          </w:p>
        </w:tc>
      </w:tr>
    </w:tbl>
    <w:p w14:paraId="0A0B32A5" w14:textId="21EC8649" w:rsidR="00363DB9" w:rsidRPr="005F5CFD" w:rsidRDefault="00363DB9" w:rsidP="00363DB9">
      <w:pPr>
        <w:pStyle w:val="Zdroj"/>
      </w:pPr>
      <w:r w:rsidRPr="00B23AEB">
        <w:t>Zdroj: Návrh ŠZÚ 202</w:t>
      </w:r>
      <w:r>
        <w:t>2</w:t>
      </w:r>
      <w:r w:rsidR="00F00761">
        <w:t>.</w:t>
      </w:r>
      <w:r>
        <w:br/>
        <w:t>S – skutočnosť, R – rozpočet, NR – novelizovaný rozpočet, YoY – medziročná zmena</w:t>
      </w:r>
    </w:p>
    <w:p w14:paraId="3877BF1E" w14:textId="2CA27D25" w:rsidR="00B34AD8" w:rsidRDefault="00B34AD8" w:rsidP="00B34AD8">
      <w:pPr>
        <w:rPr>
          <w:rFonts w:eastAsia="Times New Roman" w:cs="Segoe UI"/>
          <w:color w:val="000000"/>
          <w:szCs w:val="20"/>
          <w:lang w:eastAsia="sk-SK"/>
        </w:rPr>
      </w:pPr>
      <w:r w:rsidRPr="00EF0780">
        <w:rPr>
          <w:rFonts w:eastAsia="Calibri" w:cs="Segoe UI"/>
          <w:b/>
          <w:szCs w:val="20"/>
        </w:rPr>
        <w:t xml:space="preserve">Skutočné príjmy ŠR z grantov a transferov dosiahli sumu 2,2 mld. eur, čo je v porovnaní so schváleným rozpočtom na rok 2022 o 2,3 </w:t>
      </w:r>
      <w:r w:rsidRPr="00EF0780">
        <w:rPr>
          <w:rFonts w:eastAsia="Times New Roman" w:cs="Segoe UI"/>
          <w:b/>
          <w:color w:val="000000"/>
          <w:szCs w:val="20"/>
          <w:lang w:eastAsia="sk-SK"/>
        </w:rPr>
        <w:t>mld. eur menej</w:t>
      </w:r>
      <w:r>
        <w:rPr>
          <w:rFonts w:eastAsia="Times New Roman" w:cs="Segoe UI"/>
          <w:b/>
          <w:color w:val="000000"/>
          <w:szCs w:val="20"/>
          <w:lang w:eastAsia="sk-SK"/>
        </w:rPr>
        <w:t xml:space="preserve">, najmä z dôvodu nižšieho než očakávaného čerpania zdrojov z EÚ </w:t>
      </w:r>
      <w:r w:rsidRPr="00B34AD8">
        <w:rPr>
          <w:rFonts w:eastAsia="Times New Roman" w:cs="Segoe UI"/>
          <w:color w:val="000000"/>
          <w:szCs w:val="20"/>
          <w:lang w:eastAsia="sk-SK"/>
        </w:rPr>
        <w:t>(bližšie v kapitole 5).</w:t>
      </w:r>
      <w:r>
        <w:rPr>
          <w:rFonts w:eastAsia="Times New Roman" w:cs="Segoe UI"/>
          <w:color w:val="000000"/>
          <w:szCs w:val="20"/>
          <w:lang w:eastAsia="sk-SK"/>
        </w:rPr>
        <w:t xml:space="preserve"> Medziročne sa znížili o 3,7 % (tabuľka 7).</w:t>
      </w:r>
    </w:p>
    <w:p w14:paraId="3073BA69" w14:textId="77777777" w:rsidR="006F5D6F" w:rsidRPr="00B23AEB" w:rsidRDefault="006F5D6F" w:rsidP="006F5D6F">
      <w:pPr>
        <w:keepNext/>
        <w:spacing w:after="0" w:line="240" w:lineRule="auto"/>
        <w:rPr>
          <w:rFonts w:eastAsia="Calibri" w:cs="Times New Roman"/>
          <w:b/>
          <w:iCs/>
          <w:color w:val="314364"/>
          <w:szCs w:val="18"/>
        </w:rPr>
      </w:pPr>
      <w:r w:rsidRPr="00B23AEB">
        <w:rPr>
          <w:rFonts w:eastAsia="Calibri" w:cs="Times New Roman"/>
          <w:b/>
          <w:iCs/>
          <w:color w:val="314364"/>
          <w:szCs w:val="18"/>
        </w:rPr>
        <w:lastRenderedPageBreak/>
        <w:t xml:space="preserve">Tabuľka </w:t>
      </w:r>
      <w:r>
        <w:rPr>
          <w:rFonts w:eastAsia="Calibri" w:cs="Times New Roman"/>
          <w:b/>
          <w:iCs/>
          <w:color w:val="314364"/>
          <w:szCs w:val="18"/>
        </w:rPr>
        <w:t>7</w:t>
      </w:r>
      <w:r w:rsidRPr="00B23AEB">
        <w:rPr>
          <w:rFonts w:eastAsia="Calibri" w:cs="Times New Roman"/>
          <w:b/>
          <w:iCs/>
          <w:color w:val="314364"/>
          <w:szCs w:val="18"/>
        </w:rPr>
        <w:t>: Prehľad o plnení grantov a</w:t>
      </w:r>
      <w:r>
        <w:rPr>
          <w:rFonts w:eastAsia="Calibri" w:cs="Times New Roman"/>
          <w:b/>
          <w:iCs/>
          <w:color w:val="314364"/>
          <w:szCs w:val="18"/>
        </w:rPr>
        <w:t> </w:t>
      </w:r>
      <w:r w:rsidRPr="00B23AEB">
        <w:rPr>
          <w:rFonts w:eastAsia="Calibri" w:cs="Times New Roman"/>
          <w:b/>
          <w:iCs/>
          <w:color w:val="314364"/>
          <w:szCs w:val="18"/>
        </w:rPr>
        <w:t>transferov</w:t>
      </w:r>
      <w:r>
        <w:rPr>
          <w:rFonts w:eastAsia="Calibri" w:cs="Times New Roman"/>
          <w:b/>
          <w:iCs/>
          <w:color w:val="314364"/>
          <w:szCs w:val="18"/>
        </w:rPr>
        <w:t xml:space="preserve"> </w:t>
      </w:r>
      <w:r w:rsidRPr="00EC6614">
        <w:rPr>
          <w:rFonts w:eastAsia="Calibri" w:cs="Times New Roman"/>
          <w:b/>
          <w:iCs/>
          <w:color w:val="314364"/>
          <w:szCs w:val="18"/>
        </w:rPr>
        <w:t>(v tis. eur)</w:t>
      </w:r>
    </w:p>
    <w:tbl>
      <w:tblPr>
        <w:tblW w:w="5000" w:type="pct"/>
        <w:jc w:val="center"/>
        <w:tblLook w:val="04A0" w:firstRow="1" w:lastRow="0" w:firstColumn="1" w:lastColumn="0" w:noHBand="0" w:noVBand="1"/>
      </w:tblPr>
      <w:tblGrid>
        <w:gridCol w:w="2673"/>
        <w:gridCol w:w="1149"/>
        <w:gridCol w:w="1098"/>
        <w:gridCol w:w="1098"/>
        <w:gridCol w:w="1148"/>
        <w:gridCol w:w="1226"/>
        <w:gridCol w:w="678"/>
      </w:tblGrid>
      <w:tr w:rsidR="006F5D6F" w:rsidRPr="00EC6614" w14:paraId="505CB071" w14:textId="77777777" w:rsidTr="00B34C91">
        <w:trPr>
          <w:trHeight w:val="255"/>
          <w:jc w:val="center"/>
        </w:trPr>
        <w:tc>
          <w:tcPr>
            <w:tcW w:w="1473" w:type="pct"/>
            <w:shd w:val="clear" w:color="auto" w:fill="314364"/>
            <w:vAlign w:val="center"/>
          </w:tcPr>
          <w:p w14:paraId="62C31C4B" w14:textId="77777777" w:rsidR="006F5D6F" w:rsidRPr="00EC6614" w:rsidRDefault="006F5D6F" w:rsidP="00B34C91">
            <w:pPr>
              <w:spacing w:after="0" w:line="240" w:lineRule="auto"/>
              <w:jc w:val="left"/>
              <w:rPr>
                <w:rFonts w:eastAsia="Calibri" w:cs="Segoe UI"/>
                <w:b/>
                <w:color w:val="FFFFFF"/>
                <w:sz w:val="18"/>
                <w:szCs w:val="16"/>
              </w:rPr>
            </w:pPr>
            <w:r w:rsidRPr="00EC6614">
              <w:rPr>
                <w:rFonts w:eastAsia="Calibri" w:cs="Segoe UI"/>
                <w:b/>
                <w:bCs/>
                <w:color w:val="FFFFFF"/>
                <w:sz w:val="18"/>
                <w:szCs w:val="16"/>
              </w:rPr>
              <w:t>Ukazovateľ</w:t>
            </w:r>
          </w:p>
        </w:tc>
        <w:tc>
          <w:tcPr>
            <w:tcW w:w="633" w:type="pct"/>
            <w:shd w:val="clear" w:color="auto" w:fill="314364"/>
            <w:vAlign w:val="center"/>
          </w:tcPr>
          <w:p w14:paraId="72215464" w14:textId="77777777" w:rsidR="006F5D6F" w:rsidRPr="00EC6614" w:rsidRDefault="006F5D6F" w:rsidP="00B34C91">
            <w:pPr>
              <w:spacing w:after="0" w:line="240" w:lineRule="auto"/>
              <w:jc w:val="right"/>
              <w:rPr>
                <w:rFonts w:eastAsia="Calibri" w:cs="Segoe UI"/>
                <w:b/>
                <w:color w:val="FFFFFF"/>
                <w:sz w:val="18"/>
                <w:szCs w:val="16"/>
              </w:rPr>
            </w:pPr>
            <w:r>
              <w:rPr>
                <w:rFonts w:eastAsia="Calibri" w:cs="Segoe UI"/>
                <w:b/>
                <w:bCs/>
                <w:color w:val="FFFFFF"/>
                <w:sz w:val="18"/>
                <w:szCs w:val="18"/>
              </w:rPr>
              <w:t>2021 S</w:t>
            </w:r>
          </w:p>
        </w:tc>
        <w:tc>
          <w:tcPr>
            <w:tcW w:w="605" w:type="pct"/>
            <w:shd w:val="clear" w:color="auto" w:fill="314364"/>
            <w:vAlign w:val="center"/>
          </w:tcPr>
          <w:p w14:paraId="03AF76CB" w14:textId="77777777" w:rsidR="006F5D6F" w:rsidRPr="00EC6614" w:rsidRDefault="006F5D6F" w:rsidP="00B34C91">
            <w:pPr>
              <w:spacing w:after="0" w:line="240" w:lineRule="auto"/>
              <w:jc w:val="right"/>
              <w:rPr>
                <w:rFonts w:eastAsia="Calibri" w:cs="Segoe UI"/>
                <w:b/>
                <w:color w:val="FFFFFF"/>
                <w:sz w:val="18"/>
                <w:szCs w:val="16"/>
              </w:rPr>
            </w:pPr>
            <w:r>
              <w:rPr>
                <w:rFonts w:eastAsia="Calibri" w:cs="Segoe UI"/>
                <w:b/>
                <w:color w:val="FFFFFF"/>
                <w:sz w:val="18"/>
                <w:szCs w:val="18"/>
              </w:rPr>
              <w:t>2022 R</w:t>
            </w:r>
          </w:p>
        </w:tc>
        <w:tc>
          <w:tcPr>
            <w:tcW w:w="605" w:type="pct"/>
            <w:shd w:val="clear" w:color="auto" w:fill="314364"/>
            <w:vAlign w:val="center"/>
          </w:tcPr>
          <w:p w14:paraId="7D6D03F6" w14:textId="77777777" w:rsidR="006F5D6F" w:rsidRPr="00EC6614" w:rsidRDefault="006F5D6F" w:rsidP="00B34C91">
            <w:pPr>
              <w:spacing w:after="0" w:line="240" w:lineRule="auto"/>
              <w:jc w:val="right"/>
              <w:rPr>
                <w:rFonts w:eastAsia="Calibri" w:cs="Segoe UI"/>
                <w:b/>
                <w:color w:val="FFFFFF"/>
                <w:sz w:val="18"/>
                <w:szCs w:val="16"/>
              </w:rPr>
            </w:pPr>
            <w:r>
              <w:rPr>
                <w:rFonts w:eastAsia="Calibri" w:cs="Segoe UI"/>
                <w:b/>
                <w:color w:val="FFFFFF"/>
                <w:sz w:val="18"/>
                <w:szCs w:val="18"/>
              </w:rPr>
              <w:t>2022 NR</w:t>
            </w:r>
          </w:p>
        </w:tc>
        <w:tc>
          <w:tcPr>
            <w:tcW w:w="633" w:type="pct"/>
            <w:shd w:val="clear" w:color="auto" w:fill="314364"/>
            <w:vAlign w:val="center"/>
          </w:tcPr>
          <w:p w14:paraId="5A3DF9BD" w14:textId="77777777" w:rsidR="006F5D6F" w:rsidRPr="00EC6614" w:rsidRDefault="006F5D6F" w:rsidP="00B34C91">
            <w:pPr>
              <w:spacing w:after="0" w:line="240" w:lineRule="auto"/>
              <w:jc w:val="right"/>
              <w:rPr>
                <w:rFonts w:eastAsia="Calibri" w:cs="Segoe UI"/>
                <w:b/>
                <w:color w:val="FFFFFF"/>
                <w:sz w:val="18"/>
                <w:szCs w:val="16"/>
              </w:rPr>
            </w:pPr>
            <w:r>
              <w:rPr>
                <w:rFonts w:eastAsia="Calibri" w:cs="Segoe UI"/>
                <w:b/>
                <w:bCs/>
                <w:color w:val="FFFFFF"/>
                <w:sz w:val="18"/>
                <w:szCs w:val="18"/>
              </w:rPr>
              <w:t>2022 S</w:t>
            </w:r>
          </w:p>
        </w:tc>
        <w:tc>
          <w:tcPr>
            <w:tcW w:w="676" w:type="pct"/>
            <w:shd w:val="clear" w:color="auto" w:fill="314364"/>
            <w:vAlign w:val="center"/>
          </w:tcPr>
          <w:p w14:paraId="16A2ADCA" w14:textId="77777777" w:rsidR="006F5D6F" w:rsidRPr="00EC6614" w:rsidRDefault="006F5D6F" w:rsidP="00B34C91">
            <w:pPr>
              <w:spacing w:after="0" w:line="240" w:lineRule="auto"/>
              <w:jc w:val="right"/>
              <w:rPr>
                <w:rFonts w:eastAsia="Calibri" w:cs="Segoe UI"/>
                <w:color w:val="FFFFFF"/>
                <w:sz w:val="18"/>
                <w:szCs w:val="16"/>
              </w:rPr>
            </w:pPr>
            <w:r>
              <w:rPr>
                <w:rFonts w:eastAsia="Calibri" w:cs="Segoe UI"/>
                <w:b/>
                <w:bCs/>
                <w:color w:val="FFFFFF"/>
                <w:sz w:val="18"/>
                <w:szCs w:val="18"/>
              </w:rPr>
              <w:t>22S - 22N</w:t>
            </w:r>
            <w:r w:rsidRPr="00EC6614">
              <w:rPr>
                <w:rFonts w:eastAsia="Calibri" w:cs="Segoe UI"/>
                <w:b/>
                <w:bCs/>
                <w:color w:val="FFFFFF"/>
                <w:sz w:val="18"/>
                <w:szCs w:val="18"/>
              </w:rPr>
              <w:t>R</w:t>
            </w:r>
          </w:p>
        </w:tc>
        <w:tc>
          <w:tcPr>
            <w:tcW w:w="374" w:type="pct"/>
            <w:shd w:val="clear" w:color="auto" w:fill="314364"/>
            <w:vAlign w:val="center"/>
          </w:tcPr>
          <w:p w14:paraId="79F1E7F6" w14:textId="77777777" w:rsidR="006F5D6F" w:rsidRPr="00D90C26" w:rsidRDefault="006F5D6F" w:rsidP="00B34C91">
            <w:pPr>
              <w:spacing w:after="0" w:line="240" w:lineRule="auto"/>
              <w:jc w:val="right"/>
              <w:rPr>
                <w:rFonts w:eastAsia="Calibri" w:cs="Segoe UI"/>
                <w:b/>
                <w:color w:val="FFFFFF"/>
                <w:sz w:val="18"/>
                <w:szCs w:val="16"/>
              </w:rPr>
            </w:pPr>
            <w:r>
              <w:rPr>
                <w:rFonts w:eastAsia="Calibri" w:cs="Segoe UI"/>
                <w:b/>
                <w:color w:val="FFFFFF"/>
                <w:sz w:val="18"/>
                <w:szCs w:val="18"/>
              </w:rPr>
              <w:t>YoY</w:t>
            </w:r>
          </w:p>
        </w:tc>
      </w:tr>
      <w:tr w:rsidR="006F5D6F" w:rsidRPr="00EC6614" w14:paraId="5098BA57" w14:textId="77777777" w:rsidTr="00B34C91">
        <w:trPr>
          <w:trHeight w:val="255"/>
          <w:jc w:val="center"/>
        </w:trPr>
        <w:tc>
          <w:tcPr>
            <w:tcW w:w="1473" w:type="pct"/>
            <w:shd w:val="clear" w:color="auto" w:fill="auto"/>
            <w:vAlign w:val="center"/>
          </w:tcPr>
          <w:p w14:paraId="0EE9C46F" w14:textId="77777777" w:rsidR="006F5D6F" w:rsidRPr="00EC6614" w:rsidRDefault="006F5D6F" w:rsidP="00B34C91">
            <w:pPr>
              <w:spacing w:after="0" w:line="240" w:lineRule="auto"/>
              <w:jc w:val="left"/>
              <w:rPr>
                <w:rFonts w:eastAsia="Calibri" w:cs="Segoe UI"/>
                <w:sz w:val="18"/>
                <w:szCs w:val="16"/>
              </w:rPr>
            </w:pPr>
            <w:r w:rsidRPr="00EC6614">
              <w:rPr>
                <w:rFonts w:eastAsia="Calibri" w:cs="Segoe UI"/>
                <w:b/>
                <w:bCs/>
                <w:sz w:val="18"/>
                <w:szCs w:val="16"/>
              </w:rPr>
              <w:t>Granty a transfery spolu</w:t>
            </w:r>
          </w:p>
        </w:tc>
        <w:tc>
          <w:tcPr>
            <w:tcW w:w="633" w:type="pct"/>
            <w:shd w:val="clear" w:color="auto" w:fill="auto"/>
            <w:vAlign w:val="center"/>
          </w:tcPr>
          <w:p w14:paraId="39218096" w14:textId="77777777" w:rsidR="006F5D6F" w:rsidRPr="005F5CFD" w:rsidRDefault="006F5D6F" w:rsidP="00B34C91">
            <w:pPr>
              <w:spacing w:after="0" w:line="240" w:lineRule="auto"/>
              <w:jc w:val="right"/>
              <w:rPr>
                <w:rFonts w:eastAsia="Times New Roman" w:cs="Segoe UI"/>
                <w:b/>
                <w:bCs/>
                <w:color w:val="000000"/>
                <w:sz w:val="18"/>
                <w:szCs w:val="18"/>
                <w:lang w:eastAsia="sk-SK"/>
              </w:rPr>
            </w:pPr>
            <w:r w:rsidRPr="005F5CFD">
              <w:rPr>
                <w:rFonts w:eastAsia="Times New Roman" w:cs="Segoe UI"/>
                <w:b/>
                <w:bCs/>
                <w:color w:val="000000"/>
                <w:sz w:val="18"/>
                <w:szCs w:val="18"/>
                <w:lang w:eastAsia="sk-SK"/>
              </w:rPr>
              <w:t>2 312 939</w:t>
            </w:r>
          </w:p>
        </w:tc>
        <w:tc>
          <w:tcPr>
            <w:tcW w:w="605" w:type="pct"/>
            <w:shd w:val="clear" w:color="auto" w:fill="auto"/>
            <w:vAlign w:val="bottom"/>
          </w:tcPr>
          <w:p w14:paraId="554EBF0D" w14:textId="77777777" w:rsidR="006F5D6F" w:rsidRPr="005F5CFD" w:rsidRDefault="006F5D6F" w:rsidP="00B34C91">
            <w:pPr>
              <w:spacing w:after="0" w:line="240" w:lineRule="auto"/>
              <w:jc w:val="right"/>
              <w:rPr>
                <w:rFonts w:eastAsia="Times New Roman" w:cs="Segoe UI"/>
                <w:b/>
                <w:bCs/>
                <w:sz w:val="18"/>
                <w:szCs w:val="18"/>
                <w:lang w:eastAsia="sk-SK"/>
              </w:rPr>
            </w:pPr>
            <w:r w:rsidRPr="005F5CFD">
              <w:rPr>
                <w:rFonts w:eastAsia="Times New Roman" w:cs="Segoe UI"/>
                <w:b/>
                <w:bCs/>
                <w:sz w:val="18"/>
                <w:szCs w:val="18"/>
                <w:lang w:eastAsia="sk-SK"/>
              </w:rPr>
              <w:t>4 491 227</w:t>
            </w:r>
          </w:p>
        </w:tc>
        <w:tc>
          <w:tcPr>
            <w:tcW w:w="605" w:type="pct"/>
            <w:shd w:val="clear" w:color="auto" w:fill="auto"/>
            <w:vAlign w:val="bottom"/>
          </w:tcPr>
          <w:p w14:paraId="49043747" w14:textId="77777777" w:rsidR="006F5D6F" w:rsidRPr="005F5CFD" w:rsidRDefault="006F5D6F" w:rsidP="00B34C91">
            <w:pPr>
              <w:spacing w:after="0" w:line="240" w:lineRule="auto"/>
              <w:jc w:val="right"/>
              <w:rPr>
                <w:rFonts w:eastAsia="Times New Roman" w:cs="Segoe UI"/>
                <w:b/>
                <w:bCs/>
                <w:sz w:val="18"/>
                <w:szCs w:val="18"/>
                <w:lang w:eastAsia="sk-SK"/>
              </w:rPr>
            </w:pPr>
            <w:r w:rsidRPr="005F5CFD">
              <w:rPr>
                <w:rFonts w:eastAsia="Times New Roman" w:cs="Segoe UI"/>
                <w:b/>
                <w:bCs/>
                <w:sz w:val="18"/>
                <w:szCs w:val="18"/>
                <w:lang w:eastAsia="sk-SK"/>
              </w:rPr>
              <w:t>2 228 913</w:t>
            </w:r>
          </w:p>
        </w:tc>
        <w:tc>
          <w:tcPr>
            <w:tcW w:w="633" w:type="pct"/>
            <w:shd w:val="clear" w:color="auto" w:fill="auto"/>
            <w:vAlign w:val="bottom"/>
          </w:tcPr>
          <w:p w14:paraId="41C98BAA" w14:textId="77777777" w:rsidR="006F5D6F" w:rsidRPr="005F5CFD" w:rsidRDefault="006F5D6F" w:rsidP="00B34C91">
            <w:pPr>
              <w:spacing w:after="0" w:line="240" w:lineRule="auto"/>
              <w:jc w:val="right"/>
              <w:rPr>
                <w:rFonts w:eastAsia="Times New Roman" w:cs="Segoe UI"/>
                <w:b/>
                <w:bCs/>
                <w:sz w:val="18"/>
                <w:szCs w:val="18"/>
                <w:lang w:eastAsia="sk-SK"/>
              </w:rPr>
            </w:pPr>
            <w:r w:rsidRPr="005F5CFD">
              <w:rPr>
                <w:rFonts w:eastAsia="Times New Roman" w:cs="Segoe UI"/>
                <w:b/>
                <w:bCs/>
                <w:sz w:val="18"/>
                <w:szCs w:val="18"/>
                <w:lang w:eastAsia="sk-SK"/>
              </w:rPr>
              <w:t>2 227 577</w:t>
            </w:r>
          </w:p>
        </w:tc>
        <w:tc>
          <w:tcPr>
            <w:tcW w:w="676" w:type="pct"/>
            <w:shd w:val="clear" w:color="auto" w:fill="auto"/>
            <w:vAlign w:val="bottom"/>
          </w:tcPr>
          <w:p w14:paraId="6BFFCFAC" w14:textId="77777777" w:rsidR="006F5D6F" w:rsidRPr="005F5CFD" w:rsidRDefault="006F5D6F" w:rsidP="00B34C91">
            <w:pPr>
              <w:spacing w:after="0" w:line="240" w:lineRule="auto"/>
              <w:jc w:val="right"/>
              <w:rPr>
                <w:rFonts w:eastAsia="Times New Roman" w:cs="Segoe UI"/>
                <w:b/>
                <w:bCs/>
                <w:color w:val="000000"/>
                <w:sz w:val="18"/>
                <w:szCs w:val="18"/>
                <w:lang w:eastAsia="sk-SK"/>
              </w:rPr>
            </w:pPr>
            <w:r w:rsidRPr="005F5CFD">
              <w:rPr>
                <w:rFonts w:eastAsia="Times New Roman" w:cs="Segoe UI"/>
                <w:b/>
                <w:bCs/>
                <w:color w:val="000000"/>
                <w:sz w:val="18"/>
                <w:szCs w:val="18"/>
                <w:lang w:eastAsia="sk-SK"/>
              </w:rPr>
              <w:t>-1 336</w:t>
            </w:r>
          </w:p>
        </w:tc>
        <w:tc>
          <w:tcPr>
            <w:tcW w:w="374" w:type="pct"/>
            <w:shd w:val="clear" w:color="auto" w:fill="auto"/>
            <w:vAlign w:val="center"/>
          </w:tcPr>
          <w:p w14:paraId="4FCEEE4C" w14:textId="77777777" w:rsidR="006F5D6F" w:rsidRPr="005F5CFD" w:rsidRDefault="006F5D6F" w:rsidP="00B34C91">
            <w:pPr>
              <w:spacing w:after="0" w:line="240" w:lineRule="auto"/>
              <w:jc w:val="right"/>
              <w:rPr>
                <w:rFonts w:eastAsia="Times New Roman" w:cs="Segoe UI"/>
                <w:b/>
                <w:bCs/>
                <w:color w:val="000000"/>
                <w:sz w:val="18"/>
                <w:szCs w:val="18"/>
                <w:lang w:eastAsia="sk-SK"/>
              </w:rPr>
            </w:pPr>
            <w:r w:rsidRPr="005F5CFD">
              <w:rPr>
                <w:rFonts w:eastAsia="Times New Roman" w:cs="Segoe UI"/>
                <w:b/>
                <w:bCs/>
                <w:color w:val="000000"/>
                <w:sz w:val="18"/>
                <w:szCs w:val="18"/>
                <w:lang w:eastAsia="sk-SK"/>
              </w:rPr>
              <w:t>96,3</w:t>
            </w:r>
          </w:p>
        </w:tc>
      </w:tr>
      <w:tr w:rsidR="006F5D6F" w:rsidRPr="00EC6614" w14:paraId="06DA3D27" w14:textId="77777777" w:rsidTr="00B34C91">
        <w:trPr>
          <w:trHeight w:val="255"/>
          <w:jc w:val="center"/>
        </w:trPr>
        <w:tc>
          <w:tcPr>
            <w:tcW w:w="1473" w:type="pct"/>
            <w:vAlign w:val="center"/>
          </w:tcPr>
          <w:p w14:paraId="0E31888E" w14:textId="77777777" w:rsidR="006F5D6F" w:rsidRPr="00EC6614" w:rsidRDefault="006F5D6F" w:rsidP="00B34C91">
            <w:pPr>
              <w:spacing w:after="0" w:line="240" w:lineRule="auto"/>
              <w:jc w:val="left"/>
              <w:rPr>
                <w:rFonts w:eastAsia="Calibri" w:cs="Segoe UI"/>
                <w:sz w:val="18"/>
                <w:szCs w:val="16"/>
              </w:rPr>
            </w:pPr>
            <w:r w:rsidRPr="00EC6614">
              <w:rPr>
                <w:rFonts w:eastAsia="Calibri" w:cs="Segoe UI"/>
                <w:sz w:val="18"/>
                <w:szCs w:val="16"/>
              </w:rPr>
              <w:t>Tuzemské granty a transfery</w:t>
            </w:r>
          </w:p>
        </w:tc>
        <w:tc>
          <w:tcPr>
            <w:tcW w:w="633" w:type="pct"/>
            <w:vAlign w:val="center"/>
          </w:tcPr>
          <w:p w14:paraId="1D50671C"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38 947</w:t>
            </w:r>
          </w:p>
        </w:tc>
        <w:tc>
          <w:tcPr>
            <w:tcW w:w="605" w:type="pct"/>
            <w:vAlign w:val="bottom"/>
          </w:tcPr>
          <w:p w14:paraId="30906781"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41 254</w:t>
            </w:r>
          </w:p>
        </w:tc>
        <w:tc>
          <w:tcPr>
            <w:tcW w:w="605" w:type="pct"/>
            <w:vAlign w:val="bottom"/>
          </w:tcPr>
          <w:p w14:paraId="2EDF7A89"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41 211</w:t>
            </w:r>
          </w:p>
        </w:tc>
        <w:tc>
          <w:tcPr>
            <w:tcW w:w="633" w:type="pct"/>
            <w:vAlign w:val="bottom"/>
          </w:tcPr>
          <w:p w14:paraId="4E6C95DD"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39 875</w:t>
            </w:r>
          </w:p>
        </w:tc>
        <w:tc>
          <w:tcPr>
            <w:tcW w:w="676" w:type="pct"/>
            <w:vAlign w:val="bottom"/>
          </w:tcPr>
          <w:p w14:paraId="36BE0CB0"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-1 336</w:t>
            </w:r>
          </w:p>
        </w:tc>
        <w:tc>
          <w:tcPr>
            <w:tcW w:w="374" w:type="pct"/>
            <w:vAlign w:val="center"/>
          </w:tcPr>
          <w:p w14:paraId="33F987C4"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102,4</w:t>
            </w:r>
          </w:p>
        </w:tc>
      </w:tr>
      <w:tr w:rsidR="006F5D6F" w:rsidRPr="00EC6614" w14:paraId="6A954496" w14:textId="77777777" w:rsidTr="00B34C91">
        <w:trPr>
          <w:trHeight w:val="255"/>
          <w:jc w:val="center"/>
        </w:trPr>
        <w:tc>
          <w:tcPr>
            <w:tcW w:w="1473" w:type="pct"/>
            <w:vAlign w:val="center"/>
          </w:tcPr>
          <w:p w14:paraId="7D68B790" w14:textId="77777777" w:rsidR="006F5D6F" w:rsidRPr="00EC6614" w:rsidRDefault="006F5D6F" w:rsidP="00B34C91">
            <w:pPr>
              <w:spacing w:after="0" w:line="240" w:lineRule="auto"/>
              <w:jc w:val="left"/>
              <w:rPr>
                <w:rFonts w:eastAsia="Calibri" w:cs="Segoe UI"/>
                <w:sz w:val="18"/>
                <w:szCs w:val="16"/>
              </w:rPr>
            </w:pPr>
            <w:r w:rsidRPr="00EC6614">
              <w:rPr>
                <w:rFonts w:eastAsia="Calibri" w:cs="Segoe UI"/>
                <w:sz w:val="18"/>
                <w:szCs w:val="16"/>
              </w:rPr>
              <w:t>Zahraničné granty a transfery</w:t>
            </w:r>
          </w:p>
        </w:tc>
        <w:tc>
          <w:tcPr>
            <w:tcW w:w="633" w:type="pct"/>
            <w:vAlign w:val="center"/>
          </w:tcPr>
          <w:p w14:paraId="35570A92"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2 273 992</w:t>
            </w:r>
          </w:p>
        </w:tc>
        <w:tc>
          <w:tcPr>
            <w:tcW w:w="605" w:type="pct"/>
            <w:vAlign w:val="bottom"/>
          </w:tcPr>
          <w:p w14:paraId="673D553C"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4 449 973</w:t>
            </w:r>
          </w:p>
        </w:tc>
        <w:tc>
          <w:tcPr>
            <w:tcW w:w="605" w:type="pct"/>
            <w:vAlign w:val="bottom"/>
          </w:tcPr>
          <w:p w14:paraId="36FBC29A"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2 187 702</w:t>
            </w:r>
          </w:p>
        </w:tc>
        <w:tc>
          <w:tcPr>
            <w:tcW w:w="633" w:type="pct"/>
            <w:vAlign w:val="bottom"/>
          </w:tcPr>
          <w:p w14:paraId="736565AF"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2 187 702</w:t>
            </w:r>
          </w:p>
        </w:tc>
        <w:tc>
          <w:tcPr>
            <w:tcW w:w="676" w:type="pct"/>
            <w:vAlign w:val="bottom"/>
          </w:tcPr>
          <w:p w14:paraId="13FADF51"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0</w:t>
            </w:r>
          </w:p>
        </w:tc>
        <w:tc>
          <w:tcPr>
            <w:tcW w:w="374" w:type="pct"/>
            <w:vAlign w:val="center"/>
          </w:tcPr>
          <w:p w14:paraId="1A55D9E7"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96,2</w:t>
            </w:r>
          </w:p>
        </w:tc>
      </w:tr>
      <w:tr w:rsidR="006F5D6F" w:rsidRPr="00EC6614" w14:paraId="3C97E28B" w14:textId="77777777" w:rsidTr="00B34C91">
        <w:trPr>
          <w:trHeight w:val="255"/>
          <w:jc w:val="center"/>
        </w:trPr>
        <w:tc>
          <w:tcPr>
            <w:tcW w:w="1473" w:type="pct"/>
            <w:vAlign w:val="center"/>
          </w:tcPr>
          <w:p w14:paraId="7B752E3E" w14:textId="77777777" w:rsidR="006F5D6F" w:rsidRPr="00EC6614" w:rsidRDefault="006F5D6F" w:rsidP="00B34C91">
            <w:pPr>
              <w:spacing w:after="0" w:line="240" w:lineRule="auto"/>
              <w:jc w:val="left"/>
              <w:rPr>
                <w:rFonts w:eastAsia="Calibri" w:cs="Segoe UI"/>
                <w:sz w:val="18"/>
                <w:szCs w:val="16"/>
              </w:rPr>
            </w:pPr>
            <w:r w:rsidRPr="00EC6614">
              <w:rPr>
                <w:rFonts w:eastAsia="Calibri" w:cs="Segoe UI"/>
                <w:sz w:val="18"/>
                <w:szCs w:val="16"/>
              </w:rPr>
              <w:t>z toho:</w:t>
            </w:r>
          </w:p>
        </w:tc>
        <w:tc>
          <w:tcPr>
            <w:tcW w:w="633" w:type="pct"/>
            <w:vAlign w:val="center"/>
          </w:tcPr>
          <w:p w14:paraId="597BF51C" w14:textId="77777777" w:rsidR="006F5D6F" w:rsidRPr="005F5CFD" w:rsidRDefault="006F5D6F" w:rsidP="00B34C91">
            <w:pPr>
              <w:spacing w:after="0" w:line="240" w:lineRule="auto"/>
              <w:jc w:val="right"/>
              <w:rPr>
                <w:rFonts w:eastAsia="Times New Roman" w:cs="Segoe UI"/>
                <w:color w:val="000000"/>
                <w:sz w:val="18"/>
                <w:szCs w:val="18"/>
                <w:lang w:eastAsia="sk-SK"/>
              </w:rPr>
            </w:pPr>
          </w:p>
        </w:tc>
        <w:tc>
          <w:tcPr>
            <w:tcW w:w="605" w:type="pct"/>
            <w:vAlign w:val="bottom"/>
          </w:tcPr>
          <w:p w14:paraId="0377254B" w14:textId="77777777" w:rsidR="006F5D6F" w:rsidRPr="005F5CFD" w:rsidRDefault="006F5D6F" w:rsidP="00B34C91">
            <w:pPr>
              <w:spacing w:after="0" w:line="240" w:lineRule="auto"/>
              <w:jc w:val="right"/>
              <w:rPr>
                <w:rFonts w:eastAsia="Times New Roman" w:cs="Segoe UI"/>
                <w:sz w:val="18"/>
                <w:szCs w:val="18"/>
                <w:lang w:eastAsia="sk-SK"/>
              </w:rPr>
            </w:pPr>
          </w:p>
        </w:tc>
        <w:tc>
          <w:tcPr>
            <w:tcW w:w="605" w:type="pct"/>
            <w:vAlign w:val="bottom"/>
          </w:tcPr>
          <w:p w14:paraId="0CDE53DD" w14:textId="77777777" w:rsidR="006F5D6F" w:rsidRPr="005F5CFD" w:rsidRDefault="006F5D6F" w:rsidP="00B34C91">
            <w:pPr>
              <w:spacing w:after="0" w:line="240" w:lineRule="auto"/>
              <w:jc w:val="right"/>
              <w:rPr>
                <w:rFonts w:eastAsia="Times New Roman" w:cs="Segoe UI"/>
                <w:sz w:val="18"/>
                <w:szCs w:val="18"/>
                <w:lang w:eastAsia="sk-SK"/>
              </w:rPr>
            </w:pPr>
          </w:p>
        </w:tc>
        <w:tc>
          <w:tcPr>
            <w:tcW w:w="633" w:type="pct"/>
            <w:vAlign w:val="bottom"/>
          </w:tcPr>
          <w:p w14:paraId="4843FFCE" w14:textId="77777777" w:rsidR="006F5D6F" w:rsidRPr="005F5CFD" w:rsidRDefault="006F5D6F" w:rsidP="00B34C91">
            <w:pPr>
              <w:spacing w:after="0" w:line="240" w:lineRule="auto"/>
              <w:jc w:val="right"/>
              <w:rPr>
                <w:rFonts w:eastAsia="Times New Roman" w:cs="Segoe UI"/>
                <w:sz w:val="18"/>
                <w:szCs w:val="18"/>
                <w:lang w:eastAsia="sk-SK"/>
              </w:rPr>
            </w:pPr>
          </w:p>
        </w:tc>
        <w:tc>
          <w:tcPr>
            <w:tcW w:w="676" w:type="pct"/>
            <w:vAlign w:val="bottom"/>
          </w:tcPr>
          <w:p w14:paraId="73B9565A" w14:textId="77777777" w:rsidR="006F5D6F" w:rsidRPr="005F5CFD" w:rsidRDefault="006F5D6F" w:rsidP="00B34C91">
            <w:pPr>
              <w:spacing w:after="0" w:line="240" w:lineRule="auto"/>
              <w:jc w:val="right"/>
              <w:rPr>
                <w:rFonts w:eastAsia="Times New Roman" w:cs="Segoe UI"/>
                <w:color w:val="000000"/>
                <w:sz w:val="18"/>
                <w:szCs w:val="18"/>
                <w:lang w:eastAsia="sk-SK"/>
              </w:rPr>
            </w:pPr>
          </w:p>
        </w:tc>
        <w:tc>
          <w:tcPr>
            <w:tcW w:w="374" w:type="pct"/>
            <w:vAlign w:val="center"/>
          </w:tcPr>
          <w:p w14:paraId="2832B6B4" w14:textId="77777777" w:rsidR="006F5D6F" w:rsidRPr="005F5CFD" w:rsidRDefault="006F5D6F" w:rsidP="00B34C91">
            <w:pPr>
              <w:spacing w:after="0" w:line="240" w:lineRule="auto"/>
              <w:jc w:val="right"/>
              <w:rPr>
                <w:rFonts w:eastAsia="Times New Roman" w:cs="Segoe UI"/>
                <w:color w:val="000000"/>
                <w:sz w:val="18"/>
                <w:szCs w:val="18"/>
                <w:lang w:eastAsia="sk-SK"/>
              </w:rPr>
            </w:pPr>
          </w:p>
        </w:tc>
      </w:tr>
      <w:tr w:rsidR="006F5D6F" w:rsidRPr="00EC6614" w14:paraId="751325EF" w14:textId="77777777" w:rsidTr="00B34C91">
        <w:trPr>
          <w:trHeight w:val="255"/>
          <w:jc w:val="center"/>
        </w:trPr>
        <w:tc>
          <w:tcPr>
            <w:tcW w:w="1473" w:type="pct"/>
            <w:tcBorders>
              <w:bottom w:val="single" w:sz="4" w:space="0" w:color="314364" w:themeColor="text2"/>
            </w:tcBorders>
            <w:vAlign w:val="center"/>
          </w:tcPr>
          <w:p w14:paraId="29DACF74" w14:textId="77777777" w:rsidR="006F5D6F" w:rsidRPr="00EC6614" w:rsidRDefault="006F5D6F" w:rsidP="00B34C91">
            <w:pPr>
              <w:spacing w:after="0" w:line="240" w:lineRule="auto"/>
              <w:jc w:val="left"/>
              <w:rPr>
                <w:rFonts w:eastAsia="Calibri" w:cs="Segoe UI"/>
                <w:sz w:val="18"/>
                <w:szCs w:val="16"/>
              </w:rPr>
            </w:pPr>
            <w:r>
              <w:rPr>
                <w:rFonts w:eastAsia="Calibri" w:cs="Segoe UI"/>
                <w:sz w:val="18"/>
                <w:szCs w:val="16"/>
              </w:rPr>
              <w:t xml:space="preserve">   </w:t>
            </w:r>
            <w:r w:rsidRPr="00EC6614">
              <w:rPr>
                <w:rFonts w:eastAsia="Calibri" w:cs="Segoe UI"/>
                <w:sz w:val="18"/>
                <w:szCs w:val="16"/>
              </w:rPr>
              <w:t>prostriedky z rozpočtu EÚ</w:t>
            </w:r>
          </w:p>
        </w:tc>
        <w:tc>
          <w:tcPr>
            <w:tcW w:w="633" w:type="pct"/>
            <w:tcBorders>
              <w:bottom w:val="single" w:sz="4" w:space="0" w:color="314364" w:themeColor="text2"/>
            </w:tcBorders>
            <w:vAlign w:val="center"/>
          </w:tcPr>
          <w:p w14:paraId="4A5570A1"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2 273 989</w:t>
            </w:r>
          </w:p>
        </w:tc>
        <w:tc>
          <w:tcPr>
            <w:tcW w:w="605" w:type="pct"/>
            <w:tcBorders>
              <w:bottom w:val="single" w:sz="4" w:space="0" w:color="314364" w:themeColor="text2"/>
            </w:tcBorders>
            <w:vAlign w:val="bottom"/>
          </w:tcPr>
          <w:p w14:paraId="4ACEA203"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4 449 973</w:t>
            </w:r>
          </w:p>
        </w:tc>
        <w:tc>
          <w:tcPr>
            <w:tcW w:w="605" w:type="pct"/>
            <w:tcBorders>
              <w:bottom w:val="single" w:sz="4" w:space="0" w:color="314364" w:themeColor="text2"/>
            </w:tcBorders>
            <w:vAlign w:val="bottom"/>
          </w:tcPr>
          <w:p w14:paraId="742A188A"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2 187 702</w:t>
            </w:r>
          </w:p>
        </w:tc>
        <w:tc>
          <w:tcPr>
            <w:tcW w:w="633" w:type="pct"/>
            <w:tcBorders>
              <w:bottom w:val="single" w:sz="4" w:space="0" w:color="314364" w:themeColor="text2"/>
            </w:tcBorders>
            <w:vAlign w:val="bottom"/>
          </w:tcPr>
          <w:p w14:paraId="0DFC62F7" w14:textId="77777777" w:rsidR="006F5D6F" w:rsidRPr="005F5CFD" w:rsidRDefault="006F5D6F" w:rsidP="00B34C91">
            <w:pPr>
              <w:spacing w:after="0" w:line="240" w:lineRule="auto"/>
              <w:jc w:val="right"/>
              <w:rPr>
                <w:rFonts w:eastAsia="Times New Roman" w:cs="Segoe UI"/>
                <w:sz w:val="18"/>
                <w:szCs w:val="18"/>
                <w:lang w:eastAsia="sk-SK"/>
              </w:rPr>
            </w:pPr>
            <w:r w:rsidRPr="005F5CFD">
              <w:rPr>
                <w:rFonts w:eastAsia="Times New Roman" w:cs="Segoe UI"/>
                <w:sz w:val="18"/>
                <w:szCs w:val="18"/>
                <w:lang w:eastAsia="sk-SK"/>
              </w:rPr>
              <w:t>2 187 702</w:t>
            </w:r>
          </w:p>
        </w:tc>
        <w:tc>
          <w:tcPr>
            <w:tcW w:w="676" w:type="pct"/>
            <w:tcBorders>
              <w:bottom w:val="single" w:sz="4" w:space="0" w:color="314364" w:themeColor="text2"/>
            </w:tcBorders>
            <w:vAlign w:val="bottom"/>
          </w:tcPr>
          <w:p w14:paraId="266D68E3"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0</w:t>
            </w:r>
          </w:p>
        </w:tc>
        <w:tc>
          <w:tcPr>
            <w:tcW w:w="374" w:type="pct"/>
            <w:tcBorders>
              <w:bottom w:val="single" w:sz="4" w:space="0" w:color="314364" w:themeColor="text2"/>
            </w:tcBorders>
            <w:vAlign w:val="center"/>
          </w:tcPr>
          <w:p w14:paraId="4E5D870F" w14:textId="77777777" w:rsidR="006F5D6F" w:rsidRPr="005F5CFD" w:rsidRDefault="006F5D6F" w:rsidP="00B34C91">
            <w:pPr>
              <w:spacing w:after="0" w:line="240" w:lineRule="auto"/>
              <w:jc w:val="right"/>
              <w:rPr>
                <w:rFonts w:eastAsia="Times New Roman" w:cs="Segoe UI"/>
                <w:color w:val="000000"/>
                <w:sz w:val="18"/>
                <w:szCs w:val="18"/>
                <w:lang w:eastAsia="sk-SK"/>
              </w:rPr>
            </w:pPr>
            <w:r w:rsidRPr="005F5CFD">
              <w:rPr>
                <w:rFonts w:eastAsia="Times New Roman" w:cs="Segoe UI"/>
                <w:color w:val="000000"/>
                <w:sz w:val="18"/>
                <w:szCs w:val="18"/>
                <w:lang w:eastAsia="sk-SK"/>
              </w:rPr>
              <w:t>96,2</w:t>
            </w:r>
          </w:p>
        </w:tc>
      </w:tr>
    </w:tbl>
    <w:p w14:paraId="7AA339B5" w14:textId="7A7A7377" w:rsidR="006F5D6F" w:rsidRPr="00D90C26" w:rsidRDefault="006F5D6F" w:rsidP="006F5D6F">
      <w:pPr>
        <w:spacing w:line="240" w:lineRule="auto"/>
        <w:jc w:val="left"/>
        <w:rPr>
          <w:rFonts w:eastAsia="Calibri" w:cs="Times New Roman"/>
          <w:i/>
          <w:color w:val="314364"/>
          <w:sz w:val="16"/>
        </w:rPr>
      </w:pPr>
      <w:r>
        <w:rPr>
          <w:rFonts w:eastAsia="Calibri" w:cs="Times New Roman"/>
          <w:i/>
          <w:color w:val="314364"/>
          <w:sz w:val="16"/>
        </w:rPr>
        <w:t>Zdroj: Návrh ŠZÚ 2022</w:t>
      </w:r>
      <w:r w:rsidR="00F00761">
        <w:rPr>
          <w:rFonts w:eastAsia="Calibri" w:cs="Times New Roman"/>
          <w:i/>
          <w:color w:val="314364"/>
          <w:sz w:val="16"/>
        </w:rPr>
        <w:t>.</w:t>
      </w:r>
      <w:r>
        <w:rPr>
          <w:rFonts w:eastAsia="Calibri" w:cs="Times New Roman"/>
          <w:i/>
          <w:color w:val="314364"/>
          <w:sz w:val="16"/>
        </w:rPr>
        <w:br/>
      </w:r>
      <w:r w:rsidRPr="00170EBD">
        <w:rPr>
          <w:rFonts w:eastAsia="Calibri" w:cs="Times New Roman"/>
          <w:i/>
          <w:color w:val="314364"/>
          <w:sz w:val="16"/>
        </w:rPr>
        <w:t>S – skutočnosť, R – rozpočet, NR – novelizovaný rozpočet, YoY – medziročná zmena</w:t>
      </w:r>
    </w:p>
    <w:p w14:paraId="7494511C" w14:textId="044263BA" w:rsidR="005E65E6" w:rsidRDefault="002C027A" w:rsidP="002C027A">
      <w:pPr>
        <w:pStyle w:val="Nadpis2"/>
      </w:pPr>
      <w:bookmarkStart w:id="14" w:name="_Toc105414679"/>
      <w:bookmarkStart w:id="15" w:name="_Toc136418393"/>
      <w:r>
        <w:t xml:space="preserve">3.3 </w:t>
      </w:r>
      <w:r w:rsidR="005E65E6">
        <w:t>Výdavky štátneho rozpočtu</w:t>
      </w:r>
      <w:bookmarkEnd w:id="14"/>
      <w:bookmarkEnd w:id="15"/>
    </w:p>
    <w:p w14:paraId="78F8A105" w14:textId="7F62EB8E" w:rsidR="005E65E6" w:rsidRDefault="005E65E6" w:rsidP="005E65E6">
      <w:pPr>
        <w:rPr>
          <w:rFonts w:eastAsia="Calibri" w:cs="Segoe UI"/>
          <w:szCs w:val="20"/>
        </w:rPr>
      </w:pPr>
      <w:r w:rsidRPr="000E57A9">
        <w:rPr>
          <w:rFonts w:eastAsia="Calibri" w:cs="Segoe UI"/>
          <w:b/>
          <w:szCs w:val="20"/>
        </w:rPr>
        <w:t>Celkové výdavky ŠR v roku 2022 medziročne klesli o 4,2 %</w:t>
      </w:r>
      <w:r w:rsidR="000E57A9" w:rsidRPr="000E57A9">
        <w:rPr>
          <w:rFonts w:eastAsia="Calibri" w:cs="Segoe UI"/>
          <w:b/>
          <w:szCs w:val="20"/>
        </w:rPr>
        <w:t>, a to najmä z dôvodu nižšieho čerpania prostriedkov z POO a fondov EÚ a s tým súvisiaceho nižšieho spolufinancovania zo ŠR</w:t>
      </w:r>
      <w:r w:rsidRPr="000E57A9">
        <w:rPr>
          <w:rFonts w:eastAsia="Calibri" w:cs="Segoe UI"/>
          <w:b/>
          <w:szCs w:val="20"/>
        </w:rPr>
        <w:t xml:space="preserve"> </w:t>
      </w:r>
      <w:r w:rsidRPr="000E425D">
        <w:rPr>
          <w:rFonts w:eastAsia="Calibri" w:cs="Segoe UI"/>
          <w:szCs w:val="20"/>
        </w:rPr>
        <w:t>(</w:t>
      </w:r>
      <w:r>
        <w:rPr>
          <w:rFonts w:eastAsia="Calibri" w:cs="Segoe UI"/>
          <w:szCs w:val="20"/>
        </w:rPr>
        <w:t xml:space="preserve">tabuľka </w:t>
      </w:r>
      <w:r w:rsidR="00B53955">
        <w:rPr>
          <w:rFonts w:eastAsia="Calibri" w:cs="Segoe UI"/>
          <w:szCs w:val="20"/>
        </w:rPr>
        <w:t>8</w:t>
      </w:r>
      <w:r>
        <w:rPr>
          <w:rFonts w:eastAsia="Calibri" w:cs="Segoe UI"/>
          <w:szCs w:val="20"/>
        </w:rPr>
        <w:t>).</w:t>
      </w:r>
      <w:r w:rsidRPr="000E425D">
        <w:rPr>
          <w:rFonts w:eastAsia="Calibri" w:cs="Segoe UI"/>
          <w:szCs w:val="20"/>
        </w:rPr>
        <w:t xml:space="preserve"> </w:t>
      </w:r>
      <w:r>
        <w:rPr>
          <w:rFonts w:eastAsia="Calibri" w:cs="Segoe UI"/>
          <w:szCs w:val="20"/>
        </w:rPr>
        <w:t>V</w:t>
      </w:r>
      <w:r w:rsidRPr="000E425D">
        <w:rPr>
          <w:rFonts w:eastAsia="Calibri" w:cs="Segoe UI"/>
          <w:szCs w:val="20"/>
        </w:rPr>
        <w:t> </w:t>
      </w:r>
      <w:r>
        <w:rPr>
          <w:rFonts w:eastAsia="Calibri" w:cs="Segoe UI"/>
          <w:szCs w:val="20"/>
        </w:rPr>
        <w:t xml:space="preserve">porovnaní s upraveným rozpočtom klesli </w:t>
      </w:r>
      <w:r w:rsidR="000E57A9">
        <w:rPr>
          <w:rFonts w:eastAsia="Calibri" w:cs="Segoe UI"/>
          <w:szCs w:val="20"/>
        </w:rPr>
        <w:t xml:space="preserve">výdavky </w:t>
      </w:r>
      <w:r>
        <w:rPr>
          <w:rFonts w:eastAsia="Calibri" w:cs="Segoe UI"/>
          <w:szCs w:val="20"/>
        </w:rPr>
        <w:t>o 1,6</w:t>
      </w:r>
      <w:r w:rsidRPr="000E425D">
        <w:rPr>
          <w:rFonts w:eastAsia="Calibri" w:cs="Segoe UI"/>
          <w:szCs w:val="20"/>
        </w:rPr>
        <w:t> %. Podiel bežných výdavkov na celkových predstav</w:t>
      </w:r>
      <w:r>
        <w:rPr>
          <w:rFonts w:eastAsia="Calibri" w:cs="Segoe UI"/>
          <w:szCs w:val="20"/>
        </w:rPr>
        <w:t>oval 88,5 % a zvyšných 11,5</w:t>
      </w:r>
      <w:r w:rsidRPr="000E425D">
        <w:rPr>
          <w:rFonts w:eastAsia="Calibri" w:cs="Segoe UI"/>
          <w:szCs w:val="20"/>
        </w:rPr>
        <w:t> % pripad</w:t>
      </w:r>
      <w:r w:rsidR="00AA2135">
        <w:rPr>
          <w:rFonts w:eastAsia="Calibri" w:cs="Segoe UI"/>
          <w:szCs w:val="20"/>
        </w:rPr>
        <w:t>a</w:t>
      </w:r>
      <w:r>
        <w:rPr>
          <w:rFonts w:eastAsia="Calibri" w:cs="Segoe UI"/>
          <w:szCs w:val="20"/>
        </w:rPr>
        <w:t>lo</w:t>
      </w:r>
      <w:r w:rsidRPr="000E425D">
        <w:rPr>
          <w:rFonts w:eastAsia="Calibri" w:cs="Segoe UI"/>
          <w:szCs w:val="20"/>
        </w:rPr>
        <w:t xml:space="preserve"> na kapitálové výdavky.</w:t>
      </w:r>
    </w:p>
    <w:p w14:paraId="5750BBAC" w14:textId="77777777" w:rsidR="006F5D6F" w:rsidRPr="00B23AEB" w:rsidRDefault="006F5D6F" w:rsidP="006F5D6F">
      <w:pPr>
        <w:keepNext/>
        <w:spacing w:after="0" w:line="240" w:lineRule="auto"/>
        <w:rPr>
          <w:rFonts w:eastAsia="Calibri" w:cs="Times New Roman"/>
          <w:b/>
          <w:iCs/>
          <w:color w:val="314364"/>
          <w:szCs w:val="18"/>
        </w:rPr>
      </w:pPr>
      <w:r w:rsidRPr="00B23AEB">
        <w:rPr>
          <w:rFonts w:eastAsia="Calibri" w:cs="Times New Roman"/>
          <w:b/>
          <w:iCs/>
          <w:color w:val="314364"/>
          <w:szCs w:val="18"/>
        </w:rPr>
        <w:t xml:space="preserve">Tabuľka </w:t>
      </w:r>
      <w:r>
        <w:rPr>
          <w:rFonts w:eastAsia="Calibri" w:cs="Times New Roman"/>
          <w:b/>
          <w:iCs/>
          <w:color w:val="314364"/>
          <w:szCs w:val="18"/>
        </w:rPr>
        <w:t>8</w:t>
      </w:r>
      <w:r w:rsidRPr="00B23AEB">
        <w:rPr>
          <w:rFonts w:eastAsia="Calibri" w:cs="Times New Roman"/>
          <w:b/>
          <w:iCs/>
          <w:color w:val="314364"/>
          <w:szCs w:val="18"/>
        </w:rPr>
        <w:t xml:space="preserve">: </w:t>
      </w:r>
      <w:r>
        <w:rPr>
          <w:rFonts w:eastAsia="Calibri" w:cs="Times New Roman"/>
          <w:b/>
          <w:iCs/>
          <w:color w:val="314364"/>
          <w:szCs w:val="18"/>
        </w:rPr>
        <w:t>Š</w:t>
      </w:r>
      <w:r w:rsidRPr="00B23AEB">
        <w:rPr>
          <w:rFonts w:eastAsia="Calibri" w:cs="Times New Roman"/>
          <w:b/>
          <w:iCs/>
          <w:color w:val="314364"/>
          <w:szCs w:val="18"/>
        </w:rPr>
        <w:t>truktúr</w:t>
      </w:r>
      <w:r>
        <w:rPr>
          <w:rFonts w:eastAsia="Calibri" w:cs="Times New Roman"/>
          <w:b/>
          <w:iCs/>
          <w:color w:val="314364"/>
          <w:szCs w:val="18"/>
        </w:rPr>
        <w:t>a</w:t>
      </w:r>
      <w:r w:rsidRPr="00B23AEB">
        <w:rPr>
          <w:rFonts w:eastAsia="Calibri" w:cs="Times New Roman"/>
          <w:b/>
          <w:iCs/>
          <w:color w:val="314364"/>
          <w:szCs w:val="18"/>
        </w:rPr>
        <w:t xml:space="preserve"> čerpania výdavkov ŠR na hotovostnej báze</w:t>
      </w:r>
      <w:r>
        <w:rPr>
          <w:rFonts w:eastAsia="Calibri" w:cs="Times New Roman"/>
          <w:b/>
          <w:iCs/>
          <w:color w:val="314364"/>
          <w:szCs w:val="18"/>
        </w:rPr>
        <w:t xml:space="preserve"> (v tis. eur)</w:t>
      </w:r>
    </w:p>
    <w:tbl>
      <w:tblPr>
        <w:tblW w:w="5159" w:type="pct"/>
        <w:jc w:val="center"/>
        <w:tblBorders>
          <w:bottom w:val="single" w:sz="4" w:space="0" w:color="314364" w:themeColor="text2"/>
        </w:tblBorders>
        <w:tblLayout w:type="fixed"/>
        <w:tblLook w:val="04A0" w:firstRow="1" w:lastRow="0" w:firstColumn="1" w:lastColumn="0" w:noHBand="0" w:noVBand="1"/>
      </w:tblPr>
      <w:tblGrid>
        <w:gridCol w:w="2419"/>
        <w:gridCol w:w="1273"/>
        <w:gridCol w:w="1276"/>
        <w:gridCol w:w="1271"/>
        <w:gridCol w:w="1276"/>
        <w:gridCol w:w="1134"/>
        <w:gridCol w:w="709"/>
      </w:tblGrid>
      <w:tr w:rsidR="006F5D6F" w:rsidRPr="00EC6614" w14:paraId="3392DF4B" w14:textId="77777777" w:rsidTr="00B34C91">
        <w:trPr>
          <w:trHeight w:val="283"/>
          <w:jc w:val="center"/>
        </w:trPr>
        <w:tc>
          <w:tcPr>
            <w:tcW w:w="1292" w:type="pct"/>
            <w:shd w:val="clear" w:color="auto" w:fill="314364"/>
            <w:vAlign w:val="center"/>
          </w:tcPr>
          <w:p w14:paraId="4F3C8F3F" w14:textId="77777777" w:rsidR="006F5D6F" w:rsidRPr="00EC6614" w:rsidRDefault="006F5D6F" w:rsidP="00B34C91">
            <w:pPr>
              <w:spacing w:after="0" w:line="240" w:lineRule="auto"/>
              <w:jc w:val="left"/>
              <w:rPr>
                <w:rFonts w:eastAsia="Calibri" w:cs="Segoe UI"/>
                <w:b/>
                <w:color w:val="FFFFFF"/>
                <w:sz w:val="18"/>
                <w:szCs w:val="16"/>
              </w:rPr>
            </w:pPr>
            <w:r w:rsidRPr="00EC6614">
              <w:rPr>
                <w:rFonts w:eastAsia="Calibri" w:cs="Segoe UI"/>
                <w:b/>
                <w:bCs/>
                <w:color w:val="FFFFFF"/>
                <w:sz w:val="18"/>
                <w:szCs w:val="16"/>
              </w:rPr>
              <w:t>Ukazovateľ</w:t>
            </w:r>
          </w:p>
        </w:tc>
        <w:tc>
          <w:tcPr>
            <w:tcW w:w="680" w:type="pct"/>
            <w:shd w:val="clear" w:color="auto" w:fill="314364"/>
            <w:vAlign w:val="center"/>
          </w:tcPr>
          <w:p w14:paraId="615054F4" w14:textId="77777777" w:rsidR="006F5D6F" w:rsidRPr="00EC6614" w:rsidRDefault="006F5D6F" w:rsidP="00B34C91">
            <w:pPr>
              <w:spacing w:after="0" w:line="240" w:lineRule="auto"/>
              <w:jc w:val="right"/>
              <w:rPr>
                <w:rFonts w:eastAsia="Calibri" w:cs="Segoe UI"/>
                <w:b/>
                <w:color w:val="FFFFFF"/>
                <w:sz w:val="18"/>
                <w:szCs w:val="16"/>
              </w:rPr>
            </w:pPr>
            <w:r>
              <w:rPr>
                <w:rFonts w:eastAsia="Calibri" w:cs="Segoe UI"/>
                <w:b/>
                <w:bCs/>
                <w:color w:val="FFFFFF"/>
                <w:sz w:val="18"/>
                <w:szCs w:val="18"/>
              </w:rPr>
              <w:t>2021 S</w:t>
            </w:r>
          </w:p>
        </w:tc>
        <w:tc>
          <w:tcPr>
            <w:tcW w:w="682" w:type="pct"/>
            <w:shd w:val="clear" w:color="auto" w:fill="314364"/>
            <w:vAlign w:val="center"/>
          </w:tcPr>
          <w:p w14:paraId="61D7F226" w14:textId="0CE333BD" w:rsidR="006F5D6F" w:rsidRPr="00EC6614" w:rsidRDefault="006F5D6F" w:rsidP="00B34C91">
            <w:pPr>
              <w:spacing w:after="0" w:line="240" w:lineRule="auto"/>
              <w:jc w:val="right"/>
              <w:rPr>
                <w:rFonts w:eastAsia="Calibri" w:cs="Segoe UI"/>
                <w:b/>
                <w:color w:val="FFFFFF"/>
                <w:sz w:val="18"/>
                <w:szCs w:val="16"/>
              </w:rPr>
            </w:pPr>
            <w:r>
              <w:rPr>
                <w:rFonts w:eastAsia="Calibri" w:cs="Segoe UI"/>
                <w:b/>
                <w:color w:val="FFFFFF"/>
                <w:sz w:val="18"/>
                <w:szCs w:val="18"/>
              </w:rPr>
              <w:t xml:space="preserve">2022 </w:t>
            </w:r>
            <w:r w:rsidR="002351E4">
              <w:rPr>
                <w:rFonts w:eastAsia="Calibri" w:cs="Segoe UI"/>
                <w:b/>
                <w:color w:val="FFFFFF"/>
                <w:sz w:val="18"/>
                <w:szCs w:val="18"/>
              </w:rPr>
              <w:t>N</w:t>
            </w:r>
            <w:r>
              <w:rPr>
                <w:rFonts w:eastAsia="Calibri" w:cs="Segoe UI"/>
                <w:b/>
                <w:color w:val="FFFFFF"/>
                <w:sz w:val="18"/>
                <w:szCs w:val="18"/>
              </w:rPr>
              <w:t>R</w:t>
            </w:r>
          </w:p>
        </w:tc>
        <w:tc>
          <w:tcPr>
            <w:tcW w:w="679" w:type="pct"/>
            <w:shd w:val="clear" w:color="auto" w:fill="314364"/>
            <w:vAlign w:val="center"/>
          </w:tcPr>
          <w:p w14:paraId="34719005" w14:textId="42248C71" w:rsidR="006F5D6F" w:rsidRPr="00EC6614" w:rsidRDefault="006F5D6F" w:rsidP="002351E4">
            <w:pPr>
              <w:spacing w:after="0" w:line="240" w:lineRule="auto"/>
              <w:jc w:val="right"/>
              <w:rPr>
                <w:rFonts w:eastAsia="Calibri" w:cs="Segoe UI"/>
                <w:b/>
                <w:color w:val="FFFFFF"/>
                <w:sz w:val="18"/>
                <w:szCs w:val="16"/>
              </w:rPr>
            </w:pPr>
            <w:r>
              <w:rPr>
                <w:rFonts w:eastAsia="Calibri" w:cs="Segoe UI"/>
                <w:b/>
                <w:color w:val="FFFFFF"/>
                <w:sz w:val="18"/>
                <w:szCs w:val="18"/>
              </w:rPr>
              <w:t xml:space="preserve">2022 </w:t>
            </w:r>
            <w:r w:rsidR="002351E4">
              <w:rPr>
                <w:rFonts w:eastAsia="Calibri" w:cs="Segoe UI"/>
                <w:b/>
                <w:color w:val="FFFFFF"/>
                <w:sz w:val="18"/>
                <w:szCs w:val="18"/>
              </w:rPr>
              <w:t>U</w:t>
            </w:r>
            <w:r>
              <w:rPr>
                <w:rFonts w:eastAsia="Calibri" w:cs="Segoe UI"/>
                <w:b/>
                <w:color w:val="FFFFFF"/>
                <w:sz w:val="18"/>
                <w:szCs w:val="18"/>
              </w:rPr>
              <w:t>R</w:t>
            </w:r>
          </w:p>
        </w:tc>
        <w:tc>
          <w:tcPr>
            <w:tcW w:w="682" w:type="pct"/>
            <w:shd w:val="clear" w:color="auto" w:fill="314364"/>
            <w:vAlign w:val="center"/>
          </w:tcPr>
          <w:p w14:paraId="03AEDF18" w14:textId="77777777" w:rsidR="006F5D6F" w:rsidRPr="00EC6614" w:rsidRDefault="006F5D6F" w:rsidP="00B34C91">
            <w:pPr>
              <w:spacing w:after="0" w:line="240" w:lineRule="auto"/>
              <w:jc w:val="right"/>
              <w:rPr>
                <w:rFonts w:eastAsia="Calibri" w:cs="Segoe UI"/>
                <w:b/>
                <w:color w:val="FFFFFF"/>
                <w:sz w:val="18"/>
                <w:szCs w:val="16"/>
              </w:rPr>
            </w:pPr>
            <w:r>
              <w:rPr>
                <w:rFonts w:eastAsia="Calibri" w:cs="Segoe UI"/>
                <w:b/>
                <w:bCs/>
                <w:color w:val="FFFFFF"/>
                <w:sz w:val="18"/>
                <w:szCs w:val="18"/>
              </w:rPr>
              <w:t>2022 S</w:t>
            </w:r>
          </w:p>
        </w:tc>
        <w:tc>
          <w:tcPr>
            <w:tcW w:w="606" w:type="pct"/>
            <w:shd w:val="clear" w:color="auto" w:fill="314364"/>
            <w:vAlign w:val="center"/>
          </w:tcPr>
          <w:p w14:paraId="66B155F0" w14:textId="77777777" w:rsidR="006F5D6F" w:rsidRPr="00EC6614" w:rsidRDefault="006F5D6F" w:rsidP="00B34C91">
            <w:pPr>
              <w:spacing w:after="0" w:line="240" w:lineRule="auto"/>
              <w:ind w:hanging="114"/>
              <w:jc w:val="right"/>
              <w:rPr>
                <w:rFonts w:eastAsia="Calibri" w:cs="Segoe UI"/>
                <w:color w:val="FFFFFF"/>
                <w:sz w:val="18"/>
                <w:szCs w:val="16"/>
              </w:rPr>
            </w:pPr>
            <w:r>
              <w:rPr>
                <w:rFonts w:eastAsia="Calibri" w:cs="Segoe UI"/>
                <w:b/>
                <w:bCs/>
                <w:color w:val="FFFFFF"/>
                <w:sz w:val="18"/>
                <w:szCs w:val="18"/>
              </w:rPr>
              <w:t>22S - 22</w:t>
            </w:r>
            <w:r w:rsidRPr="00EC6614">
              <w:rPr>
                <w:rFonts w:eastAsia="Calibri" w:cs="Segoe UI"/>
                <w:b/>
                <w:bCs/>
                <w:color w:val="FFFFFF"/>
                <w:sz w:val="18"/>
                <w:szCs w:val="18"/>
              </w:rPr>
              <w:t>R</w:t>
            </w:r>
          </w:p>
        </w:tc>
        <w:tc>
          <w:tcPr>
            <w:tcW w:w="379" w:type="pct"/>
            <w:shd w:val="clear" w:color="auto" w:fill="314364"/>
            <w:vAlign w:val="center"/>
          </w:tcPr>
          <w:p w14:paraId="3C3AB732" w14:textId="77777777" w:rsidR="006F5D6F" w:rsidRPr="00D90C26" w:rsidRDefault="006F5D6F" w:rsidP="00B34C91">
            <w:pPr>
              <w:spacing w:after="0" w:line="240" w:lineRule="auto"/>
              <w:jc w:val="right"/>
              <w:rPr>
                <w:rFonts w:eastAsia="Calibri" w:cs="Segoe UI"/>
                <w:b/>
                <w:color w:val="FFFFFF"/>
                <w:sz w:val="18"/>
                <w:szCs w:val="16"/>
              </w:rPr>
            </w:pPr>
            <w:r>
              <w:rPr>
                <w:rFonts w:eastAsia="Calibri" w:cs="Segoe UI"/>
                <w:b/>
                <w:color w:val="FFFFFF"/>
                <w:sz w:val="18"/>
                <w:szCs w:val="18"/>
              </w:rPr>
              <w:t>YoY</w:t>
            </w:r>
          </w:p>
        </w:tc>
      </w:tr>
      <w:tr w:rsidR="006F5D6F" w:rsidRPr="00EC6614" w14:paraId="554966C4" w14:textId="77777777" w:rsidTr="00B34C91">
        <w:trPr>
          <w:trHeight w:val="283"/>
          <w:jc w:val="center"/>
        </w:trPr>
        <w:tc>
          <w:tcPr>
            <w:tcW w:w="1292" w:type="pct"/>
            <w:shd w:val="clear" w:color="auto" w:fill="auto"/>
            <w:vAlign w:val="center"/>
          </w:tcPr>
          <w:p w14:paraId="248D09D4"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
                <w:bCs/>
                <w:sz w:val="18"/>
                <w:szCs w:val="18"/>
              </w:rPr>
              <w:t>Bežné výdavky</w:t>
            </w:r>
          </w:p>
        </w:tc>
        <w:tc>
          <w:tcPr>
            <w:tcW w:w="680" w:type="pct"/>
            <w:shd w:val="clear" w:color="auto" w:fill="auto"/>
            <w:vAlign w:val="center"/>
          </w:tcPr>
          <w:p w14:paraId="51BECBBA" w14:textId="77777777" w:rsidR="006F5D6F" w:rsidRPr="00F41326" w:rsidRDefault="006F5D6F" w:rsidP="00B34C91">
            <w:pPr>
              <w:spacing w:after="0" w:line="240" w:lineRule="auto"/>
              <w:jc w:val="right"/>
              <w:rPr>
                <w:rFonts w:eastAsia="Times New Roman" w:cs="Segoe UI"/>
                <w:b/>
                <w:bCs/>
                <w:color w:val="000000"/>
                <w:sz w:val="18"/>
                <w:szCs w:val="18"/>
                <w:lang w:eastAsia="sk-SK"/>
              </w:rPr>
            </w:pPr>
            <w:r w:rsidRPr="00F41326">
              <w:rPr>
                <w:rFonts w:eastAsia="Times New Roman" w:cs="Segoe UI"/>
                <w:b/>
                <w:bCs/>
                <w:color w:val="000000"/>
                <w:sz w:val="18"/>
                <w:szCs w:val="18"/>
                <w:lang w:eastAsia="sk-SK"/>
              </w:rPr>
              <w:t>21 771 263</w:t>
            </w:r>
          </w:p>
        </w:tc>
        <w:tc>
          <w:tcPr>
            <w:tcW w:w="682" w:type="pct"/>
            <w:shd w:val="clear" w:color="auto" w:fill="auto"/>
            <w:vAlign w:val="center"/>
          </w:tcPr>
          <w:p w14:paraId="1F9A83E0"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22 831 612</w:t>
            </w:r>
          </w:p>
        </w:tc>
        <w:tc>
          <w:tcPr>
            <w:tcW w:w="679" w:type="pct"/>
            <w:shd w:val="clear" w:color="auto" w:fill="auto"/>
            <w:vAlign w:val="center"/>
          </w:tcPr>
          <w:p w14:paraId="05C1F209"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21 188 724</w:t>
            </w:r>
          </w:p>
        </w:tc>
        <w:tc>
          <w:tcPr>
            <w:tcW w:w="682" w:type="pct"/>
            <w:shd w:val="clear" w:color="auto" w:fill="auto"/>
            <w:vAlign w:val="center"/>
          </w:tcPr>
          <w:p w14:paraId="7C6EE595"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20 847 550</w:t>
            </w:r>
          </w:p>
        </w:tc>
        <w:tc>
          <w:tcPr>
            <w:tcW w:w="606" w:type="pct"/>
            <w:shd w:val="clear" w:color="auto" w:fill="auto"/>
            <w:vAlign w:val="center"/>
          </w:tcPr>
          <w:p w14:paraId="456A8CAD" w14:textId="77777777" w:rsidR="006F5D6F" w:rsidRPr="00E77947" w:rsidRDefault="006F5D6F" w:rsidP="00B34C91">
            <w:pPr>
              <w:spacing w:after="0" w:line="240" w:lineRule="auto"/>
              <w:jc w:val="right"/>
              <w:rPr>
                <w:rFonts w:eastAsia="Times New Roman" w:cs="Segoe UI"/>
                <w:b/>
                <w:color w:val="000000"/>
                <w:sz w:val="18"/>
                <w:szCs w:val="18"/>
                <w:lang w:eastAsia="sk-SK"/>
              </w:rPr>
            </w:pPr>
            <w:r w:rsidRPr="00E77947">
              <w:rPr>
                <w:rFonts w:eastAsia="Times New Roman" w:cs="Segoe UI"/>
                <w:b/>
                <w:color w:val="000000"/>
                <w:sz w:val="18"/>
                <w:szCs w:val="18"/>
                <w:lang w:eastAsia="sk-SK"/>
              </w:rPr>
              <w:t>-1 984 062</w:t>
            </w:r>
          </w:p>
        </w:tc>
        <w:tc>
          <w:tcPr>
            <w:tcW w:w="379" w:type="pct"/>
            <w:shd w:val="clear" w:color="auto" w:fill="auto"/>
            <w:vAlign w:val="center"/>
          </w:tcPr>
          <w:p w14:paraId="23A392F4" w14:textId="77777777" w:rsidR="006F5D6F" w:rsidRPr="00F41326" w:rsidRDefault="006F5D6F" w:rsidP="00B34C91">
            <w:pPr>
              <w:spacing w:after="0" w:line="240" w:lineRule="auto"/>
              <w:jc w:val="right"/>
              <w:rPr>
                <w:rFonts w:eastAsia="Times New Roman" w:cs="Segoe UI"/>
                <w:b/>
                <w:bCs/>
                <w:color w:val="000000"/>
                <w:sz w:val="18"/>
                <w:szCs w:val="18"/>
                <w:lang w:eastAsia="sk-SK"/>
              </w:rPr>
            </w:pPr>
            <w:r w:rsidRPr="00F41326">
              <w:rPr>
                <w:rFonts w:eastAsia="Times New Roman" w:cs="Segoe UI"/>
                <w:b/>
                <w:bCs/>
                <w:color w:val="000000"/>
                <w:sz w:val="18"/>
                <w:szCs w:val="18"/>
                <w:lang w:eastAsia="sk-SK"/>
              </w:rPr>
              <w:t>95,8</w:t>
            </w:r>
          </w:p>
        </w:tc>
      </w:tr>
      <w:tr w:rsidR="006F5D6F" w:rsidRPr="00EC6614" w14:paraId="0A303CD8" w14:textId="77777777" w:rsidTr="00B34C91">
        <w:trPr>
          <w:trHeight w:val="283"/>
          <w:jc w:val="center"/>
        </w:trPr>
        <w:tc>
          <w:tcPr>
            <w:tcW w:w="1292" w:type="pct"/>
            <w:vAlign w:val="center"/>
          </w:tcPr>
          <w:p w14:paraId="7BF85C05"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Cs/>
                <w:sz w:val="18"/>
                <w:szCs w:val="18"/>
              </w:rPr>
              <w:t>Mzdy, platy, služobné príjmy a ostatné osobné výdavky</w:t>
            </w:r>
          </w:p>
        </w:tc>
        <w:tc>
          <w:tcPr>
            <w:tcW w:w="680" w:type="pct"/>
            <w:vAlign w:val="center"/>
          </w:tcPr>
          <w:p w14:paraId="01EF1E76"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2 624 189</w:t>
            </w:r>
          </w:p>
        </w:tc>
        <w:tc>
          <w:tcPr>
            <w:tcW w:w="682" w:type="pct"/>
            <w:vAlign w:val="center"/>
          </w:tcPr>
          <w:p w14:paraId="4D70450C"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2 632 891</w:t>
            </w:r>
          </w:p>
        </w:tc>
        <w:tc>
          <w:tcPr>
            <w:tcW w:w="679" w:type="pct"/>
            <w:vAlign w:val="center"/>
          </w:tcPr>
          <w:p w14:paraId="6715AF55"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2 713 906</w:t>
            </w:r>
          </w:p>
        </w:tc>
        <w:tc>
          <w:tcPr>
            <w:tcW w:w="682" w:type="pct"/>
            <w:vAlign w:val="center"/>
          </w:tcPr>
          <w:p w14:paraId="45F435C8"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2 701 444</w:t>
            </w:r>
          </w:p>
        </w:tc>
        <w:tc>
          <w:tcPr>
            <w:tcW w:w="606" w:type="pct"/>
            <w:vAlign w:val="center"/>
          </w:tcPr>
          <w:p w14:paraId="44C014B2"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68 553</w:t>
            </w:r>
          </w:p>
        </w:tc>
        <w:tc>
          <w:tcPr>
            <w:tcW w:w="379" w:type="pct"/>
            <w:vAlign w:val="center"/>
          </w:tcPr>
          <w:p w14:paraId="17E6BEBE"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102,9</w:t>
            </w:r>
          </w:p>
        </w:tc>
      </w:tr>
      <w:tr w:rsidR="006F5D6F" w:rsidRPr="00EC6614" w14:paraId="6839F3C4" w14:textId="77777777" w:rsidTr="00B34C91">
        <w:trPr>
          <w:trHeight w:val="283"/>
          <w:jc w:val="center"/>
        </w:trPr>
        <w:tc>
          <w:tcPr>
            <w:tcW w:w="1292" w:type="pct"/>
            <w:vAlign w:val="center"/>
          </w:tcPr>
          <w:p w14:paraId="779AD852"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Cs/>
                <w:sz w:val="18"/>
                <w:szCs w:val="18"/>
              </w:rPr>
              <w:t>Poistné a príspevok do poisťovní</w:t>
            </w:r>
          </w:p>
        </w:tc>
        <w:tc>
          <w:tcPr>
            <w:tcW w:w="680" w:type="pct"/>
            <w:vAlign w:val="center"/>
          </w:tcPr>
          <w:p w14:paraId="0A69C84A"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953 726</w:t>
            </w:r>
          </w:p>
        </w:tc>
        <w:tc>
          <w:tcPr>
            <w:tcW w:w="682" w:type="pct"/>
            <w:vAlign w:val="center"/>
          </w:tcPr>
          <w:p w14:paraId="17357429"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930 997</w:t>
            </w:r>
          </w:p>
        </w:tc>
        <w:tc>
          <w:tcPr>
            <w:tcW w:w="679" w:type="pct"/>
            <w:vAlign w:val="center"/>
          </w:tcPr>
          <w:p w14:paraId="78B601FD"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983 231</w:t>
            </w:r>
          </w:p>
        </w:tc>
        <w:tc>
          <w:tcPr>
            <w:tcW w:w="682" w:type="pct"/>
            <w:vAlign w:val="center"/>
          </w:tcPr>
          <w:p w14:paraId="7977307B"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984 500</w:t>
            </w:r>
          </w:p>
        </w:tc>
        <w:tc>
          <w:tcPr>
            <w:tcW w:w="606" w:type="pct"/>
            <w:vAlign w:val="center"/>
          </w:tcPr>
          <w:p w14:paraId="6C8BDC56"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53 503</w:t>
            </w:r>
          </w:p>
        </w:tc>
        <w:tc>
          <w:tcPr>
            <w:tcW w:w="379" w:type="pct"/>
            <w:vAlign w:val="center"/>
          </w:tcPr>
          <w:p w14:paraId="4C90C09C"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103,2</w:t>
            </w:r>
          </w:p>
        </w:tc>
      </w:tr>
      <w:tr w:rsidR="006F5D6F" w:rsidRPr="00EC6614" w14:paraId="49C22602" w14:textId="77777777" w:rsidTr="00B34C91">
        <w:trPr>
          <w:trHeight w:val="283"/>
          <w:jc w:val="center"/>
        </w:trPr>
        <w:tc>
          <w:tcPr>
            <w:tcW w:w="1292" w:type="pct"/>
            <w:vAlign w:val="center"/>
          </w:tcPr>
          <w:p w14:paraId="124990E7"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Cs/>
                <w:sz w:val="18"/>
                <w:szCs w:val="18"/>
              </w:rPr>
              <w:t>Tovary a služby</w:t>
            </w:r>
          </w:p>
        </w:tc>
        <w:tc>
          <w:tcPr>
            <w:tcW w:w="680" w:type="pct"/>
            <w:vAlign w:val="center"/>
          </w:tcPr>
          <w:p w14:paraId="2B48BA92"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2 358 055</w:t>
            </w:r>
          </w:p>
        </w:tc>
        <w:tc>
          <w:tcPr>
            <w:tcW w:w="682" w:type="pct"/>
            <w:vAlign w:val="center"/>
          </w:tcPr>
          <w:p w14:paraId="202A45E9"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5 899 865</w:t>
            </w:r>
          </w:p>
        </w:tc>
        <w:tc>
          <w:tcPr>
            <w:tcW w:w="679" w:type="pct"/>
            <w:vAlign w:val="center"/>
          </w:tcPr>
          <w:p w14:paraId="10C8D171"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2 433 419</w:t>
            </w:r>
          </w:p>
        </w:tc>
        <w:tc>
          <w:tcPr>
            <w:tcW w:w="682" w:type="pct"/>
            <w:vAlign w:val="center"/>
          </w:tcPr>
          <w:p w14:paraId="03178EB5"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2 338 207</w:t>
            </w:r>
          </w:p>
        </w:tc>
        <w:tc>
          <w:tcPr>
            <w:tcW w:w="606" w:type="pct"/>
            <w:vAlign w:val="center"/>
          </w:tcPr>
          <w:p w14:paraId="39CA6123"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-3 561 658</w:t>
            </w:r>
          </w:p>
        </w:tc>
        <w:tc>
          <w:tcPr>
            <w:tcW w:w="379" w:type="pct"/>
            <w:vAlign w:val="center"/>
          </w:tcPr>
          <w:p w14:paraId="23FD5C14"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99,2</w:t>
            </w:r>
          </w:p>
        </w:tc>
      </w:tr>
      <w:tr w:rsidR="006F5D6F" w:rsidRPr="00EC6614" w14:paraId="00850DC6" w14:textId="77777777" w:rsidTr="00B34C91">
        <w:trPr>
          <w:trHeight w:val="283"/>
          <w:jc w:val="center"/>
        </w:trPr>
        <w:tc>
          <w:tcPr>
            <w:tcW w:w="1292" w:type="pct"/>
            <w:vAlign w:val="center"/>
          </w:tcPr>
          <w:p w14:paraId="38390427"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Cs/>
                <w:sz w:val="18"/>
                <w:szCs w:val="18"/>
              </w:rPr>
              <w:t>Bežné transfery</w:t>
            </w:r>
          </w:p>
        </w:tc>
        <w:tc>
          <w:tcPr>
            <w:tcW w:w="680" w:type="pct"/>
            <w:vAlign w:val="center"/>
          </w:tcPr>
          <w:p w14:paraId="7E611572"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15 835 023</w:t>
            </w:r>
          </w:p>
        </w:tc>
        <w:tc>
          <w:tcPr>
            <w:tcW w:w="682" w:type="pct"/>
            <w:vAlign w:val="center"/>
          </w:tcPr>
          <w:p w14:paraId="6D80A8FA"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13 367 589</w:t>
            </w:r>
          </w:p>
        </w:tc>
        <w:tc>
          <w:tcPr>
            <w:tcW w:w="679" w:type="pct"/>
            <w:vAlign w:val="center"/>
          </w:tcPr>
          <w:p w14:paraId="7BDF74AE"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15 057 898</w:t>
            </w:r>
          </w:p>
        </w:tc>
        <w:tc>
          <w:tcPr>
            <w:tcW w:w="682" w:type="pct"/>
            <w:vAlign w:val="center"/>
          </w:tcPr>
          <w:p w14:paraId="468C2CC6"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14 823 129</w:t>
            </w:r>
          </w:p>
        </w:tc>
        <w:tc>
          <w:tcPr>
            <w:tcW w:w="606" w:type="pct"/>
            <w:vAlign w:val="center"/>
          </w:tcPr>
          <w:p w14:paraId="0A9E819F"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1 455 540</w:t>
            </w:r>
          </w:p>
        </w:tc>
        <w:tc>
          <w:tcPr>
            <w:tcW w:w="379" w:type="pct"/>
            <w:vAlign w:val="center"/>
          </w:tcPr>
          <w:p w14:paraId="7DDF747E"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93,6</w:t>
            </w:r>
          </w:p>
        </w:tc>
      </w:tr>
      <w:tr w:rsidR="006F5D6F" w:rsidRPr="00EC6614" w14:paraId="18303B87" w14:textId="77777777" w:rsidTr="00B34C91">
        <w:trPr>
          <w:trHeight w:val="283"/>
          <w:jc w:val="center"/>
        </w:trPr>
        <w:tc>
          <w:tcPr>
            <w:tcW w:w="1292" w:type="pct"/>
            <w:vAlign w:val="center"/>
          </w:tcPr>
          <w:p w14:paraId="0B6E0C1F"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Cs/>
                <w:sz w:val="18"/>
                <w:szCs w:val="18"/>
              </w:rPr>
              <w:t>Splácanie úrokov a ostatné platby súvisiace s úvermi</w:t>
            </w:r>
          </w:p>
        </w:tc>
        <w:tc>
          <w:tcPr>
            <w:tcW w:w="680" w:type="pct"/>
            <w:vAlign w:val="center"/>
          </w:tcPr>
          <w:p w14:paraId="17D3B4AB"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270</w:t>
            </w:r>
          </w:p>
        </w:tc>
        <w:tc>
          <w:tcPr>
            <w:tcW w:w="682" w:type="pct"/>
            <w:vAlign w:val="center"/>
          </w:tcPr>
          <w:p w14:paraId="2FC6B3F7"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270</w:t>
            </w:r>
          </w:p>
        </w:tc>
        <w:tc>
          <w:tcPr>
            <w:tcW w:w="679" w:type="pct"/>
            <w:vAlign w:val="center"/>
          </w:tcPr>
          <w:p w14:paraId="74F2D086"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270</w:t>
            </w:r>
          </w:p>
        </w:tc>
        <w:tc>
          <w:tcPr>
            <w:tcW w:w="682" w:type="pct"/>
            <w:vAlign w:val="center"/>
          </w:tcPr>
          <w:p w14:paraId="2236994F"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270</w:t>
            </w:r>
          </w:p>
        </w:tc>
        <w:tc>
          <w:tcPr>
            <w:tcW w:w="606" w:type="pct"/>
            <w:vAlign w:val="center"/>
          </w:tcPr>
          <w:p w14:paraId="23A427DE"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0</w:t>
            </w:r>
          </w:p>
        </w:tc>
        <w:tc>
          <w:tcPr>
            <w:tcW w:w="379" w:type="pct"/>
            <w:vAlign w:val="center"/>
          </w:tcPr>
          <w:p w14:paraId="6B9A4404"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100,0</w:t>
            </w:r>
          </w:p>
        </w:tc>
      </w:tr>
      <w:tr w:rsidR="006F5D6F" w:rsidRPr="00EC6614" w14:paraId="0738A44D" w14:textId="77777777" w:rsidTr="00B34C91">
        <w:trPr>
          <w:trHeight w:val="283"/>
          <w:jc w:val="center"/>
        </w:trPr>
        <w:tc>
          <w:tcPr>
            <w:tcW w:w="1292" w:type="pct"/>
            <w:vAlign w:val="center"/>
          </w:tcPr>
          <w:p w14:paraId="0D685714"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
                <w:bCs/>
                <w:sz w:val="18"/>
                <w:szCs w:val="18"/>
              </w:rPr>
              <w:t>Kapitálové výdavky</w:t>
            </w:r>
          </w:p>
        </w:tc>
        <w:tc>
          <w:tcPr>
            <w:tcW w:w="680" w:type="pct"/>
            <w:vAlign w:val="center"/>
          </w:tcPr>
          <w:p w14:paraId="76E1541B" w14:textId="77777777" w:rsidR="006F5D6F" w:rsidRPr="00F41326" w:rsidRDefault="006F5D6F" w:rsidP="00B34C91">
            <w:pPr>
              <w:spacing w:after="0" w:line="240" w:lineRule="auto"/>
              <w:jc w:val="right"/>
              <w:rPr>
                <w:rFonts w:eastAsia="Times New Roman" w:cs="Segoe UI"/>
                <w:b/>
                <w:bCs/>
                <w:color w:val="000000"/>
                <w:sz w:val="18"/>
                <w:szCs w:val="18"/>
                <w:lang w:eastAsia="sk-SK"/>
              </w:rPr>
            </w:pPr>
            <w:r w:rsidRPr="00F41326">
              <w:rPr>
                <w:rFonts w:eastAsia="Times New Roman" w:cs="Segoe UI"/>
                <w:b/>
                <w:bCs/>
                <w:color w:val="000000"/>
                <w:sz w:val="18"/>
                <w:szCs w:val="18"/>
                <w:lang w:eastAsia="sk-SK"/>
              </w:rPr>
              <w:t>2 440 161</w:t>
            </w:r>
          </w:p>
        </w:tc>
        <w:tc>
          <w:tcPr>
            <w:tcW w:w="682" w:type="pct"/>
            <w:vAlign w:val="center"/>
          </w:tcPr>
          <w:p w14:paraId="3D6498B4"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4 113 805</w:t>
            </w:r>
          </w:p>
        </w:tc>
        <w:tc>
          <w:tcPr>
            <w:tcW w:w="679" w:type="pct"/>
            <w:vAlign w:val="center"/>
          </w:tcPr>
          <w:p w14:paraId="574305D5"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2 806 375</w:t>
            </w:r>
          </w:p>
        </w:tc>
        <w:tc>
          <w:tcPr>
            <w:tcW w:w="682" w:type="pct"/>
            <w:vAlign w:val="center"/>
          </w:tcPr>
          <w:p w14:paraId="4143B16B"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2 707 005</w:t>
            </w:r>
          </w:p>
        </w:tc>
        <w:tc>
          <w:tcPr>
            <w:tcW w:w="606" w:type="pct"/>
            <w:vAlign w:val="center"/>
          </w:tcPr>
          <w:p w14:paraId="5CFA2512" w14:textId="77777777" w:rsidR="006F5D6F" w:rsidRPr="00E77947" w:rsidRDefault="006F5D6F" w:rsidP="00B34C91">
            <w:pPr>
              <w:spacing w:after="0" w:line="240" w:lineRule="auto"/>
              <w:jc w:val="right"/>
              <w:rPr>
                <w:rFonts w:eastAsia="Times New Roman" w:cs="Segoe UI"/>
                <w:b/>
                <w:color w:val="000000"/>
                <w:sz w:val="18"/>
                <w:szCs w:val="18"/>
                <w:lang w:eastAsia="sk-SK"/>
              </w:rPr>
            </w:pPr>
            <w:r w:rsidRPr="00E77947">
              <w:rPr>
                <w:rFonts w:eastAsia="Times New Roman" w:cs="Segoe UI"/>
                <w:b/>
                <w:color w:val="000000"/>
                <w:sz w:val="18"/>
                <w:szCs w:val="18"/>
                <w:lang w:eastAsia="sk-SK"/>
              </w:rPr>
              <w:t>-1 406 800</w:t>
            </w:r>
          </w:p>
        </w:tc>
        <w:tc>
          <w:tcPr>
            <w:tcW w:w="379" w:type="pct"/>
            <w:vAlign w:val="center"/>
          </w:tcPr>
          <w:p w14:paraId="036CFD28" w14:textId="77777777" w:rsidR="006F5D6F" w:rsidRPr="00F41326" w:rsidRDefault="006F5D6F" w:rsidP="00B34C91">
            <w:pPr>
              <w:spacing w:after="0" w:line="240" w:lineRule="auto"/>
              <w:jc w:val="right"/>
              <w:rPr>
                <w:rFonts w:eastAsia="Times New Roman" w:cs="Segoe UI"/>
                <w:b/>
                <w:bCs/>
                <w:color w:val="000000"/>
                <w:sz w:val="18"/>
                <w:szCs w:val="18"/>
                <w:lang w:eastAsia="sk-SK"/>
              </w:rPr>
            </w:pPr>
            <w:r w:rsidRPr="00F41326">
              <w:rPr>
                <w:rFonts w:eastAsia="Times New Roman" w:cs="Segoe UI"/>
                <w:b/>
                <w:bCs/>
                <w:color w:val="000000"/>
                <w:sz w:val="18"/>
                <w:szCs w:val="18"/>
                <w:lang w:eastAsia="sk-SK"/>
              </w:rPr>
              <w:t>110,9</w:t>
            </w:r>
          </w:p>
        </w:tc>
      </w:tr>
      <w:tr w:rsidR="006F5D6F" w:rsidRPr="00EC6614" w14:paraId="2A1F3F9D" w14:textId="77777777" w:rsidTr="00B34C91">
        <w:trPr>
          <w:trHeight w:val="283"/>
          <w:jc w:val="center"/>
        </w:trPr>
        <w:tc>
          <w:tcPr>
            <w:tcW w:w="1292" w:type="pct"/>
            <w:vAlign w:val="center"/>
          </w:tcPr>
          <w:p w14:paraId="2303DD5D"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Cs/>
                <w:sz w:val="18"/>
                <w:szCs w:val="18"/>
              </w:rPr>
              <w:t>Obstarávanie kapitál</w:t>
            </w:r>
            <w:r>
              <w:rPr>
                <w:rFonts w:eastAsia="Calibri" w:cs="Segoe UI"/>
                <w:bCs/>
                <w:sz w:val="18"/>
                <w:szCs w:val="18"/>
              </w:rPr>
              <w:t>.</w:t>
            </w:r>
            <w:r w:rsidRPr="00D90C26">
              <w:rPr>
                <w:rFonts w:eastAsia="Calibri" w:cs="Segoe UI"/>
                <w:bCs/>
                <w:sz w:val="18"/>
                <w:szCs w:val="18"/>
              </w:rPr>
              <w:t xml:space="preserve"> aktív</w:t>
            </w:r>
          </w:p>
        </w:tc>
        <w:tc>
          <w:tcPr>
            <w:tcW w:w="680" w:type="pct"/>
            <w:vAlign w:val="center"/>
          </w:tcPr>
          <w:p w14:paraId="665005E2"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1 025 607</w:t>
            </w:r>
          </w:p>
        </w:tc>
        <w:tc>
          <w:tcPr>
            <w:tcW w:w="682" w:type="pct"/>
            <w:vAlign w:val="center"/>
          </w:tcPr>
          <w:p w14:paraId="26FEABC9"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2 258 374</w:t>
            </w:r>
          </w:p>
        </w:tc>
        <w:tc>
          <w:tcPr>
            <w:tcW w:w="679" w:type="pct"/>
            <w:vAlign w:val="center"/>
          </w:tcPr>
          <w:p w14:paraId="1310FB17"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1 263 514</w:t>
            </w:r>
          </w:p>
        </w:tc>
        <w:tc>
          <w:tcPr>
            <w:tcW w:w="682" w:type="pct"/>
            <w:vAlign w:val="center"/>
          </w:tcPr>
          <w:p w14:paraId="0D7D5642"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1 183 009</w:t>
            </w:r>
          </w:p>
        </w:tc>
        <w:tc>
          <w:tcPr>
            <w:tcW w:w="606" w:type="pct"/>
            <w:vAlign w:val="center"/>
          </w:tcPr>
          <w:p w14:paraId="1C62DE99"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-1 075 365</w:t>
            </w:r>
          </w:p>
        </w:tc>
        <w:tc>
          <w:tcPr>
            <w:tcW w:w="379" w:type="pct"/>
            <w:vAlign w:val="center"/>
          </w:tcPr>
          <w:p w14:paraId="1802450A"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115,3</w:t>
            </w:r>
          </w:p>
        </w:tc>
      </w:tr>
      <w:tr w:rsidR="006F5D6F" w:rsidRPr="00EC6614" w14:paraId="1DA68C6A" w14:textId="77777777" w:rsidTr="00B34C91">
        <w:trPr>
          <w:trHeight w:val="283"/>
          <w:jc w:val="center"/>
        </w:trPr>
        <w:tc>
          <w:tcPr>
            <w:tcW w:w="1292" w:type="pct"/>
            <w:vAlign w:val="center"/>
          </w:tcPr>
          <w:p w14:paraId="0BD83F9B"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Cs/>
                <w:sz w:val="18"/>
                <w:szCs w:val="18"/>
              </w:rPr>
              <w:t>Kapitálové transfery</w:t>
            </w:r>
          </w:p>
        </w:tc>
        <w:tc>
          <w:tcPr>
            <w:tcW w:w="680" w:type="pct"/>
            <w:vAlign w:val="center"/>
          </w:tcPr>
          <w:p w14:paraId="020CE16C"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1 414 554</w:t>
            </w:r>
          </w:p>
        </w:tc>
        <w:tc>
          <w:tcPr>
            <w:tcW w:w="682" w:type="pct"/>
            <w:vAlign w:val="center"/>
          </w:tcPr>
          <w:p w14:paraId="4330A3FB"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1 855 431</w:t>
            </w:r>
          </w:p>
        </w:tc>
        <w:tc>
          <w:tcPr>
            <w:tcW w:w="679" w:type="pct"/>
            <w:vAlign w:val="center"/>
          </w:tcPr>
          <w:p w14:paraId="3C0FB36C"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1 542 861</w:t>
            </w:r>
          </w:p>
        </w:tc>
        <w:tc>
          <w:tcPr>
            <w:tcW w:w="682" w:type="pct"/>
            <w:vAlign w:val="center"/>
          </w:tcPr>
          <w:p w14:paraId="4162FB8B" w14:textId="77777777" w:rsidR="006F5D6F" w:rsidRPr="00F41326" w:rsidRDefault="006F5D6F" w:rsidP="00B34C91">
            <w:pPr>
              <w:spacing w:after="0" w:line="240" w:lineRule="auto"/>
              <w:jc w:val="right"/>
              <w:rPr>
                <w:rFonts w:eastAsia="Times New Roman" w:cs="Segoe UI"/>
                <w:sz w:val="18"/>
                <w:szCs w:val="18"/>
                <w:lang w:eastAsia="sk-SK"/>
              </w:rPr>
            </w:pPr>
            <w:r w:rsidRPr="00F41326">
              <w:rPr>
                <w:rFonts w:eastAsia="Times New Roman" w:cs="Segoe UI"/>
                <w:sz w:val="18"/>
                <w:szCs w:val="18"/>
                <w:lang w:eastAsia="sk-SK"/>
              </w:rPr>
              <w:t>1 523 996</w:t>
            </w:r>
          </w:p>
        </w:tc>
        <w:tc>
          <w:tcPr>
            <w:tcW w:w="606" w:type="pct"/>
            <w:vAlign w:val="center"/>
          </w:tcPr>
          <w:p w14:paraId="0D58DE03"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-331 435</w:t>
            </w:r>
          </w:p>
        </w:tc>
        <w:tc>
          <w:tcPr>
            <w:tcW w:w="379" w:type="pct"/>
            <w:vAlign w:val="center"/>
          </w:tcPr>
          <w:p w14:paraId="2549DCC1" w14:textId="77777777" w:rsidR="006F5D6F" w:rsidRPr="00F41326" w:rsidRDefault="006F5D6F" w:rsidP="00B34C91">
            <w:pPr>
              <w:spacing w:after="0" w:line="240" w:lineRule="auto"/>
              <w:jc w:val="right"/>
              <w:rPr>
                <w:rFonts w:eastAsia="Times New Roman" w:cs="Segoe UI"/>
                <w:color w:val="000000"/>
                <w:sz w:val="18"/>
                <w:szCs w:val="18"/>
                <w:lang w:eastAsia="sk-SK"/>
              </w:rPr>
            </w:pPr>
            <w:r w:rsidRPr="00F41326">
              <w:rPr>
                <w:rFonts w:eastAsia="Times New Roman" w:cs="Segoe UI"/>
                <w:color w:val="000000"/>
                <w:sz w:val="18"/>
                <w:szCs w:val="18"/>
                <w:lang w:eastAsia="sk-SK"/>
              </w:rPr>
              <w:t>107,7</w:t>
            </w:r>
          </w:p>
        </w:tc>
      </w:tr>
      <w:tr w:rsidR="006F5D6F" w:rsidRPr="00EC6614" w14:paraId="760CD62A" w14:textId="77777777" w:rsidTr="00B34C91">
        <w:trPr>
          <w:trHeight w:val="283"/>
          <w:jc w:val="center"/>
        </w:trPr>
        <w:tc>
          <w:tcPr>
            <w:tcW w:w="1292" w:type="pct"/>
            <w:vAlign w:val="center"/>
          </w:tcPr>
          <w:p w14:paraId="1965901B" w14:textId="77777777" w:rsidR="006F5D6F" w:rsidRPr="00EC6614" w:rsidRDefault="006F5D6F" w:rsidP="00B34C91">
            <w:pPr>
              <w:spacing w:after="0" w:line="240" w:lineRule="auto"/>
              <w:ind w:right="-106"/>
              <w:jc w:val="left"/>
              <w:rPr>
                <w:rFonts w:eastAsia="Calibri" w:cs="Segoe UI"/>
                <w:sz w:val="18"/>
                <w:szCs w:val="16"/>
              </w:rPr>
            </w:pPr>
            <w:r w:rsidRPr="00D90C26">
              <w:rPr>
                <w:rFonts w:eastAsia="Calibri" w:cs="Segoe UI"/>
                <w:b/>
                <w:bCs/>
                <w:sz w:val="18"/>
                <w:szCs w:val="18"/>
              </w:rPr>
              <w:t>Výdavky spolu</w:t>
            </w:r>
          </w:p>
        </w:tc>
        <w:tc>
          <w:tcPr>
            <w:tcW w:w="680" w:type="pct"/>
            <w:vAlign w:val="center"/>
          </w:tcPr>
          <w:p w14:paraId="68562E3A" w14:textId="77777777" w:rsidR="006F5D6F" w:rsidRPr="00F41326" w:rsidRDefault="006F5D6F" w:rsidP="00B34C91">
            <w:pPr>
              <w:spacing w:after="0" w:line="240" w:lineRule="auto"/>
              <w:jc w:val="right"/>
              <w:rPr>
                <w:rFonts w:eastAsia="Times New Roman" w:cs="Segoe UI"/>
                <w:b/>
                <w:bCs/>
                <w:color w:val="000000"/>
                <w:sz w:val="18"/>
                <w:szCs w:val="18"/>
                <w:lang w:eastAsia="sk-SK"/>
              </w:rPr>
            </w:pPr>
            <w:r w:rsidRPr="00F41326">
              <w:rPr>
                <w:rFonts w:eastAsia="Times New Roman" w:cs="Segoe UI"/>
                <w:b/>
                <w:bCs/>
                <w:color w:val="000000"/>
                <w:sz w:val="18"/>
                <w:szCs w:val="18"/>
                <w:lang w:eastAsia="sk-SK"/>
              </w:rPr>
              <w:t>24 211 424</w:t>
            </w:r>
          </w:p>
        </w:tc>
        <w:tc>
          <w:tcPr>
            <w:tcW w:w="682" w:type="pct"/>
            <w:vAlign w:val="center"/>
          </w:tcPr>
          <w:p w14:paraId="4D385FC8"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26 945 417</w:t>
            </w:r>
          </w:p>
        </w:tc>
        <w:tc>
          <w:tcPr>
            <w:tcW w:w="679" w:type="pct"/>
            <w:vAlign w:val="center"/>
          </w:tcPr>
          <w:p w14:paraId="06BF470A"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23 995 099</w:t>
            </w:r>
          </w:p>
        </w:tc>
        <w:tc>
          <w:tcPr>
            <w:tcW w:w="682" w:type="pct"/>
            <w:vAlign w:val="center"/>
          </w:tcPr>
          <w:p w14:paraId="7314F3C4" w14:textId="77777777" w:rsidR="006F5D6F" w:rsidRPr="00F41326" w:rsidRDefault="006F5D6F" w:rsidP="00B34C91">
            <w:pPr>
              <w:spacing w:after="0" w:line="240" w:lineRule="auto"/>
              <w:jc w:val="right"/>
              <w:rPr>
                <w:rFonts w:eastAsia="Times New Roman" w:cs="Segoe UI"/>
                <w:b/>
                <w:bCs/>
                <w:sz w:val="18"/>
                <w:szCs w:val="18"/>
                <w:lang w:eastAsia="sk-SK"/>
              </w:rPr>
            </w:pPr>
            <w:r w:rsidRPr="00F41326">
              <w:rPr>
                <w:rFonts w:eastAsia="Times New Roman" w:cs="Segoe UI"/>
                <w:b/>
                <w:bCs/>
                <w:sz w:val="18"/>
                <w:szCs w:val="18"/>
                <w:lang w:eastAsia="sk-SK"/>
              </w:rPr>
              <w:t>23 554 555</w:t>
            </w:r>
          </w:p>
        </w:tc>
        <w:tc>
          <w:tcPr>
            <w:tcW w:w="606" w:type="pct"/>
            <w:vAlign w:val="center"/>
          </w:tcPr>
          <w:p w14:paraId="05D89BB2" w14:textId="77777777" w:rsidR="006F5D6F" w:rsidRPr="00E77947" w:rsidRDefault="006F5D6F" w:rsidP="00B34C91">
            <w:pPr>
              <w:spacing w:after="0" w:line="240" w:lineRule="auto"/>
              <w:jc w:val="right"/>
              <w:rPr>
                <w:rFonts w:eastAsia="Times New Roman" w:cs="Segoe UI"/>
                <w:color w:val="000000"/>
                <w:sz w:val="18"/>
                <w:szCs w:val="18"/>
                <w:lang w:eastAsia="sk-SK"/>
              </w:rPr>
            </w:pPr>
            <w:r w:rsidRPr="00E77947">
              <w:rPr>
                <w:rFonts w:eastAsia="Times New Roman" w:cs="Segoe UI"/>
                <w:color w:val="000000"/>
                <w:sz w:val="18"/>
                <w:szCs w:val="18"/>
                <w:lang w:eastAsia="sk-SK"/>
              </w:rPr>
              <w:t>-</w:t>
            </w:r>
            <w:r w:rsidRPr="00E77947">
              <w:rPr>
                <w:rFonts w:eastAsia="Times New Roman" w:cs="Segoe UI"/>
                <w:b/>
                <w:color w:val="000000"/>
                <w:sz w:val="18"/>
                <w:szCs w:val="18"/>
                <w:lang w:eastAsia="sk-SK"/>
              </w:rPr>
              <w:t>3 390 862</w:t>
            </w:r>
          </w:p>
        </w:tc>
        <w:tc>
          <w:tcPr>
            <w:tcW w:w="379" w:type="pct"/>
            <w:vAlign w:val="center"/>
          </w:tcPr>
          <w:p w14:paraId="61D9A7F2" w14:textId="77777777" w:rsidR="006F5D6F" w:rsidRPr="00F41326" w:rsidRDefault="006F5D6F" w:rsidP="00B34C91">
            <w:pPr>
              <w:spacing w:after="0" w:line="240" w:lineRule="auto"/>
              <w:jc w:val="right"/>
              <w:rPr>
                <w:rFonts w:eastAsia="Times New Roman" w:cs="Segoe UI"/>
                <w:b/>
                <w:bCs/>
                <w:color w:val="000000"/>
                <w:sz w:val="18"/>
                <w:szCs w:val="18"/>
                <w:lang w:eastAsia="sk-SK"/>
              </w:rPr>
            </w:pPr>
            <w:r w:rsidRPr="00F41326">
              <w:rPr>
                <w:rFonts w:eastAsia="Times New Roman" w:cs="Segoe UI"/>
                <w:b/>
                <w:bCs/>
                <w:color w:val="000000"/>
                <w:sz w:val="18"/>
                <w:szCs w:val="18"/>
                <w:lang w:eastAsia="sk-SK"/>
              </w:rPr>
              <w:t>97,3</w:t>
            </w:r>
          </w:p>
        </w:tc>
      </w:tr>
    </w:tbl>
    <w:p w14:paraId="6580EEA2" w14:textId="453D834C" w:rsidR="006F5D6F" w:rsidRPr="00D90C26" w:rsidRDefault="006F5D6F" w:rsidP="006F5D6F">
      <w:pPr>
        <w:spacing w:line="240" w:lineRule="auto"/>
        <w:jc w:val="left"/>
        <w:rPr>
          <w:rFonts w:eastAsia="Calibri" w:cs="Times New Roman"/>
          <w:i/>
          <w:color w:val="314364"/>
          <w:sz w:val="16"/>
        </w:rPr>
      </w:pPr>
      <w:r>
        <w:rPr>
          <w:rFonts w:eastAsia="Calibri" w:cs="Times New Roman"/>
          <w:i/>
          <w:color w:val="314364"/>
          <w:sz w:val="16"/>
        </w:rPr>
        <w:t>Zdroj: Návrh ŠZÚ 2022</w:t>
      </w:r>
      <w:r w:rsidR="00F00761">
        <w:rPr>
          <w:rFonts w:eastAsia="Calibri" w:cs="Times New Roman"/>
          <w:i/>
          <w:color w:val="314364"/>
          <w:sz w:val="16"/>
        </w:rPr>
        <w:t>.</w:t>
      </w:r>
      <w:r>
        <w:rPr>
          <w:rFonts w:eastAsia="Calibri" w:cs="Times New Roman"/>
          <w:i/>
          <w:color w:val="314364"/>
          <w:sz w:val="16"/>
        </w:rPr>
        <w:br/>
        <w:t xml:space="preserve">S – skutočnosť, NR – novelizovaný rozpočet, </w:t>
      </w:r>
      <w:r w:rsidR="002351E4">
        <w:rPr>
          <w:rFonts w:eastAsia="Calibri" w:cs="Times New Roman"/>
          <w:i/>
          <w:color w:val="314364"/>
          <w:sz w:val="16"/>
        </w:rPr>
        <w:t xml:space="preserve">UR – upravený rozpočet, </w:t>
      </w:r>
      <w:r>
        <w:rPr>
          <w:rFonts w:eastAsia="Calibri" w:cs="Times New Roman"/>
          <w:i/>
          <w:color w:val="314364"/>
          <w:sz w:val="16"/>
        </w:rPr>
        <w:t>YoY – medziročná zmena</w:t>
      </w:r>
    </w:p>
    <w:p w14:paraId="2E4CD54F" w14:textId="39C0F0AB" w:rsidR="005E65E6" w:rsidRDefault="00866E48" w:rsidP="005E65E6">
      <w:pPr>
        <w:rPr>
          <w:rFonts w:cs="Segoe UI"/>
          <w:szCs w:val="20"/>
        </w:rPr>
      </w:pPr>
      <w:r w:rsidRPr="00EF0780">
        <w:rPr>
          <w:rFonts w:cs="Segoe UI"/>
          <w:b/>
          <w:szCs w:val="20"/>
        </w:rPr>
        <w:t>Skutočné b</w:t>
      </w:r>
      <w:r w:rsidR="005E65E6" w:rsidRPr="00EF0780">
        <w:rPr>
          <w:rFonts w:cs="Segoe UI"/>
          <w:b/>
          <w:szCs w:val="20"/>
        </w:rPr>
        <w:t>ežn</w:t>
      </w:r>
      <w:r w:rsidR="006F5D6F">
        <w:rPr>
          <w:rFonts w:cs="Segoe UI"/>
          <w:b/>
          <w:szCs w:val="20"/>
        </w:rPr>
        <w:t>é</w:t>
      </w:r>
      <w:r w:rsidR="005E65E6" w:rsidRPr="00EF0780">
        <w:rPr>
          <w:rFonts w:cs="Segoe UI"/>
          <w:b/>
          <w:szCs w:val="20"/>
        </w:rPr>
        <w:t xml:space="preserve"> výdavk</w:t>
      </w:r>
      <w:r w:rsidR="006F5D6F">
        <w:rPr>
          <w:rFonts w:cs="Segoe UI"/>
          <w:b/>
          <w:szCs w:val="20"/>
        </w:rPr>
        <w:t>y</w:t>
      </w:r>
      <w:r w:rsidR="005E65E6" w:rsidRPr="00EF0780">
        <w:rPr>
          <w:rFonts w:cs="Segoe UI"/>
          <w:b/>
          <w:szCs w:val="20"/>
        </w:rPr>
        <w:t xml:space="preserve"> </w:t>
      </w:r>
      <w:r w:rsidR="006F5D6F">
        <w:rPr>
          <w:rFonts w:cs="Segoe UI"/>
          <w:b/>
          <w:szCs w:val="20"/>
        </w:rPr>
        <w:t>dosiahli</w:t>
      </w:r>
      <w:r w:rsidR="005E65E6" w:rsidRPr="00EF0780">
        <w:rPr>
          <w:rFonts w:cs="Segoe UI"/>
          <w:b/>
          <w:szCs w:val="20"/>
        </w:rPr>
        <w:t xml:space="preserve"> 20,8 mld. eur, čo bolo oproti rozpočtu nižšie o 2 mld. eur.</w:t>
      </w:r>
      <w:r w:rsidR="005E65E6">
        <w:rPr>
          <w:rFonts w:cs="Segoe UI"/>
          <w:szCs w:val="20"/>
        </w:rPr>
        <w:t xml:space="preserve"> Rozdiel bol najmä </w:t>
      </w:r>
      <w:r w:rsidR="005E65E6" w:rsidRPr="00E77947">
        <w:rPr>
          <w:rFonts w:cs="Segoe UI"/>
          <w:szCs w:val="20"/>
        </w:rPr>
        <w:t>v kategórii tovarov a služieb, kde sa rozpočtovali mimoriadne výdavky na boj s pandémiou, ktorej ,,koniec“ sa ešte záverom roka 2021 predpokladal až za horizontom roka 2022</w:t>
      </w:r>
      <w:r w:rsidR="00A22AD6">
        <w:rPr>
          <w:rFonts w:cs="Segoe UI"/>
          <w:szCs w:val="20"/>
        </w:rPr>
        <w:t>.</w:t>
      </w:r>
    </w:p>
    <w:p w14:paraId="2DE44E4B" w14:textId="0EAB11BE" w:rsidR="005E65E6" w:rsidRPr="00417B80" w:rsidRDefault="00417B80" w:rsidP="005E65E6">
      <w:pPr>
        <w:widowControl w:val="0"/>
        <w:rPr>
          <w:rFonts w:eastAsia="Calibri" w:cs="Segoe UI"/>
          <w:szCs w:val="20"/>
          <w:lang w:bidi="sk-SK"/>
        </w:rPr>
      </w:pPr>
      <w:r>
        <w:rPr>
          <w:rFonts w:eastAsia="Calibri" w:cs="Segoe UI"/>
          <w:b/>
          <w:szCs w:val="20"/>
          <w:lang w:bidi="sk-SK"/>
        </w:rPr>
        <w:t>V súvislosti s čerpaním výdavkov na mzdy n</w:t>
      </w:r>
      <w:r w:rsidRPr="00B23AEB">
        <w:rPr>
          <w:rFonts w:eastAsia="Calibri" w:cs="Segoe UI"/>
          <w:b/>
          <w:szCs w:val="20"/>
          <w:lang w:bidi="sk-SK"/>
        </w:rPr>
        <w:t>aďalej pretrváva trend, že sa v jednotlivých rokoch stanovené limity zamestnancov nenapĺňajú, pričom mzdové prostriedky sa vyčerpajú.</w:t>
      </w:r>
      <w:r>
        <w:rPr>
          <w:rFonts w:eastAsia="Calibri" w:cs="Segoe UI"/>
          <w:b/>
          <w:szCs w:val="20"/>
          <w:lang w:bidi="sk-SK"/>
        </w:rPr>
        <w:t xml:space="preserve"> </w:t>
      </w:r>
      <w:r w:rsidR="005E65E6" w:rsidRPr="00417B80">
        <w:rPr>
          <w:rFonts w:eastAsia="Calibri" w:cs="Segoe UI"/>
          <w:szCs w:val="20"/>
          <w:lang w:bidi="sk-SK"/>
        </w:rPr>
        <w:t xml:space="preserve">Limit počtu zamestnancov pre rozpočtové organizácie kapitol </w:t>
      </w:r>
      <w:r w:rsidR="005E65E6" w:rsidRPr="00417B80">
        <w:rPr>
          <w:rFonts w:eastAsia="Calibri" w:cs="Segoe UI"/>
          <w:szCs w:val="20"/>
        </w:rPr>
        <w:t xml:space="preserve">ŠR bol schválený </w:t>
      </w:r>
      <w:r>
        <w:rPr>
          <w:rFonts w:eastAsia="Calibri" w:cs="Segoe UI"/>
          <w:szCs w:val="20"/>
        </w:rPr>
        <w:t>na rok 2022 na</w:t>
      </w:r>
      <w:r w:rsidR="005E65E6" w:rsidRPr="00417B80">
        <w:rPr>
          <w:rFonts w:eastAsia="Calibri" w:cs="Segoe UI"/>
          <w:szCs w:val="20"/>
        </w:rPr>
        <w:t xml:space="preserve"> 127 536</w:t>
      </w:r>
      <w:r w:rsidR="005E65E6" w:rsidRPr="00417B80">
        <w:rPr>
          <w:rFonts w:eastAsia="Calibri" w:cs="Segoe UI"/>
          <w:szCs w:val="20"/>
          <w:lang w:bidi="sk-SK"/>
        </w:rPr>
        <w:t> osôb</w:t>
      </w:r>
      <w:r w:rsidR="005E65E6" w:rsidRPr="00B23AEB">
        <w:rPr>
          <w:rFonts w:eastAsia="Calibri" w:cs="Segoe UI"/>
          <w:szCs w:val="20"/>
          <w:lang w:bidi="sk-SK"/>
        </w:rPr>
        <w:t xml:space="preserve"> a počas roka sa cez RO </w:t>
      </w:r>
      <w:r>
        <w:rPr>
          <w:rFonts w:eastAsia="Calibri" w:cs="Segoe UI"/>
          <w:szCs w:val="20"/>
          <w:lang w:bidi="sk-SK"/>
        </w:rPr>
        <w:t xml:space="preserve">ešte </w:t>
      </w:r>
      <w:r w:rsidR="005E65E6" w:rsidRPr="00B23AEB">
        <w:rPr>
          <w:rFonts w:eastAsia="Calibri" w:cs="Segoe UI"/>
          <w:szCs w:val="20"/>
          <w:lang w:bidi="sk-SK"/>
        </w:rPr>
        <w:t>zvýšil</w:t>
      </w:r>
      <w:r w:rsidR="005E65E6">
        <w:rPr>
          <w:rFonts w:eastAsia="Calibri" w:cs="Segoe UI"/>
          <w:szCs w:val="20"/>
          <w:lang w:bidi="sk-SK"/>
        </w:rPr>
        <w:t xml:space="preserve"> </w:t>
      </w:r>
      <w:r>
        <w:rPr>
          <w:rFonts w:eastAsia="Calibri" w:cs="Segoe UI"/>
          <w:szCs w:val="20"/>
          <w:lang w:bidi="sk-SK"/>
        </w:rPr>
        <w:t>(</w:t>
      </w:r>
      <w:r w:rsidR="005E65E6">
        <w:rPr>
          <w:rFonts w:eastAsia="Calibri" w:cs="Segoe UI"/>
          <w:szCs w:val="20"/>
          <w:lang w:bidi="sk-SK"/>
        </w:rPr>
        <w:t>o 3 067 osôb</w:t>
      </w:r>
      <w:r>
        <w:rPr>
          <w:rFonts w:eastAsia="Calibri" w:cs="Segoe UI"/>
          <w:szCs w:val="20"/>
          <w:lang w:bidi="sk-SK"/>
        </w:rPr>
        <w:t>)</w:t>
      </w:r>
      <w:r w:rsidR="005E65E6" w:rsidRPr="00B23AEB">
        <w:rPr>
          <w:rFonts w:eastAsia="Calibri" w:cs="Segoe UI"/>
          <w:szCs w:val="20"/>
        </w:rPr>
        <w:t xml:space="preserve">. V skutočnosti však </w:t>
      </w:r>
      <w:r w:rsidR="005E65E6" w:rsidRPr="00B23AEB">
        <w:rPr>
          <w:rFonts w:eastAsia="Calibri" w:cs="Segoe UI"/>
          <w:szCs w:val="20"/>
          <w:lang w:bidi="sk-SK"/>
        </w:rPr>
        <w:t xml:space="preserve">dosiahol </w:t>
      </w:r>
      <w:r w:rsidR="005E65E6">
        <w:rPr>
          <w:rFonts w:eastAsia="Calibri" w:cs="Segoe UI"/>
          <w:szCs w:val="20"/>
        </w:rPr>
        <w:t>122 982 osôb</w:t>
      </w:r>
      <w:r>
        <w:rPr>
          <w:rFonts w:eastAsia="Calibri" w:cs="Segoe UI"/>
          <w:szCs w:val="20"/>
        </w:rPr>
        <w:t>, čo je</w:t>
      </w:r>
      <w:r w:rsidR="005E65E6">
        <w:rPr>
          <w:rFonts w:eastAsia="Calibri" w:cs="Segoe UI"/>
          <w:szCs w:val="20"/>
        </w:rPr>
        <w:t xml:space="preserve"> </w:t>
      </w:r>
      <w:r>
        <w:rPr>
          <w:rFonts w:eastAsia="Calibri" w:cs="Segoe UI"/>
          <w:szCs w:val="20"/>
        </w:rPr>
        <w:t>m</w:t>
      </w:r>
      <w:r w:rsidR="005E65E6" w:rsidRPr="00B23AEB">
        <w:rPr>
          <w:rFonts w:eastAsia="Calibri" w:cs="Segoe UI"/>
          <w:szCs w:val="20"/>
          <w:lang w:bidi="sk-SK"/>
        </w:rPr>
        <w:t>edziročne</w:t>
      </w:r>
      <w:r w:rsidR="005E65E6">
        <w:rPr>
          <w:rFonts w:eastAsia="Calibri" w:cs="Segoe UI"/>
          <w:szCs w:val="20"/>
        </w:rPr>
        <w:t xml:space="preserve"> </w:t>
      </w:r>
      <w:r>
        <w:rPr>
          <w:rFonts w:eastAsia="Calibri" w:cs="Segoe UI"/>
          <w:szCs w:val="20"/>
        </w:rPr>
        <w:t>o</w:t>
      </w:r>
      <w:r w:rsidR="005E65E6">
        <w:rPr>
          <w:rFonts w:eastAsia="Calibri" w:cs="Segoe UI"/>
          <w:szCs w:val="20"/>
        </w:rPr>
        <w:t xml:space="preserve"> 1 279 </w:t>
      </w:r>
      <w:r w:rsidR="005E65E6" w:rsidRPr="00B23AEB">
        <w:rPr>
          <w:rFonts w:eastAsia="Calibri" w:cs="Segoe UI"/>
          <w:szCs w:val="20"/>
          <w:lang w:bidi="sk-SK"/>
        </w:rPr>
        <w:t xml:space="preserve">osôb </w:t>
      </w:r>
      <w:r w:rsidR="005E65E6">
        <w:rPr>
          <w:rFonts w:eastAsia="Calibri" w:cs="Segoe UI"/>
          <w:szCs w:val="20"/>
        </w:rPr>
        <w:t>menej</w:t>
      </w:r>
      <w:r>
        <w:rPr>
          <w:rFonts w:eastAsia="Calibri" w:cs="Segoe UI"/>
          <w:szCs w:val="20"/>
        </w:rPr>
        <w:t xml:space="preserve"> a v</w:t>
      </w:r>
      <w:r w:rsidRPr="00417B80">
        <w:rPr>
          <w:rFonts w:eastAsia="Times New Roman" w:cs="Segoe UI"/>
          <w:szCs w:val="20"/>
          <w:lang w:eastAsia="sk-SK"/>
        </w:rPr>
        <w:t xml:space="preserve"> porovnaní s upraveným limitom je to menej o 7 621 osôb.</w:t>
      </w:r>
    </w:p>
    <w:p w14:paraId="4B7C9469" w14:textId="0CE619C9" w:rsidR="005E65E6" w:rsidRPr="0098150A" w:rsidRDefault="006F5D6F" w:rsidP="005E65E6">
      <w:pPr>
        <w:spacing w:before="120"/>
        <w:rPr>
          <w:rFonts w:eastAsia="Times New Roman" w:cs="Segoe UI"/>
          <w:szCs w:val="20"/>
          <w:lang w:eastAsia="sk-SK"/>
        </w:rPr>
      </w:pPr>
      <w:r w:rsidRPr="00B23AEB">
        <w:rPr>
          <w:rFonts w:eastAsia="Calibri" w:cs="Segoe UI"/>
          <w:b/>
          <w:szCs w:val="20"/>
        </w:rPr>
        <w:t>Rozpočet kapitálových výdavkov</w:t>
      </w:r>
      <w:r w:rsidRPr="00B23AEB">
        <w:rPr>
          <w:rFonts w:eastAsia="Calibri" w:cs="Segoe UI"/>
          <w:szCs w:val="20"/>
        </w:rPr>
        <w:t xml:space="preserve"> </w:t>
      </w:r>
      <w:r w:rsidRPr="00C60492">
        <w:rPr>
          <w:rFonts w:eastAsia="Calibri" w:cs="Segoe UI"/>
          <w:b/>
          <w:szCs w:val="20"/>
        </w:rPr>
        <w:t>bol schválený vo výške 4,1</w:t>
      </w:r>
      <w:r w:rsidRPr="00C60492">
        <w:rPr>
          <w:rFonts w:eastAsia="Calibri" w:cs="Segoe UI"/>
          <w:b/>
          <w:bCs/>
          <w:szCs w:val="20"/>
        </w:rPr>
        <w:t xml:space="preserve"> mld</w:t>
      </w:r>
      <w:r w:rsidRPr="00C60492">
        <w:rPr>
          <w:rFonts w:eastAsia="Calibri" w:cs="Segoe UI"/>
          <w:b/>
          <w:szCs w:val="20"/>
        </w:rPr>
        <w:t xml:space="preserve">. eur, </w:t>
      </w:r>
      <w:r>
        <w:rPr>
          <w:rFonts w:eastAsia="Calibri" w:cs="Segoe UI"/>
          <w:b/>
          <w:szCs w:val="20"/>
        </w:rPr>
        <w:t xml:space="preserve">no v priebehu roka bol prostredníctvom </w:t>
      </w:r>
      <w:r w:rsidRPr="00C60492">
        <w:rPr>
          <w:rFonts w:eastAsia="Calibri" w:cs="Segoe UI"/>
          <w:b/>
          <w:szCs w:val="20"/>
        </w:rPr>
        <w:t>RO znížený na 2,8 mld. eur</w:t>
      </w:r>
      <w:r>
        <w:rPr>
          <w:rFonts w:eastAsia="Calibri" w:cs="Segoe UI"/>
          <w:b/>
          <w:szCs w:val="20"/>
        </w:rPr>
        <w:t>.</w:t>
      </w:r>
      <w:r>
        <w:rPr>
          <w:rStyle w:val="Odkaznapoznmkupodiarou"/>
          <w:rFonts w:eastAsia="Calibri" w:cs="Segoe UI"/>
          <w:szCs w:val="20"/>
        </w:rPr>
        <w:footnoteReference w:id="9"/>
      </w:r>
      <w:r w:rsidRPr="00FA3646">
        <w:rPr>
          <w:rFonts w:eastAsia="Times New Roman" w:cs="Segoe UI"/>
          <w:szCs w:val="20"/>
          <w:lang w:eastAsia="sk-SK"/>
        </w:rPr>
        <w:t xml:space="preserve"> </w:t>
      </w:r>
      <w:r w:rsidR="005E65E6" w:rsidRPr="00FA3646">
        <w:rPr>
          <w:rFonts w:eastAsia="Times New Roman" w:cs="Segoe UI"/>
          <w:szCs w:val="20"/>
          <w:lang w:eastAsia="sk-SK"/>
        </w:rPr>
        <w:t>Dosiahnutá skutočnosť bola nižšia o</w:t>
      </w:r>
      <w:r w:rsidR="005E65E6">
        <w:rPr>
          <w:rFonts w:eastAsia="Times New Roman" w:cs="Segoe UI"/>
          <w:szCs w:val="20"/>
          <w:lang w:eastAsia="sk-SK"/>
        </w:rPr>
        <w:t xml:space="preserve"> 99,4 </w:t>
      </w:r>
      <w:r w:rsidR="005E65E6" w:rsidRPr="00FA3646">
        <w:rPr>
          <w:rFonts w:eastAsia="Times New Roman" w:cs="Segoe UI"/>
          <w:szCs w:val="20"/>
          <w:lang w:eastAsia="sk-SK"/>
        </w:rPr>
        <w:t>m</w:t>
      </w:r>
      <w:r w:rsidR="005E65E6">
        <w:rPr>
          <w:rFonts w:eastAsia="Times New Roman" w:cs="Segoe UI"/>
          <w:szCs w:val="20"/>
          <w:lang w:eastAsia="sk-SK"/>
        </w:rPr>
        <w:t xml:space="preserve">il. eur. </w:t>
      </w:r>
      <w:r w:rsidR="005E65E6" w:rsidRPr="00E67A78">
        <w:rPr>
          <w:rFonts w:cs="Segoe UI"/>
          <w:szCs w:val="20"/>
        </w:rPr>
        <w:t xml:space="preserve">V roku 2022 sa podľa § 8 zákona o rozpočtových pravidlách </w:t>
      </w:r>
      <w:r w:rsidR="005E65E6">
        <w:rPr>
          <w:rFonts w:cs="Segoe UI"/>
          <w:szCs w:val="20"/>
        </w:rPr>
        <w:t xml:space="preserve">VS </w:t>
      </w:r>
      <w:r w:rsidR="005E65E6" w:rsidRPr="00E67A78">
        <w:rPr>
          <w:rFonts w:cs="Segoe UI"/>
          <w:szCs w:val="20"/>
        </w:rPr>
        <w:t>viazali výdavky z</w:t>
      </w:r>
      <w:r w:rsidR="005E65E6">
        <w:rPr>
          <w:rFonts w:cs="Segoe UI"/>
          <w:szCs w:val="20"/>
        </w:rPr>
        <w:t> POO</w:t>
      </w:r>
      <w:r w:rsidR="005E65E6" w:rsidRPr="00E67A78">
        <w:rPr>
          <w:rFonts w:cs="Segoe UI"/>
          <w:szCs w:val="20"/>
        </w:rPr>
        <w:t xml:space="preserve"> v sume 1</w:t>
      </w:r>
      <w:r w:rsidR="005E65E6">
        <w:rPr>
          <w:rFonts w:cs="Segoe UI"/>
          <w:szCs w:val="20"/>
        </w:rPr>
        <w:t>,4 mld</w:t>
      </w:r>
      <w:r w:rsidR="005E65E6" w:rsidRPr="00E67A78">
        <w:rPr>
          <w:rFonts w:cs="Segoe UI"/>
          <w:szCs w:val="20"/>
        </w:rPr>
        <w:t>. eur</w:t>
      </w:r>
      <w:r w:rsidR="00417B80">
        <w:rPr>
          <w:rFonts w:cs="Segoe UI"/>
          <w:szCs w:val="20"/>
        </w:rPr>
        <w:t xml:space="preserve">. </w:t>
      </w:r>
      <w:r w:rsidR="005E65E6" w:rsidRPr="004C18E7">
        <w:rPr>
          <w:rFonts w:eastAsia="Times New Roman" w:cs="Segoe UI"/>
          <w:b/>
          <w:szCs w:val="20"/>
          <w:lang w:eastAsia="sk-SK"/>
        </w:rPr>
        <w:lastRenderedPageBreak/>
        <w:t>Najväčší podiel v rámci obstarania kapitálových aktív tvoril nákup dopravných prostriedkov</w:t>
      </w:r>
      <w:r w:rsidR="005E65E6">
        <w:rPr>
          <w:rFonts w:eastAsia="Times New Roman" w:cs="Segoe UI"/>
          <w:szCs w:val="20"/>
          <w:lang w:eastAsia="sk-SK"/>
        </w:rPr>
        <w:t xml:space="preserve"> (49,1</w:t>
      </w:r>
      <w:r w:rsidR="005E65E6" w:rsidRPr="00B23AEB">
        <w:rPr>
          <w:rFonts w:eastAsia="Times New Roman" w:cs="Segoe UI"/>
          <w:szCs w:val="20"/>
          <w:lang w:eastAsia="sk-SK"/>
        </w:rPr>
        <w:t xml:space="preserve"> %). </w:t>
      </w:r>
      <w:r w:rsidR="005E65E6">
        <w:rPr>
          <w:rFonts w:eastAsia="Times New Roman" w:cs="Segoe UI"/>
          <w:szCs w:val="20"/>
          <w:lang w:eastAsia="sk-SK"/>
        </w:rPr>
        <w:t>V rezorte MV SR bolo použitých 18,8 mil. eur na nákup vrtuľníka a osobných automobilov.</w:t>
      </w:r>
    </w:p>
    <w:p w14:paraId="05564E4C" w14:textId="4F730577" w:rsidR="005E65E6" w:rsidRDefault="004C18E7" w:rsidP="005E65E6">
      <w:pPr>
        <w:spacing w:before="120"/>
        <w:rPr>
          <w:rFonts w:eastAsia="Arial Narrow" w:cs="Segoe UI"/>
          <w:b/>
          <w:szCs w:val="20"/>
        </w:rPr>
      </w:pPr>
      <w:r>
        <w:rPr>
          <w:rFonts w:eastAsia="Times New Roman" w:cs="Segoe UI"/>
          <w:szCs w:val="20"/>
          <w:lang w:eastAsia="sk-SK"/>
        </w:rPr>
        <w:t>Z</w:t>
      </w:r>
      <w:r w:rsidR="005E65E6" w:rsidRPr="00FF5F92">
        <w:rPr>
          <w:rFonts w:eastAsia="Times New Roman" w:cs="Segoe UI"/>
          <w:szCs w:val="20"/>
          <w:lang w:eastAsia="sk-SK"/>
        </w:rPr>
        <w:t xml:space="preserve"> </w:t>
      </w:r>
      <w:r w:rsidR="005E65E6" w:rsidRPr="004C18E7">
        <w:rPr>
          <w:rFonts w:eastAsia="Times New Roman" w:cs="Segoe UI"/>
          <w:szCs w:val="20"/>
          <w:lang w:eastAsia="sk-SK"/>
        </w:rPr>
        <w:t>kapitálových transfero</w:t>
      </w:r>
      <w:r w:rsidRPr="004C18E7">
        <w:rPr>
          <w:rFonts w:eastAsia="Times New Roman" w:cs="Segoe UI"/>
          <w:szCs w:val="20"/>
          <w:lang w:eastAsia="sk-SK"/>
        </w:rPr>
        <w:t>v</w:t>
      </w:r>
      <w:r w:rsidR="005E65E6" w:rsidRPr="00FF5F92">
        <w:rPr>
          <w:rFonts w:eastAsia="Times New Roman" w:cs="Segoe UI"/>
          <w:szCs w:val="20"/>
          <w:lang w:eastAsia="sk-SK"/>
        </w:rPr>
        <w:t xml:space="preserve"> mali najvyšší</w:t>
      </w:r>
      <w:r w:rsidR="005E65E6">
        <w:rPr>
          <w:rFonts w:eastAsia="Times New Roman" w:cs="Segoe UI"/>
          <w:szCs w:val="20"/>
          <w:lang w:eastAsia="sk-SK"/>
        </w:rPr>
        <w:t xml:space="preserve"> podiel transfery v rámci VS (81,1</w:t>
      </w:r>
      <w:r w:rsidR="005E65E6" w:rsidRPr="00FF5F92">
        <w:rPr>
          <w:rFonts w:eastAsia="Times New Roman" w:cs="Segoe UI"/>
          <w:szCs w:val="20"/>
          <w:lang w:eastAsia="sk-SK"/>
        </w:rPr>
        <w:t xml:space="preserve"> %). Z toho MDV SR poskytlo</w:t>
      </w:r>
      <w:r w:rsidR="005E65E6">
        <w:rPr>
          <w:rFonts w:eastAsia="Times New Roman" w:cs="Segoe UI"/>
          <w:szCs w:val="20"/>
          <w:lang w:eastAsia="sk-SK"/>
        </w:rPr>
        <w:t xml:space="preserve"> 765,7 </w:t>
      </w:r>
      <w:r w:rsidR="005E65E6" w:rsidRPr="00FF5F92">
        <w:rPr>
          <w:rFonts w:eastAsia="Times New Roman" w:cs="Segoe UI"/>
          <w:szCs w:val="20"/>
          <w:lang w:eastAsia="sk-SK"/>
        </w:rPr>
        <w:t>mil. eur, a to najmä NDS</w:t>
      </w:r>
      <w:r w:rsidR="005E65E6">
        <w:rPr>
          <w:rFonts w:eastAsia="Times New Roman" w:cs="Segoe UI"/>
          <w:szCs w:val="20"/>
          <w:lang w:eastAsia="sk-SK"/>
        </w:rPr>
        <w:t>, a. s. (441,1</w:t>
      </w:r>
      <w:r w:rsidR="005E65E6" w:rsidRPr="00FF5F92">
        <w:rPr>
          <w:rFonts w:eastAsia="Times New Roman" w:cs="Segoe UI"/>
          <w:szCs w:val="20"/>
          <w:lang w:eastAsia="sk-SK"/>
        </w:rPr>
        <w:t xml:space="preserve"> </w:t>
      </w:r>
      <w:r w:rsidR="005E65E6">
        <w:rPr>
          <w:rFonts w:eastAsia="Times New Roman" w:cs="Segoe UI"/>
          <w:szCs w:val="20"/>
          <w:lang w:eastAsia="sk-SK"/>
        </w:rPr>
        <w:t>mil</w:t>
      </w:r>
      <w:r w:rsidR="005E65E6" w:rsidRPr="00FF5F92">
        <w:rPr>
          <w:rFonts w:eastAsia="Times New Roman" w:cs="Segoe UI"/>
          <w:szCs w:val="20"/>
          <w:lang w:eastAsia="sk-SK"/>
        </w:rPr>
        <w:t xml:space="preserve">. eur), </w:t>
      </w:r>
      <w:r w:rsidR="005E65E6">
        <w:rPr>
          <w:rFonts w:eastAsia="Times New Roman" w:cs="Segoe UI"/>
          <w:szCs w:val="20"/>
          <w:lang w:eastAsia="sk-SK"/>
        </w:rPr>
        <w:t xml:space="preserve">Železniciam SR (190,5 mil. eur)a </w:t>
      </w:r>
      <w:r w:rsidR="005E65E6" w:rsidRPr="00FF5F92">
        <w:rPr>
          <w:rFonts w:eastAsia="Times New Roman" w:cs="Segoe UI"/>
          <w:szCs w:val="20"/>
          <w:lang w:eastAsia="sk-SK"/>
        </w:rPr>
        <w:t>Železničnej spo</w:t>
      </w:r>
      <w:r w:rsidR="005E65E6">
        <w:rPr>
          <w:rFonts w:eastAsia="Times New Roman" w:cs="Segoe UI"/>
          <w:szCs w:val="20"/>
          <w:lang w:eastAsia="sk-SK"/>
        </w:rPr>
        <w:t>ločnosti Slovensko, a. s. (87,2</w:t>
      </w:r>
      <w:r w:rsidR="005E65E6" w:rsidRPr="00FF5F92">
        <w:rPr>
          <w:rFonts w:eastAsia="Times New Roman" w:cs="Segoe UI"/>
          <w:szCs w:val="20"/>
          <w:lang w:eastAsia="sk-SK"/>
        </w:rPr>
        <w:t xml:space="preserve"> mil. eur)</w:t>
      </w:r>
      <w:r w:rsidR="00417B80">
        <w:rPr>
          <w:rFonts w:eastAsia="Times New Roman" w:cs="Segoe UI"/>
          <w:szCs w:val="20"/>
          <w:lang w:eastAsia="sk-SK"/>
        </w:rPr>
        <w:t>.</w:t>
      </w:r>
      <w:r w:rsidR="005E65E6">
        <w:rPr>
          <w:rFonts w:eastAsia="Times New Roman" w:cs="Segoe UI"/>
          <w:szCs w:val="20"/>
          <w:lang w:eastAsia="sk-SK"/>
        </w:rPr>
        <w:t xml:space="preserve"> </w:t>
      </w:r>
      <w:r w:rsidR="005E65E6">
        <w:rPr>
          <w:rFonts w:eastAsia="Times New Roman" w:cs="Segoe UI"/>
          <w:b/>
          <w:szCs w:val="20"/>
          <w:lang w:eastAsia="sk-SK"/>
        </w:rPr>
        <w:t>V dôsledku nízkeho čerpania zdrojov EÚ</w:t>
      </w:r>
      <w:r w:rsidRPr="004C18E7">
        <w:rPr>
          <w:rFonts w:eastAsia="Times New Roman" w:cs="Segoe UI"/>
          <w:b/>
          <w:szCs w:val="20"/>
          <w:lang w:eastAsia="sk-SK"/>
        </w:rPr>
        <w:t>,</w:t>
      </w:r>
      <w:r w:rsidR="005E65E6" w:rsidRPr="004C18E7">
        <w:rPr>
          <w:rFonts w:eastAsia="Times New Roman" w:cs="Segoe UI"/>
          <w:b/>
          <w:szCs w:val="20"/>
          <w:lang w:eastAsia="sk-SK"/>
        </w:rPr>
        <w:t xml:space="preserve"> aj napriek medziročnému </w:t>
      </w:r>
      <w:r w:rsidRPr="004C18E7">
        <w:rPr>
          <w:rFonts w:eastAsia="Times New Roman" w:cs="Segoe UI"/>
          <w:b/>
          <w:szCs w:val="20"/>
          <w:lang w:eastAsia="sk-SK"/>
        </w:rPr>
        <w:t>rastu</w:t>
      </w:r>
      <w:r w:rsidR="005E65E6" w:rsidRPr="004C18E7">
        <w:rPr>
          <w:rFonts w:eastAsia="Times New Roman" w:cs="Segoe UI"/>
          <w:b/>
          <w:szCs w:val="20"/>
          <w:lang w:eastAsia="sk-SK"/>
        </w:rPr>
        <w:t xml:space="preserve"> kapitálových výdavkov o 266,8 mil. eur</w:t>
      </w:r>
      <w:r w:rsidRPr="004C18E7">
        <w:rPr>
          <w:rFonts w:eastAsia="Times New Roman" w:cs="Segoe UI"/>
          <w:b/>
          <w:szCs w:val="20"/>
          <w:lang w:eastAsia="sk-SK"/>
        </w:rPr>
        <w:t>,</w:t>
      </w:r>
      <w:r w:rsidR="005E65E6" w:rsidRPr="00DE2ABE">
        <w:rPr>
          <w:rFonts w:eastAsia="Times New Roman" w:cs="Segoe UI"/>
          <w:b/>
          <w:szCs w:val="20"/>
          <w:lang w:eastAsia="sk-SK"/>
        </w:rPr>
        <w:t xml:space="preserve"> NKÚ SR konštatuje, že </w:t>
      </w:r>
      <w:r w:rsidR="005E65E6">
        <w:rPr>
          <w:rFonts w:eastAsia="Times New Roman" w:cs="Segoe UI"/>
          <w:b/>
          <w:szCs w:val="20"/>
          <w:lang w:eastAsia="sk-SK"/>
        </w:rPr>
        <w:t xml:space="preserve">ich </w:t>
      </w:r>
      <w:r w:rsidR="005E65E6" w:rsidRPr="00DE2ABE">
        <w:rPr>
          <w:rFonts w:eastAsia="Times New Roman" w:cs="Segoe UI"/>
          <w:b/>
          <w:szCs w:val="20"/>
          <w:lang w:eastAsia="sk-SK"/>
        </w:rPr>
        <w:t>výška</w:t>
      </w:r>
      <w:r w:rsidR="005E65E6">
        <w:rPr>
          <w:rFonts w:eastAsia="Times New Roman" w:cs="Segoe UI"/>
          <w:b/>
          <w:szCs w:val="20"/>
          <w:lang w:eastAsia="sk-SK"/>
        </w:rPr>
        <w:t xml:space="preserve"> </w:t>
      </w:r>
      <w:r w:rsidR="005E65E6" w:rsidRPr="00DE2ABE">
        <w:rPr>
          <w:rFonts w:eastAsia="Arial Narrow" w:cs="Segoe UI"/>
          <w:b/>
          <w:szCs w:val="20"/>
        </w:rPr>
        <w:t>dlhodobo neumožňuje znížiť modernizačný dlh</w:t>
      </w:r>
      <w:r>
        <w:rPr>
          <w:rFonts w:eastAsia="Arial Narrow" w:cs="Segoe UI"/>
          <w:b/>
          <w:szCs w:val="20"/>
        </w:rPr>
        <w:t>.</w:t>
      </w:r>
      <w:r w:rsidR="005E65E6" w:rsidRPr="00DE2ABE">
        <w:rPr>
          <w:rFonts w:eastAsia="Arial Narrow" w:cs="Segoe UI"/>
          <w:b/>
          <w:szCs w:val="20"/>
        </w:rPr>
        <w:t xml:space="preserve"> </w:t>
      </w:r>
      <w:r>
        <w:rPr>
          <w:rFonts w:eastAsia="Arial Narrow" w:cs="Segoe UI"/>
          <w:b/>
          <w:szCs w:val="20"/>
        </w:rPr>
        <w:t>R</w:t>
      </w:r>
      <w:r w:rsidR="005E65E6" w:rsidRPr="00DE2ABE">
        <w:rPr>
          <w:rFonts w:eastAsia="Arial Narrow" w:cs="Segoe UI"/>
          <w:b/>
          <w:szCs w:val="20"/>
        </w:rPr>
        <w:t xml:space="preserve">ekonštrukcie, modernizácie a nákupy objektov a ich realizácia sa </w:t>
      </w:r>
      <w:r>
        <w:rPr>
          <w:rFonts w:eastAsia="Arial Narrow" w:cs="Segoe UI"/>
          <w:b/>
          <w:szCs w:val="20"/>
        </w:rPr>
        <w:t xml:space="preserve">tak </w:t>
      </w:r>
      <w:r w:rsidR="005E65E6" w:rsidRPr="00DE2ABE">
        <w:rPr>
          <w:rFonts w:eastAsia="Arial Narrow" w:cs="Segoe UI"/>
          <w:b/>
          <w:szCs w:val="20"/>
        </w:rPr>
        <w:t xml:space="preserve">budú musieť </w:t>
      </w:r>
      <w:r>
        <w:rPr>
          <w:rFonts w:eastAsia="Arial Narrow" w:cs="Segoe UI"/>
          <w:b/>
          <w:szCs w:val="20"/>
        </w:rPr>
        <w:t>znova</w:t>
      </w:r>
      <w:r w:rsidR="005E65E6" w:rsidRPr="00DE2ABE">
        <w:rPr>
          <w:rFonts w:eastAsia="Arial Narrow" w:cs="Segoe UI"/>
          <w:b/>
          <w:szCs w:val="20"/>
        </w:rPr>
        <w:t xml:space="preserve"> presunúť na ďalšie roky.</w:t>
      </w:r>
    </w:p>
    <w:p w14:paraId="4D500ACD" w14:textId="2434E6CE" w:rsidR="00CA3F76" w:rsidRDefault="00CA3F76" w:rsidP="00417B80">
      <w:pPr>
        <w:rPr>
          <w:rFonts w:cs="Segoe UI"/>
          <w:szCs w:val="20"/>
        </w:rPr>
      </w:pPr>
      <w:r w:rsidRPr="00BF53F9">
        <w:rPr>
          <w:rFonts w:cs="Segoe UI"/>
          <w:szCs w:val="20"/>
        </w:rPr>
        <w:t>Na krytie nepredvídaných výdavkov nevyhnutných na zabezpečenie rozpočtového hospodárenia alebo na krytie zníženia rozpočtovaných príjmov sa vytvárajú v</w:t>
      </w:r>
      <w:r>
        <w:rPr>
          <w:rFonts w:cs="Segoe UI"/>
          <w:szCs w:val="20"/>
        </w:rPr>
        <w:t xml:space="preserve"> ŠR </w:t>
      </w:r>
      <w:r w:rsidRPr="00BF53F9">
        <w:rPr>
          <w:rFonts w:cs="Segoe UI"/>
          <w:szCs w:val="20"/>
        </w:rPr>
        <w:t>rozpočtové rezervy.</w:t>
      </w:r>
      <w:r w:rsidR="002C4827">
        <w:rPr>
          <w:rStyle w:val="Odkaznapoznmkupodiarou"/>
          <w:rFonts w:cs="Segoe UI"/>
          <w:szCs w:val="20"/>
        </w:rPr>
        <w:footnoteReference w:id="10"/>
      </w:r>
    </w:p>
    <w:p w14:paraId="39F7297E" w14:textId="53127FB4" w:rsidR="00003F74" w:rsidRPr="002F38A4" w:rsidRDefault="00003F74" w:rsidP="006F5D6F">
      <w:pPr>
        <w:spacing w:after="0" w:line="240" w:lineRule="auto"/>
        <w:rPr>
          <w:rFonts w:eastAsia="Calibri" w:cs="Times New Roman"/>
          <w:b/>
          <w:iCs/>
          <w:color w:val="314364"/>
          <w:szCs w:val="18"/>
        </w:rPr>
      </w:pPr>
      <w:r>
        <w:rPr>
          <w:rFonts w:eastAsia="Calibri" w:cs="Times New Roman"/>
          <w:b/>
          <w:iCs/>
          <w:color w:val="314364"/>
          <w:szCs w:val="18"/>
        </w:rPr>
        <w:t>Tabuľka 9:</w:t>
      </w:r>
      <w:r w:rsidRPr="002F38A4">
        <w:rPr>
          <w:rFonts w:eastAsia="Calibri" w:cs="Times New Roman"/>
          <w:b/>
          <w:iCs/>
          <w:color w:val="314364"/>
          <w:szCs w:val="18"/>
        </w:rPr>
        <w:t xml:space="preserve"> Zákonné rezervy uvoľnené platobným príkazom</w:t>
      </w:r>
      <w:r w:rsidR="001900F8">
        <w:rPr>
          <w:rFonts w:eastAsia="Calibri" w:cs="Times New Roman"/>
          <w:b/>
          <w:iCs/>
          <w:color w:val="314364"/>
          <w:szCs w:val="18"/>
        </w:rPr>
        <w:t xml:space="preserve"> (v tis. eur)</w:t>
      </w:r>
    </w:p>
    <w:tbl>
      <w:tblPr>
        <w:tblW w:w="5000" w:type="pct"/>
        <w:tblBorders>
          <w:bottom w:val="single" w:sz="4" w:space="0" w:color="314364" w:themeColor="text2"/>
        </w:tblBorders>
        <w:tblLayout w:type="fixed"/>
        <w:tblCellMar>
          <w:left w:w="70" w:type="dxa"/>
          <w:right w:w="70" w:type="dxa"/>
        </w:tblCellMar>
        <w:tblLook w:val="04A0" w:firstRow="1" w:lastRow="0" w:firstColumn="1" w:lastColumn="0" w:noHBand="0" w:noVBand="1"/>
      </w:tblPr>
      <w:tblGrid>
        <w:gridCol w:w="2836"/>
        <w:gridCol w:w="992"/>
        <w:gridCol w:w="992"/>
        <w:gridCol w:w="992"/>
        <w:gridCol w:w="992"/>
        <w:gridCol w:w="1134"/>
        <w:gridCol w:w="1132"/>
      </w:tblGrid>
      <w:tr w:rsidR="00003F74" w:rsidRPr="002F38A4" w14:paraId="6DD6EB7B" w14:textId="77777777" w:rsidTr="00211538">
        <w:trPr>
          <w:trHeight w:val="283"/>
        </w:trPr>
        <w:tc>
          <w:tcPr>
            <w:tcW w:w="1563" w:type="pct"/>
            <w:shd w:val="clear" w:color="auto" w:fill="314364"/>
            <w:vAlign w:val="center"/>
            <w:hideMark/>
          </w:tcPr>
          <w:p w14:paraId="59FF8EC7" w14:textId="77777777" w:rsidR="00003F74" w:rsidRPr="002F38A4" w:rsidRDefault="00003F74" w:rsidP="00211538">
            <w:pPr>
              <w:spacing w:after="0" w:line="240" w:lineRule="auto"/>
              <w:jc w:val="left"/>
              <w:rPr>
                <w:rFonts w:eastAsia="Times New Roman" w:cs="Segoe UI"/>
                <w:b/>
                <w:bCs/>
                <w:color w:val="FFFFFF" w:themeColor="background1"/>
                <w:sz w:val="16"/>
                <w:szCs w:val="16"/>
                <w:lang w:eastAsia="sk-SK"/>
              </w:rPr>
            </w:pPr>
            <w:r w:rsidRPr="002F38A4">
              <w:rPr>
                <w:rFonts w:eastAsia="Times New Roman" w:cs="Segoe UI"/>
                <w:b/>
                <w:bCs/>
                <w:color w:val="FFFFFF" w:themeColor="background1"/>
                <w:sz w:val="16"/>
                <w:szCs w:val="16"/>
                <w:lang w:eastAsia="sk-SK"/>
              </w:rPr>
              <w:t>Ukazovateľ</w:t>
            </w:r>
          </w:p>
        </w:tc>
        <w:tc>
          <w:tcPr>
            <w:tcW w:w="547" w:type="pct"/>
            <w:shd w:val="clear" w:color="auto" w:fill="314364"/>
            <w:vAlign w:val="center"/>
          </w:tcPr>
          <w:p w14:paraId="3C15577D" w14:textId="77777777" w:rsidR="00003F74" w:rsidRPr="002F38A4" w:rsidRDefault="00003F74" w:rsidP="00211538">
            <w:pPr>
              <w:spacing w:after="0" w:line="240" w:lineRule="auto"/>
              <w:jc w:val="right"/>
              <w:rPr>
                <w:rFonts w:eastAsia="Times New Roman" w:cs="Segoe UI"/>
                <w:b/>
                <w:bCs/>
                <w:color w:val="FFFFFF" w:themeColor="background1"/>
                <w:sz w:val="16"/>
                <w:szCs w:val="16"/>
                <w:lang w:eastAsia="sk-SK"/>
              </w:rPr>
            </w:pPr>
            <w:r w:rsidRPr="002F38A4">
              <w:rPr>
                <w:rFonts w:eastAsia="Times New Roman" w:cs="Segoe UI"/>
                <w:b/>
                <w:bCs/>
                <w:color w:val="FFFFFF" w:themeColor="background1"/>
                <w:sz w:val="16"/>
                <w:szCs w:val="16"/>
                <w:lang w:eastAsia="sk-SK"/>
              </w:rPr>
              <w:t>2021 S</w:t>
            </w:r>
          </w:p>
        </w:tc>
        <w:tc>
          <w:tcPr>
            <w:tcW w:w="547" w:type="pct"/>
            <w:shd w:val="clear" w:color="auto" w:fill="314364"/>
            <w:vAlign w:val="center"/>
          </w:tcPr>
          <w:p w14:paraId="19CA1F2B" w14:textId="77777777" w:rsidR="00003F74" w:rsidRPr="002F38A4" w:rsidRDefault="00003F74" w:rsidP="00211538">
            <w:pPr>
              <w:spacing w:after="0" w:line="240" w:lineRule="auto"/>
              <w:jc w:val="right"/>
              <w:rPr>
                <w:rFonts w:eastAsia="Times New Roman" w:cs="Segoe UI"/>
                <w:b/>
                <w:bCs/>
                <w:color w:val="FFFFFF" w:themeColor="background1"/>
                <w:sz w:val="16"/>
                <w:szCs w:val="16"/>
                <w:lang w:eastAsia="sk-SK"/>
              </w:rPr>
            </w:pPr>
            <w:r w:rsidRPr="002F38A4">
              <w:rPr>
                <w:rFonts w:eastAsia="Times New Roman" w:cs="Segoe UI"/>
                <w:b/>
                <w:bCs/>
                <w:color w:val="FFFFFF" w:themeColor="background1"/>
                <w:sz w:val="16"/>
                <w:szCs w:val="16"/>
                <w:lang w:eastAsia="sk-SK"/>
              </w:rPr>
              <w:t>2022 R</w:t>
            </w:r>
          </w:p>
        </w:tc>
        <w:tc>
          <w:tcPr>
            <w:tcW w:w="547" w:type="pct"/>
            <w:shd w:val="clear" w:color="auto" w:fill="314364"/>
            <w:vAlign w:val="center"/>
            <w:hideMark/>
          </w:tcPr>
          <w:p w14:paraId="7A1A7668" w14:textId="77777777" w:rsidR="00003F74" w:rsidRPr="002F38A4" w:rsidRDefault="00003F74" w:rsidP="00211538">
            <w:pPr>
              <w:spacing w:after="0" w:line="240" w:lineRule="auto"/>
              <w:jc w:val="right"/>
              <w:rPr>
                <w:rFonts w:eastAsia="Times New Roman" w:cs="Segoe UI"/>
                <w:b/>
                <w:bCs/>
                <w:color w:val="FFFFFF" w:themeColor="background1"/>
                <w:sz w:val="16"/>
                <w:szCs w:val="16"/>
                <w:lang w:eastAsia="sk-SK"/>
              </w:rPr>
            </w:pPr>
            <w:r w:rsidRPr="002F38A4">
              <w:rPr>
                <w:rFonts w:eastAsia="Times New Roman" w:cs="Segoe UI"/>
                <w:b/>
                <w:bCs/>
                <w:color w:val="FFFFFF" w:themeColor="background1"/>
                <w:sz w:val="16"/>
                <w:szCs w:val="16"/>
                <w:lang w:eastAsia="sk-SK"/>
              </w:rPr>
              <w:t>2022 UR</w:t>
            </w:r>
          </w:p>
        </w:tc>
        <w:tc>
          <w:tcPr>
            <w:tcW w:w="547" w:type="pct"/>
            <w:shd w:val="clear" w:color="auto" w:fill="314364"/>
            <w:vAlign w:val="center"/>
            <w:hideMark/>
          </w:tcPr>
          <w:p w14:paraId="643D600D" w14:textId="77777777" w:rsidR="00003F74" w:rsidRPr="002F38A4" w:rsidRDefault="00003F74" w:rsidP="00211538">
            <w:pPr>
              <w:spacing w:after="0" w:line="240" w:lineRule="auto"/>
              <w:jc w:val="right"/>
              <w:rPr>
                <w:rFonts w:eastAsia="Times New Roman" w:cs="Segoe UI"/>
                <w:b/>
                <w:bCs/>
                <w:color w:val="FFFFFF" w:themeColor="background1"/>
                <w:sz w:val="16"/>
                <w:szCs w:val="16"/>
                <w:lang w:eastAsia="sk-SK"/>
              </w:rPr>
            </w:pPr>
            <w:r w:rsidRPr="002F38A4">
              <w:rPr>
                <w:rFonts w:eastAsia="Times New Roman" w:cs="Segoe UI"/>
                <w:b/>
                <w:bCs/>
                <w:color w:val="FFFFFF" w:themeColor="background1"/>
                <w:sz w:val="16"/>
                <w:szCs w:val="16"/>
                <w:lang w:eastAsia="sk-SK"/>
              </w:rPr>
              <w:t>2022 S</w:t>
            </w:r>
          </w:p>
        </w:tc>
        <w:tc>
          <w:tcPr>
            <w:tcW w:w="625" w:type="pct"/>
            <w:shd w:val="clear" w:color="auto" w:fill="314364"/>
            <w:vAlign w:val="center"/>
            <w:hideMark/>
          </w:tcPr>
          <w:p w14:paraId="219ABEB2" w14:textId="77777777" w:rsidR="00003F74" w:rsidRPr="002F38A4" w:rsidRDefault="00003F74" w:rsidP="00211538">
            <w:pPr>
              <w:spacing w:after="0" w:line="240" w:lineRule="auto"/>
              <w:jc w:val="right"/>
              <w:rPr>
                <w:rFonts w:eastAsia="Times New Roman" w:cs="Segoe UI"/>
                <w:b/>
                <w:bCs/>
                <w:color w:val="FFFFFF" w:themeColor="background1"/>
                <w:sz w:val="16"/>
                <w:szCs w:val="16"/>
                <w:lang w:eastAsia="sk-SK"/>
              </w:rPr>
            </w:pPr>
            <w:r w:rsidRPr="002F38A4">
              <w:rPr>
                <w:rFonts w:cs="Segoe UI"/>
                <w:b/>
                <w:color w:val="FFFFFF" w:themeColor="background1"/>
                <w:sz w:val="16"/>
                <w:szCs w:val="16"/>
              </w:rPr>
              <w:t>Uvoľnené</w:t>
            </w:r>
          </w:p>
          <w:p w14:paraId="489282B0" w14:textId="77777777" w:rsidR="00003F74" w:rsidRPr="002F38A4" w:rsidRDefault="00003F74" w:rsidP="00211538">
            <w:pPr>
              <w:spacing w:after="0" w:line="240" w:lineRule="auto"/>
              <w:jc w:val="right"/>
              <w:rPr>
                <w:rFonts w:eastAsia="Times New Roman" w:cs="Segoe UI"/>
                <w:b/>
                <w:bCs/>
                <w:color w:val="FFFFFF" w:themeColor="background1"/>
                <w:sz w:val="16"/>
                <w:szCs w:val="16"/>
                <w:lang w:eastAsia="sk-SK"/>
              </w:rPr>
            </w:pPr>
            <w:r w:rsidRPr="002F38A4">
              <w:rPr>
                <w:rFonts w:cs="Segoe UI"/>
                <w:b/>
                <w:color w:val="FFFFFF" w:themeColor="background1"/>
                <w:sz w:val="16"/>
                <w:szCs w:val="16"/>
              </w:rPr>
              <w:t>k 31.12.2022</w:t>
            </w:r>
          </w:p>
        </w:tc>
        <w:tc>
          <w:tcPr>
            <w:tcW w:w="624" w:type="pct"/>
            <w:shd w:val="clear" w:color="auto" w:fill="314364"/>
            <w:vAlign w:val="center"/>
          </w:tcPr>
          <w:p w14:paraId="37AC737A" w14:textId="77777777" w:rsidR="00003F74" w:rsidRPr="002F38A4" w:rsidRDefault="00003F74" w:rsidP="00211538">
            <w:pPr>
              <w:spacing w:after="0" w:line="240" w:lineRule="auto"/>
              <w:jc w:val="right"/>
              <w:rPr>
                <w:rFonts w:eastAsia="Times New Roman" w:cs="Segoe UI"/>
                <w:b/>
                <w:bCs/>
                <w:color w:val="FFFFFF" w:themeColor="background1"/>
                <w:sz w:val="16"/>
                <w:szCs w:val="16"/>
                <w:lang w:eastAsia="sk-SK"/>
              </w:rPr>
            </w:pPr>
            <w:r w:rsidRPr="002F38A4">
              <w:rPr>
                <w:rFonts w:eastAsia="Times New Roman" w:cs="Segoe UI"/>
                <w:b/>
                <w:bCs/>
                <w:color w:val="FFFFFF" w:themeColor="background1"/>
                <w:sz w:val="16"/>
                <w:szCs w:val="16"/>
                <w:lang w:eastAsia="sk-SK"/>
              </w:rPr>
              <w:t>Nevyčerpané k 31.12.2022</w:t>
            </w:r>
          </w:p>
        </w:tc>
      </w:tr>
      <w:tr w:rsidR="002351E4" w:rsidRPr="00766745" w14:paraId="4B839319" w14:textId="77777777" w:rsidTr="00846EB5">
        <w:trPr>
          <w:trHeight w:val="283"/>
        </w:trPr>
        <w:tc>
          <w:tcPr>
            <w:tcW w:w="1563" w:type="pct"/>
            <w:shd w:val="clear" w:color="000000" w:fill="FFFFFF"/>
            <w:noWrap/>
            <w:vAlign w:val="center"/>
            <w:hideMark/>
          </w:tcPr>
          <w:p w14:paraId="6914B78E"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na negatívne vplyvy pandémie ochorenia COVID -19</w:t>
            </w:r>
          </w:p>
        </w:tc>
        <w:tc>
          <w:tcPr>
            <w:tcW w:w="547" w:type="pct"/>
            <w:shd w:val="clear" w:color="auto" w:fill="auto"/>
            <w:noWrap/>
          </w:tcPr>
          <w:p w14:paraId="5AD2B5C0" w14:textId="53E504C4"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3 324 722</w:t>
            </w:r>
          </w:p>
        </w:tc>
        <w:tc>
          <w:tcPr>
            <w:tcW w:w="547" w:type="pct"/>
            <w:shd w:val="clear" w:color="000000" w:fill="FFFFFF"/>
            <w:noWrap/>
          </w:tcPr>
          <w:p w14:paraId="6093678E" w14:textId="2DC4837A"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717 441</w:t>
            </w:r>
          </w:p>
        </w:tc>
        <w:tc>
          <w:tcPr>
            <w:tcW w:w="547" w:type="pct"/>
            <w:shd w:val="clear" w:color="000000" w:fill="FFFFFF"/>
            <w:noWrap/>
          </w:tcPr>
          <w:p w14:paraId="11F8A681" w14:textId="559E297F"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717 441</w:t>
            </w:r>
          </w:p>
        </w:tc>
        <w:tc>
          <w:tcPr>
            <w:tcW w:w="547" w:type="pct"/>
            <w:shd w:val="clear" w:color="auto" w:fill="auto"/>
            <w:noWrap/>
            <w:hideMark/>
          </w:tcPr>
          <w:p w14:paraId="0B185645" w14:textId="472CE4A5"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717 441</w:t>
            </w:r>
          </w:p>
        </w:tc>
        <w:tc>
          <w:tcPr>
            <w:tcW w:w="625" w:type="pct"/>
            <w:shd w:val="clear" w:color="000000" w:fill="FFFFFF"/>
            <w:hideMark/>
          </w:tcPr>
          <w:p w14:paraId="3FB23968" w14:textId="2F27AA77"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717 441</w:t>
            </w:r>
          </w:p>
        </w:tc>
        <w:tc>
          <w:tcPr>
            <w:tcW w:w="624" w:type="pct"/>
            <w:shd w:val="clear" w:color="000000" w:fill="FFFFFF"/>
          </w:tcPr>
          <w:p w14:paraId="3351284B" w14:textId="27A1D38A"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0</w:t>
            </w:r>
          </w:p>
        </w:tc>
      </w:tr>
      <w:tr w:rsidR="002351E4" w:rsidRPr="00766745" w14:paraId="10E3C684" w14:textId="77777777" w:rsidTr="00846EB5">
        <w:trPr>
          <w:trHeight w:val="283"/>
        </w:trPr>
        <w:tc>
          <w:tcPr>
            <w:tcW w:w="1563" w:type="pct"/>
            <w:shd w:val="clear" w:color="000000" w:fill="FFFFFF"/>
            <w:noWrap/>
            <w:vAlign w:val="center"/>
            <w:hideMark/>
          </w:tcPr>
          <w:p w14:paraId="11AEF55C"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na prostriedky EÚ a odvody do EÚ</w:t>
            </w:r>
          </w:p>
        </w:tc>
        <w:tc>
          <w:tcPr>
            <w:tcW w:w="547" w:type="pct"/>
            <w:shd w:val="clear" w:color="auto" w:fill="auto"/>
            <w:noWrap/>
          </w:tcPr>
          <w:p w14:paraId="000784A5" w14:textId="73CCDD4D"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373 322</w:t>
            </w:r>
          </w:p>
        </w:tc>
        <w:tc>
          <w:tcPr>
            <w:tcW w:w="547" w:type="pct"/>
            <w:shd w:val="clear" w:color="000000" w:fill="FFFFFF"/>
            <w:noWrap/>
          </w:tcPr>
          <w:p w14:paraId="3B786696" w14:textId="2160266E"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483 190</w:t>
            </w:r>
          </w:p>
        </w:tc>
        <w:tc>
          <w:tcPr>
            <w:tcW w:w="547" w:type="pct"/>
            <w:shd w:val="clear" w:color="000000" w:fill="FFFFFF"/>
            <w:noWrap/>
          </w:tcPr>
          <w:p w14:paraId="15046EA0" w14:textId="57094328"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557 622</w:t>
            </w:r>
          </w:p>
        </w:tc>
        <w:tc>
          <w:tcPr>
            <w:tcW w:w="547" w:type="pct"/>
            <w:shd w:val="clear" w:color="auto" w:fill="auto"/>
            <w:noWrap/>
            <w:hideMark/>
          </w:tcPr>
          <w:p w14:paraId="6614A0FA" w14:textId="6821BCBD"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536 679</w:t>
            </w:r>
          </w:p>
        </w:tc>
        <w:tc>
          <w:tcPr>
            <w:tcW w:w="625" w:type="pct"/>
            <w:shd w:val="clear" w:color="000000" w:fill="FFFFFF"/>
            <w:hideMark/>
          </w:tcPr>
          <w:p w14:paraId="40708125" w14:textId="072732AC"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536 679</w:t>
            </w:r>
          </w:p>
        </w:tc>
        <w:tc>
          <w:tcPr>
            <w:tcW w:w="624" w:type="pct"/>
            <w:shd w:val="clear" w:color="000000" w:fill="FFFFFF"/>
          </w:tcPr>
          <w:p w14:paraId="3717389E" w14:textId="08E070E8"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20 943</w:t>
            </w:r>
          </w:p>
        </w:tc>
      </w:tr>
      <w:tr w:rsidR="002351E4" w:rsidRPr="00766745" w14:paraId="766C173D" w14:textId="77777777" w:rsidTr="00846EB5">
        <w:trPr>
          <w:trHeight w:val="283"/>
        </w:trPr>
        <w:tc>
          <w:tcPr>
            <w:tcW w:w="1563" w:type="pct"/>
            <w:shd w:val="clear" w:color="000000" w:fill="FFFFFF"/>
            <w:noWrap/>
            <w:vAlign w:val="center"/>
            <w:hideMark/>
          </w:tcPr>
          <w:p w14:paraId="0D436383"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na mzdy a poistné</w:t>
            </w:r>
          </w:p>
        </w:tc>
        <w:tc>
          <w:tcPr>
            <w:tcW w:w="547" w:type="pct"/>
            <w:shd w:val="clear" w:color="auto" w:fill="auto"/>
            <w:noWrap/>
          </w:tcPr>
          <w:p w14:paraId="6D4D5CD9" w14:textId="420B4E5F"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145 011</w:t>
            </w:r>
          </w:p>
        </w:tc>
        <w:tc>
          <w:tcPr>
            <w:tcW w:w="547" w:type="pct"/>
            <w:shd w:val="clear" w:color="000000" w:fill="FFFFFF"/>
            <w:noWrap/>
          </w:tcPr>
          <w:p w14:paraId="4BEFDCE1" w14:textId="60A5739B"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175 029</w:t>
            </w:r>
          </w:p>
        </w:tc>
        <w:tc>
          <w:tcPr>
            <w:tcW w:w="547" w:type="pct"/>
            <w:shd w:val="clear" w:color="000000" w:fill="FFFFFF"/>
            <w:noWrap/>
          </w:tcPr>
          <w:p w14:paraId="4BF97AE1" w14:textId="276CCD0C"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275 658</w:t>
            </w:r>
          </w:p>
        </w:tc>
        <w:tc>
          <w:tcPr>
            <w:tcW w:w="547" w:type="pct"/>
            <w:shd w:val="clear" w:color="auto" w:fill="auto"/>
            <w:noWrap/>
            <w:hideMark/>
          </w:tcPr>
          <w:p w14:paraId="3CEBED18" w14:textId="53CE5BDC"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265 103</w:t>
            </w:r>
          </w:p>
        </w:tc>
        <w:tc>
          <w:tcPr>
            <w:tcW w:w="625" w:type="pct"/>
            <w:shd w:val="clear" w:color="000000" w:fill="FFFFFF"/>
            <w:hideMark/>
          </w:tcPr>
          <w:p w14:paraId="41F38603" w14:textId="51C1B941"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265 103</w:t>
            </w:r>
          </w:p>
        </w:tc>
        <w:tc>
          <w:tcPr>
            <w:tcW w:w="624" w:type="pct"/>
            <w:shd w:val="clear" w:color="000000" w:fill="FFFFFF"/>
          </w:tcPr>
          <w:p w14:paraId="36690831" w14:textId="0BC5404C"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10 555</w:t>
            </w:r>
          </w:p>
        </w:tc>
      </w:tr>
      <w:tr w:rsidR="002351E4" w:rsidRPr="00766745" w14:paraId="0CB0C786" w14:textId="77777777" w:rsidTr="00846EB5">
        <w:trPr>
          <w:trHeight w:val="283"/>
        </w:trPr>
        <w:tc>
          <w:tcPr>
            <w:tcW w:w="1563" w:type="pct"/>
            <w:shd w:val="clear" w:color="000000" w:fill="FFFFFF"/>
            <w:noWrap/>
            <w:vAlign w:val="center"/>
          </w:tcPr>
          <w:p w14:paraId="2BC47E64"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na výdavky v zdravotníctve</w:t>
            </w:r>
          </w:p>
        </w:tc>
        <w:tc>
          <w:tcPr>
            <w:tcW w:w="547" w:type="pct"/>
            <w:shd w:val="clear" w:color="auto" w:fill="auto"/>
            <w:noWrap/>
          </w:tcPr>
          <w:p w14:paraId="2C31864A" w14:textId="24E97233"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0</w:t>
            </w:r>
          </w:p>
        </w:tc>
        <w:tc>
          <w:tcPr>
            <w:tcW w:w="547" w:type="pct"/>
            <w:shd w:val="clear" w:color="000000" w:fill="FFFFFF"/>
            <w:noWrap/>
          </w:tcPr>
          <w:p w14:paraId="02F9950F" w14:textId="5C81C92B"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220 000</w:t>
            </w:r>
          </w:p>
        </w:tc>
        <w:tc>
          <w:tcPr>
            <w:tcW w:w="547" w:type="pct"/>
            <w:shd w:val="clear" w:color="000000" w:fill="FFFFFF"/>
            <w:noWrap/>
          </w:tcPr>
          <w:p w14:paraId="3BD82190" w14:textId="38CDCDB2"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220 000</w:t>
            </w:r>
          </w:p>
        </w:tc>
        <w:tc>
          <w:tcPr>
            <w:tcW w:w="547" w:type="pct"/>
            <w:shd w:val="clear" w:color="auto" w:fill="auto"/>
            <w:noWrap/>
          </w:tcPr>
          <w:p w14:paraId="6D8C653B" w14:textId="5126E25D"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220 000</w:t>
            </w:r>
          </w:p>
        </w:tc>
        <w:tc>
          <w:tcPr>
            <w:tcW w:w="625" w:type="pct"/>
            <w:shd w:val="clear" w:color="000000" w:fill="FFFFFF"/>
          </w:tcPr>
          <w:p w14:paraId="3E148A0F" w14:textId="7B9DDA2F"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220 000</w:t>
            </w:r>
          </w:p>
        </w:tc>
        <w:tc>
          <w:tcPr>
            <w:tcW w:w="624" w:type="pct"/>
            <w:shd w:val="clear" w:color="000000" w:fill="FFFFFF"/>
          </w:tcPr>
          <w:p w14:paraId="35014495" w14:textId="2B5F0D78"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0</w:t>
            </w:r>
          </w:p>
        </w:tc>
      </w:tr>
      <w:tr w:rsidR="002351E4" w:rsidRPr="00766745" w14:paraId="1557ACA7" w14:textId="77777777" w:rsidTr="00846EB5">
        <w:trPr>
          <w:trHeight w:val="283"/>
        </w:trPr>
        <w:tc>
          <w:tcPr>
            <w:tcW w:w="1563" w:type="pct"/>
            <w:shd w:val="clear" w:color="000000" w:fill="FFFFFF"/>
            <w:noWrap/>
            <w:vAlign w:val="center"/>
            <w:hideMark/>
          </w:tcPr>
          <w:p w14:paraId="74E3066A"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na riešenie vplyvov legislatívnych zmien</w:t>
            </w:r>
          </w:p>
        </w:tc>
        <w:tc>
          <w:tcPr>
            <w:tcW w:w="547" w:type="pct"/>
            <w:shd w:val="clear" w:color="auto" w:fill="auto"/>
            <w:noWrap/>
          </w:tcPr>
          <w:p w14:paraId="447A0D30" w14:textId="761D8A83"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77 748</w:t>
            </w:r>
          </w:p>
        </w:tc>
        <w:tc>
          <w:tcPr>
            <w:tcW w:w="547" w:type="pct"/>
            <w:shd w:val="clear" w:color="000000" w:fill="FFFFFF"/>
            <w:noWrap/>
          </w:tcPr>
          <w:p w14:paraId="1958CDDF" w14:textId="4CAC3AC6"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130 634</w:t>
            </w:r>
          </w:p>
        </w:tc>
        <w:tc>
          <w:tcPr>
            <w:tcW w:w="547" w:type="pct"/>
            <w:shd w:val="clear" w:color="000000" w:fill="FFFFFF"/>
            <w:noWrap/>
          </w:tcPr>
          <w:p w14:paraId="7EDE98E8" w14:textId="6935546F"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130 634</w:t>
            </w:r>
          </w:p>
        </w:tc>
        <w:tc>
          <w:tcPr>
            <w:tcW w:w="547" w:type="pct"/>
            <w:shd w:val="clear" w:color="auto" w:fill="auto"/>
            <w:noWrap/>
            <w:hideMark/>
          </w:tcPr>
          <w:p w14:paraId="3C9D05A0" w14:textId="7FC2C6FF"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130 634</w:t>
            </w:r>
          </w:p>
        </w:tc>
        <w:tc>
          <w:tcPr>
            <w:tcW w:w="625" w:type="pct"/>
            <w:shd w:val="clear" w:color="000000" w:fill="FFFFFF"/>
            <w:hideMark/>
          </w:tcPr>
          <w:p w14:paraId="6EEDA303" w14:textId="6E03B11F"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130 634</w:t>
            </w:r>
          </w:p>
        </w:tc>
        <w:tc>
          <w:tcPr>
            <w:tcW w:w="624" w:type="pct"/>
            <w:shd w:val="clear" w:color="000000" w:fill="FFFFFF"/>
          </w:tcPr>
          <w:p w14:paraId="2D93ACC4" w14:textId="36FAA39A"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0</w:t>
            </w:r>
          </w:p>
        </w:tc>
      </w:tr>
      <w:tr w:rsidR="002351E4" w:rsidRPr="00766745" w14:paraId="78235EFB" w14:textId="77777777" w:rsidTr="00846EB5">
        <w:trPr>
          <w:trHeight w:val="283"/>
        </w:trPr>
        <w:tc>
          <w:tcPr>
            <w:tcW w:w="1563" w:type="pct"/>
            <w:shd w:val="clear" w:color="000000" w:fill="FFFFFF"/>
            <w:noWrap/>
            <w:vAlign w:val="center"/>
            <w:hideMark/>
          </w:tcPr>
          <w:p w14:paraId="5F874727"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na riešenie krízových situácií mimo času vojny a vojnového stavu a vykonávanie povodňových prác</w:t>
            </w:r>
          </w:p>
        </w:tc>
        <w:tc>
          <w:tcPr>
            <w:tcW w:w="547" w:type="pct"/>
            <w:shd w:val="clear" w:color="auto" w:fill="auto"/>
            <w:noWrap/>
          </w:tcPr>
          <w:p w14:paraId="63C17DC1" w14:textId="1C733C9F"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8 200</w:t>
            </w:r>
          </w:p>
        </w:tc>
        <w:tc>
          <w:tcPr>
            <w:tcW w:w="547" w:type="pct"/>
            <w:shd w:val="clear" w:color="000000" w:fill="FFFFFF"/>
            <w:noWrap/>
          </w:tcPr>
          <w:p w14:paraId="1102461C" w14:textId="105F0604"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11 000</w:t>
            </w:r>
          </w:p>
        </w:tc>
        <w:tc>
          <w:tcPr>
            <w:tcW w:w="547" w:type="pct"/>
            <w:shd w:val="clear" w:color="000000" w:fill="FFFFFF"/>
            <w:noWrap/>
          </w:tcPr>
          <w:p w14:paraId="1F48505A" w14:textId="67E04565"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11 000</w:t>
            </w:r>
          </w:p>
        </w:tc>
        <w:tc>
          <w:tcPr>
            <w:tcW w:w="547" w:type="pct"/>
            <w:shd w:val="clear" w:color="auto" w:fill="auto"/>
            <w:noWrap/>
            <w:hideMark/>
          </w:tcPr>
          <w:p w14:paraId="343F5EAB" w14:textId="3998421F"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6 656</w:t>
            </w:r>
          </w:p>
        </w:tc>
        <w:tc>
          <w:tcPr>
            <w:tcW w:w="625" w:type="pct"/>
            <w:shd w:val="clear" w:color="000000" w:fill="FFFFFF"/>
            <w:hideMark/>
          </w:tcPr>
          <w:p w14:paraId="7E1F9504" w14:textId="66EADEDE"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6 656</w:t>
            </w:r>
          </w:p>
        </w:tc>
        <w:tc>
          <w:tcPr>
            <w:tcW w:w="624" w:type="pct"/>
            <w:shd w:val="clear" w:color="000000" w:fill="FFFFFF"/>
          </w:tcPr>
          <w:p w14:paraId="1CA4C4EC" w14:textId="2CE17BB5"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4 344</w:t>
            </w:r>
          </w:p>
        </w:tc>
      </w:tr>
      <w:tr w:rsidR="002351E4" w:rsidRPr="00766745" w14:paraId="4212B2D1" w14:textId="77777777" w:rsidTr="00846EB5">
        <w:trPr>
          <w:trHeight w:val="283"/>
        </w:trPr>
        <w:tc>
          <w:tcPr>
            <w:tcW w:w="1563" w:type="pct"/>
            <w:shd w:val="clear" w:color="000000" w:fill="FFFFFF"/>
            <w:noWrap/>
            <w:vAlign w:val="center"/>
            <w:hideMark/>
          </w:tcPr>
          <w:p w14:paraId="7FFFCDCC"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predsedu vlády SR</w:t>
            </w:r>
          </w:p>
        </w:tc>
        <w:tc>
          <w:tcPr>
            <w:tcW w:w="547" w:type="pct"/>
            <w:shd w:val="clear" w:color="auto" w:fill="auto"/>
            <w:noWrap/>
          </w:tcPr>
          <w:p w14:paraId="13870CD0" w14:textId="612444A4"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4 086</w:t>
            </w:r>
          </w:p>
        </w:tc>
        <w:tc>
          <w:tcPr>
            <w:tcW w:w="547" w:type="pct"/>
            <w:shd w:val="clear" w:color="000000" w:fill="FFFFFF"/>
            <w:noWrap/>
          </w:tcPr>
          <w:p w14:paraId="3F034B39" w14:textId="4E2930B0"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1 500</w:t>
            </w:r>
          </w:p>
        </w:tc>
        <w:tc>
          <w:tcPr>
            <w:tcW w:w="547" w:type="pct"/>
            <w:shd w:val="clear" w:color="000000" w:fill="FFFFFF"/>
            <w:noWrap/>
          </w:tcPr>
          <w:p w14:paraId="7C69A45E" w14:textId="6359156F"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2003</w:t>
            </w:r>
          </w:p>
        </w:tc>
        <w:tc>
          <w:tcPr>
            <w:tcW w:w="547" w:type="pct"/>
            <w:shd w:val="clear" w:color="auto" w:fill="auto"/>
            <w:noWrap/>
            <w:hideMark/>
          </w:tcPr>
          <w:p w14:paraId="7BD3A21B" w14:textId="4A0D531B"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1 942</w:t>
            </w:r>
          </w:p>
        </w:tc>
        <w:tc>
          <w:tcPr>
            <w:tcW w:w="625" w:type="pct"/>
            <w:shd w:val="clear" w:color="000000" w:fill="FFFFFF"/>
            <w:hideMark/>
          </w:tcPr>
          <w:p w14:paraId="00FEDEAC" w14:textId="58B69CFA"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1 942</w:t>
            </w:r>
          </w:p>
        </w:tc>
        <w:tc>
          <w:tcPr>
            <w:tcW w:w="624" w:type="pct"/>
            <w:shd w:val="clear" w:color="000000" w:fill="FFFFFF"/>
          </w:tcPr>
          <w:p w14:paraId="4CB11F83" w14:textId="53749310"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61</w:t>
            </w:r>
          </w:p>
        </w:tc>
      </w:tr>
      <w:tr w:rsidR="002351E4" w:rsidRPr="00766745" w14:paraId="6EDE8E2C" w14:textId="77777777" w:rsidTr="00846EB5">
        <w:trPr>
          <w:trHeight w:val="283"/>
        </w:trPr>
        <w:tc>
          <w:tcPr>
            <w:tcW w:w="1563" w:type="pct"/>
            <w:shd w:val="clear" w:color="000000" w:fill="FFFFFF"/>
            <w:noWrap/>
            <w:vAlign w:val="center"/>
            <w:hideMark/>
          </w:tcPr>
          <w:p w14:paraId="6262D324"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na realizáciu súdnych a exekučných rozhodnutí</w:t>
            </w:r>
          </w:p>
        </w:tc>
        <w:tc>
          <w:tcPr>
            <w:tcW w:w="547" w:type="pct"/>
            <w:shd w:val="clear" w:color="auto" w:fill="auto"/>
            <w:noWrap/>
          </w:tcPr>
          <w:p w14:paraId="044AF668" w14:textId="777FA1AE"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1 200</w:t>
            </w:r>
          </w:p>
        </w:tc>
        <w:tc>
          <w:tcPr>
            <w:tcW w:w="547" w:type="pct"/>
            <w:shd w:val="clear" w:color="000000" w:fill="FFFFFF"/>
            <w:noWrap/>
          </w:tcPr>
          <w:p w14:paraId="4ADB9D97" w14:textId="71E53C3C"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10 000</w:t>
            </w:r>
          </w:p>
        </w:tc>
        <w:tc>
          <w:tcPr>
            <w:tcW w:w="547" w:type="pct"/>
            <w:shd w:val="clear" w:color="000000" w:fill="FFFFFF"/>
            <w:noWrap/>
          </w:tcPr>
          <w:p w14:paraId="66399154" w14:textId="21379415"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10 000</w:t>
            </w:r>
          </w:p>
        </w:tc>
        <w:tc>
          <w:tcPr>
            <w:tcW w:w="547" w:type="pct"/>
            <w:shd w:val="clear" w:color="auto" w:fill="auto"/>
            <w:noWrap/>
            <w:hideMark/>
          </w:tcPr>
          <w:p w14:paraId="49893DCC" w14:textId="53155BCD"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10 000</w:t>
            </w:r>
          </w:p>
        </w:tc>
        <w:tc>
          <w:tcPr>
            <w:tcW w:w="625" w:type="pct"/>
            <w:shd w:val="clear" w:color="000000" w:fill="FFFFFF"/>
            <w:hideMark/>
          </w:tcPr>
          <w:p w14:paraId="3114A5BC" w14:textId="589D33F0"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10 000</w:t>
            </w:r>
          </w:p>
        </w:tc>
        <w:tc>
          <w:tcPr>
            <w:tcW w:w="624" w:type="pct"/>
            <w:shd w:val="clear" w:color="000000" w:fill="FFFFFF"/>
          </w:tcPr>
          <w:p w14:paraId="0026E2FC" w14:textId="6B314736"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0</w:t>
            </w:r>
          </w:p>
        </w:tc>
      </w:tr>
      <w:tr w:rsidR="002351E4" w:rsidRPr="00766745" w14:paraId="11A34D72" w14:textId="77777777" w:rsidTr="00846EB5">
        <w:trPr>
          <w:trHeight w:val="283"/>
        </w:trPr>
        <w:tc>
          <w:tcPr>
            <w:tcW w:w="1563" w:type="pct"/>
            <w:shd w:val="clear" w:color="000000" w:fill="FFFFFF"/>
            <w:noWrap/>
            <w:vAlign w:val="center"/>
            <w:hideMark/>
          </w:tcPr>
          <w:p w14:paraId="6B0129C4" w14:textId="77777777" w:rsidR="002351E4" w:rsidRPr="00766745" w:rsidRDefault="002351E4" w:rsidP="002351E4">
            <w:pPr>
              <w:spacing w:after="0" w:line="240" w:lineRule="auto"/>
              <w:jc w:val="left"/>
              <w:rPr>
                <w:rFonts w:eastAsia="Times New Roman" w:cs="Segoe UI"/>
                <w:color w:val="000000"/>
                <w:sz w:val="16"/>
                <w:szCs w:val="16"/>
                <w:lang w:eastAsia="sk-SK"/>
              </w:rPr>
            </w:pPr>
            <w:r w:rsidRPr="00766745">
              <w:rPr>
                <w:rFonts w:eastAsia="Times New Roman" w:cs="Segoe UI"/>
                <w:color w:val="000000"/>
                <w:sz w:val="16"/>
                <w:szCs w:val="16"/>
                <w:lang w:eastAsia="sk-SK"/>
              </w:rPr>
              <w:t>Rezerva vlády SR</w:t>
            </w:r>
          </w:p>
        </w:tc>
        <w:tc>
          <w:tcPr>
            <w:tcW w:w="547" w:type="pct"/>
            <w:shd w:val="clear" w:color="auto" w:fill="auto"/>
            <w:noWrap/>
          </w:tcPr>
          <w:p w14:paraId="26AC2F21" w14:textId="14A3C356"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242</w:t>
            </w:r>
          </w:p>
        </w:tc>
        <w:tc>
          <w:tcPr>
            <w:tcW w:w="547" w:type="pct"/>
            <w:shd w:val="clear" w:color="000000" w:fill="FFFFFF"/>
            <w:noWrap/>
          </w:tcPr>
          <w:p w14:paraId="3698C042" w14:textId="59375286"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5 000</w:t>
            </w:r>
          </w:p>
        </w:tc>
        <w:tc>
          <w:tcPr>
            <w:tcW w:w="547" w:type="pct"/>
            <w:shd w:val="clear" w:color="000000" w:fill="FFFFFF"/>
            <w:noWrap/>
          </w:tcPr>
          <w:p w14:paraId="1D147174" w14:textId="6A92C16D"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5 000</w:t>
            </w:r>
          </w:p>
        </w:tc>
        <w:tc>
          <w:tcPr>
            <w:tcW w:w="547" w:type="pct"/>
            <w:shd w:val="clear" w:color="auto" w:fill="auto"/>
            <w:noWrap/>
            <w:hideMark/>
          </w:tcPr>
          <w:p w14:paraId="345141F0" w14:textId="532DDF65"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1100</w:t>
            </w:r>
          </w:p>
        </w:tc>
        <w:tc>
          <w:tcPr>
            <w:tcW w:w="625" w:type="pct"/>
            <w:shd w:val="clear" w:color="000000" w:fill="FFFFFF"/>
            <w:hideMark/>
          </w:tcPr>
          <w:p w14:paraId="2C5B6303" w14:textId="2B465FF7" w:rsidR="002351E4" w:rsidRPr="002351E4" w:rsidRDefault="002351E4" w:rsidP="002351E4">
            <w:pPr>
              <w:spacing w:after="0" w:line="240" w:lineRule="auto"/>
              <w:jc w:val="right"/>
              <w:rPr>
                <w:rFonts w:eastAsia="Times New Roman" w:cs="Segoe UI"/>
                <w:color w:val="000000"/>
                <w:sz w:val="16"/>
                <w:szCs w:val="16"/>
                <w:lang w:eastAsia="sk-SK"/>
              </w:rPr>
            </w:pPr>
            <w:r w:rsidRPr="002351E4">
              <w:rPr>
                <w:sz w:val="16"/>
                <w:szCs w:val="16"/>
              </w:rPr>
              <w:t>1 100</w:t>
            </w:r>
          </w:p>
        </w:tc>
        <w:tc>
          <w:tcPr>
            <w:tcW w:w="624" w:type="pct"/>
            <w:shd w:val="clear" w:color="000000" w:fill="FFFFFF"/>
          </w:tcPr>
          <w:p w14:paraId="48F2473A" w14:textId="30410BEE" w:rsidR="002351E4" w:rsidRPr="002351E4" w:rsidRDefault="002351E4" w:rsidP="002351E4">
            <w:pPr>
              <w:spacing w:after="0" w:line="240" w:lineRule="auto"/>
              <w:jc w:val="right"/>
              <w:rPr>
                <w:rFonts w:eastAsia="Times New Roman" w:cs="Segoe UI"/>
                <w:color w:val="000000"/>
                <w:sz w:val="16"/>
                <w:szCs w:val="16"/>
                <w:highlight w:val="yellow"/>
                <w:lang w:eastAsia="sk-SK"/>
              </w:rPr>
            </w:pPr>
            <w:r w:rsidRPr="002351E4">
              <w:rPr>
                <w:sz w:val="16"/>
                <w:szCs w:val="16"/>
              </w:rPr>
              <w:t>3 900</w:t>
            </w:r>
          </w:p>
        </w:tc>
      </w:tr>
      <w:tr w:rsidR="002351E4" w:rsidRPr="00766745" w14:paraId="2A3FF4CE" w14:textId="77777777" w:rsidTr="00846EB5">
        <w:trPr>
          <w:trHeight w:val="283"/>
        </w:trPr>
        <w:tc>
          <w:tcPr>
            <w:tcW w:w="1563" w:type="pct"/>
            <w:shd w:val="clear" w:color="000000" w:fill="FFFFFF"/>
            <w:noWrap/>
            <w:vAlign w:val="center"/>
            <w:hideMark/>
          </w:tcPr>
          <w:p w14:paraId="40DECBEE" w14:textId="77777777" w:rsidR="002351E4" w:rsidRPr="00766745" w:rsidRDefault="002351E4" w:rsidP="002351E4">
            <w:pPr>
              <w:spacing w:after="0" w:line="240" w:lineRule="auto"/>
              <w:jc w:val="left"/>
              <w:rPr>
                <w:rFonts w:eastAsia="Times New Roman" w:cs="Segoe UI"/>
                <w:b/>
                <w:bCs/>
                <w:color w:val="000000"/>
                <w:sz w:val="16"/>
                <w:szCs w:val="16"/>
                <w:lang w:eastAsia="sk-SK"/>
              </w:rPr>
            </w:pPr>
            <w:r w:rsidRPr="00766745">
              <w:rPr>
                <w:rFonts w:eastAsia="Times New Roman" w:cs="Segoe UI"/>
                <w:b/>
                <w:bCs/>
                <w:color w:val="000000"/>
                <w:sz w:val="16"/>
                <w:szCs w:val="16"/>
                <w:lang w:eastAsia="sk-SK"/>
              </w:rPr>
              <w:t>Spolu</w:t>
            </w:r>
          </w:p>
        </w:tc>
        <w:tc>
          <w:tcPr>
            <w:tcW w:w="547" w:type="pct"/>
            <w:shd w:val="clear" w:color="auto" w:fill="auto"/>
            <w:noWrap/>
          </w:tcPr>
          <w:p w14:paraId="3E42482C" w14:textId="4C2216E9" w:rsidR="002351E4" w:rsidRPr="002351E4" w:rsidRDefault="002351E4" w:rsidP="002351E4">
            <w:pPr>
              <w:spacing w:after="0" w:line="240" w:lineRule="auto"/>
              <w:jc w:val="right"/>
              <w:rPr>
                <w:rFonts w:eastAsia="Times New Roman" w:cs="Segoe UI"/>
                <w:b/>
                <w:bCs/>
                <w:color w:val="000000"/>
                <w:sz w:val="16"/>
                <w:szCs w:val="16"/>
                <w:lang w:eastAsia="sk-SK"/>
              </w:rPr>
            </w:pPr>
            <w:r w:rsidRPr="002351E4">
              <w:rPr>
                <w:sz w:val="16"/>
                <w:szCs w:val="16"/>
              </w:rPr>
              <w:t>3 934 531</w:t>
            </w:r>
          </w:p>
        </w:tc>
        <w:tc>
          <w:tcPr>
            <w:tcW w:w="547" w:type="pct"/>
            <w:shd w:val="clear" w:color="000000" w:fill="FFFFFF"/>
            <w:noWrap/>
          </w:tcPr>
          <w:p w14:paraId="0FD78A3E" w14:textId="70A39D69" w:rsidR="002351E4" w:rsidRPr="002351E4" w:rsidRDefault="002351E4" w:rsidP="002351E4">
            <w:pPr>
              <w:spacing w:after="0" w:line="240" w:lineRule="auto"/>
              <w:jc w:val="right"/>
              <w:rPr>
                <w:rFonts w:eastAsia="Times New Roman" w:cs="Segoe UI"/>
                <w:b/>
                <w:bCs/>
                <w:color w:val="000000"/>
                <w:sz w:val="16"/>
                <w:szCs w:val="16"/>
                <w:highlight w:val="yellow"/>
                <w:lang w:eastAsia="sk-SK"/>
              </w:rPr>
            </w:pPr>
            <w:r w:rsidRPr="002351E4">
              <w:rPr>
                <w:sz w:val="16"/>
                <w:szCs w:val="16"/>
              </w:rPr>
              <w:t>1 753 794</w:t>
            </w:r>
          </w:p>
        </w:tc>
        <w:tc>
          <w:tcPr>
            <w:tcW w:w="547" w:type="pct"/>
            <w:shd w:val="clear" w:color="000000" w:fill="FFFFFF"/>
            <w:noWrap/>
          </w:tcPr>
          <w:p w14:paraId="5ADF2039" w14:textId="14E06F88" w:rsidR="002351E4" w:rsidRPr="002351E4" w:rsidRDefault="002351E4" w:rsidP="002351E4">
            <w:pPr>
              <w:spacing w:after="0" w:line="240" w:lineRule="auto"/>
              <w:jc w:val="right"/>
              <w:rPr>
                <w:rFonts w:eastAsia="Times New Roman" w:cs="Segoe UI"/>
                <w:b/>
                <w:bCs/>
                <w:color w:val="000000"/>
                <w:sz w:val="16"/>
                <w:szCs w:val="16"/>
                <w:highlight w:val="yellow"/>
                <w:lang w:eastAsia="sk-SK"/>
              </w:rPr>
            </w:pPr>
            <w:r w:rsidRPr="002351E4">
              <w:rPr>
                <w:sz w:val="16"/>
                <w:szCs w:val="16"/>
              </w:rPr>
              <w:t>1 929 358</w:t>
            </w:r>
          </w:p>
        </w:tc>
        <w:tc>
          <w:tcPr>
            <w:tcW w:w="547" w:type="pct"/>
            <w:shd w:val="clear" w:color="auto" w:fill="auto"/>
            <w:noWrap/>
            <w:hideMark/>
          </w:tcPr>
          <w:p w14:paraId="3CE41149" w14:textId="45F63F0B" w:rsidR="002351E4" w:rsidRPr="002351E4" w:rsidRDefault="002351E4" w:rsidP="002351E4">
            <w:pPr>
              <w:spacing w:after="0" w:line="240" w:lineRule="auto"/>
              <w:jc w:val="right"/>
              <w:rPr>
                <w:rFonts w:eastAsia="Times New Roman" w:cs="Segoe UI"/>
                <w:b/>
                <w:bCs/>
                <w:color w:val="000000"/>
                <w:sz w:val="16"/>
                <w:szCs w:val="16"/>
                <w:highlight w:val="yellow"/>
                <w:lang w:eastAsia="sk-SK"/>
              </w:rPr>
            </w:pPr>
            <w:r w:rsidRPr="002351E4">
              <w:rPr>
                <w:sz w:val="16"/>
                <w:szCs w:val="16"/>
              </w:rPr>
              <w:t>1 889 555</w:t>
            </w:r>
          </w:p>
        </w:tc>
        <w:tc>
          <w:tcPr>
            <w:tcW w:w="625" w:type="pct"/>
            <w:shd w:val="clear" w:color="000000" w:fill="FFFFFF"/>
            <w:noWrap/>
            <w:hideMark/>
          </w:tcPr>
          <w:p w14:paraId="1477EA8C" w14:textId="4F7687C9" w:rsidR="002351E4" w:rsidRPr="002351E4" w:rsidRDefault="002351E4" w:rsidP="002351E4">
            <w:pPr>
              <w:spacing w:after="0" w:line="240" w:lineRule="auto"/>
              <w:jc w:val="right"/>
              <w:rPr>
                <w:rFonts w:eastAsia="Times New Roman" w:cs="Segoe UI"/>
                <w:b/>
                <w:bCs/>
                <w:color w:val="000000"/>
                <w:sz w:val="16"/>
                <w:szCs w:val="16"/>
                <w:highlight w:val="yellow"/>
                <w:lang w:eastAsia="sk-SK"/>
              </w:rPr>
            </w:pPr>
            <w:r w:rsidRPr="002351E4">
              <w:rPr>
                <w:sz w:val="16"/>
                <w:szCs w:val="16"/>
              </w:rPr>
              <w:t>1 889 555</w:t>
            </w:r>
          </w:p>
        </w:tc>
        <w:tc>
          <w:tcPr>
            <w:tcW w:w="624" w:type="pct"/>
            <w:shd w:val="clear" w:color="000000" w:fill="FFFFFF"/>
            <w:noWrap/>
            <w:hideMark/>
          </w:tcPr>
          <w:p w14:paraId="576DCC35" w14:textId="7BEFC296" w:rsidR="002351E4" w:rsidRPr="002351E4" w:rsidRDefault="002351E4" w:rsidP="002351E4">
            <w:pPr>
              <w:spacing w:after="0" w:line="240" w:lineRule="auto"/>
              <w:jc w:val="right"/>
              <w:rPr>
                <w:rFonts w:eastAsia="Times New Roman" w:cs="Segoe UI"/>
                <w:b/>
                <w:bCs/>
                <w:color w:val="000000"/>
                <w:sz w:val="16"/>
                <w:szCs w:val="16"/>
                <w:highlight w:val="yellow"/>
                <w:lang w:eastAsia="sk-SK"/>
              </w:rPr>
            </w:pPr>
            <w:r w:rsidRPr="002351E4">
              <w:rPr>
                <w:sz w:val="16"/>
                <w:szCs w:val="16"/>
              </w:rPr>
              <w:t>39 803</w:t>
            </w:r>
          </w:p>
        </w:tc>
      </w:tr>
    </w:tbl>
    <w:p w14:paraId="729F5DB9" w14:textId="7B3A1F6F" w:rsidR="00003F74" w:rsidRPr="00B1180A" w:rsidRDefault="00003F74" w:rsidP="00003F74">
      <w:pPr>
        <w:pStyle w:val="Zdroj"/>
        <w:rPr>
          <w:szCs w:val="16"/>
        </w:rPr>
      </w:pPr>
      <w:r w:rsidRPr="00B1180A">
        <w:t>Zdroj: MF SR, ÚV SR</w:t>
      </w:r>
      <w:r w:rsidR="00F00761">
        <w:t>.</w:t>
      </w:r>
      <w:r>
        <w:rPr>
          <w:szCs w:val="16"/>
        </w:rPr>
        <w:br/>
      </w:r>
      <w:r w:rsidRPr="00B1180A">
        <w:rPr>
          <w:szCs w:val="16"/>
        </w:rPr>
        <w:t>*Upravený rozpočet predstavuje celkový disponibilný zdroj prostriedkov</w:t>
      </w:r>
      <w:r>
        <w:rPr>
          <w:szCs w:val="16"/>
        </w:rPr>
        <w:t xml:space="preserve"> jednotlivých rezerv v roku 2022</w:t>
      </w:r>
      <w:r w:rsidRPr="00B1180A">
        <w:rPr>
          <w:szCs w:val="16"/>
        </w:rPr>
        <w:t>.</w:t>
      </w:r>
    </w:p>
    <w:p w14:paraId="7FEE759A" w14:textId="3EE9AB6D" w:rsidR="00CA3F76" w:rsidRPr="00BD6121" w:rsidRDefault="002C4827" w:rsidP="00417B80">
      <w:pPr>
        <w:rPr>
          <w:rFonts w:cs="Segoe UI"/>
          <w:b/>
          <w:szCs w:val="20"/>
        </w:rPr>
      </w:pPr>
      <w:r w:rsidRPr="00991F40">
        <w:rPr>
          <w:rFonts w:cs="Segoe UI"/>
          <w:b/>
          <w:szCs w:val="20"/>
        </w:rPr>
        <w:t xml:space="preserve">NKÚ SR konštatuje, že rozpočtové pravidlá VS dávajú ministrovi financií </w:t>
      </w:r>
      <w:r w:rsidR="00F030E8">
        <w:rPr>
          <w:rFonts w:cs="Segoe UI"/>
          <w:b/>
          <w:szCs w:val="20"/>
        </w:rPr>
        <w:t>značné</w:t>
      </w:r>
      <w:r w:rsidRPr="00991F40">
        <w:rPr>
          <w:rFonts w:cs="Segoe UI"/>
          <w:b/>
          <w:szCs w:val="20"/>
        </w:rPr>
        <w:t xml:space="preserve"> právomoci pri rozhodovaní o ich použití a to bez súhlasu NR SR. </w:t>
      </w:r>
      <w:r w:rsidRPr="00991F40">
        <w:rPr>
          <w:rFonts w:cs="Segoe UI"/>
          <w:szCs w:val="20"/>
        </w:rPr>
        <w:t xml:space="preserve">Vláda SR rozhoduje len o rezerve vlády na základe návrhu ministra financií a o rezerve predsedu vlády </w:t>
      </w:r>
      <w:r>
        <w:rPr>
          <w:rFonts w:cs="Segoe UI"/>
          <w:szCs w:val="20"/>
        </w:rPr>
        <w:t xml:space="preserve">rozhoduje jej predseda. </w:t>
      </w:r>
      <w:r w:rsidR="00CA3F76">
        <w:rPr>
          <w:rFonts w:cs="Segoe UI"/>
          <w:szCs w:val="20"/>
        </w:rPr>
        <w:t>Kontrolou hospodárenia</w:t>
      </w:r>
      <w:r w:rsidR="00CA3F76" w:rsidRPr="00BF53F9">
        <w:rPr>
          <w:rFonts w:cs="Segoe UI"/>
          <w:szCs w:val="20"/>
        </w:rPr>
        <w:t xml:space="preserve"> s rozpočtovými rezervami</w:t>
      </w:r>
      <w:r w:rsidR="00CA3F76">
        <w:rPr>
          <w:rFonts w:cs="Segoe UI"/>
          <w:szCs w:val="20"/>
        </w:rPr>
        <w:t xml:space="preserve"> boli zistené ich presuny v rámci kapitoly VPS na iné výdavkové tituly rozpočtované a aj nerozpočtované</w:t>
      </w:r>
      <w:r w:rsidR="00CA40AC">
        <w:rPr>
          <w:rFonts w:cs="Segoe UI"/>
          <w:szCs w:val="20"/>
        </w:rPr>
        <w:t xml:space="preserve"> (tabuľka 9)</w:t>
      </w:r>
      <w:r w:rsidR="00CA3F76">
        <w:rPr>
          <w:rFonts w:cs="Segoe UI"/>
          <w:szCs w:val="20"/>
        </w:rPr>
        <w:t xml:space="preserve">. Súčasne boli zistené aj presuny nevyčerpaných prostriedkov do iných rozpočtových kapitol (napr. </w:t>
      </w:r>
      <w:r w:rsidR="00CA3F76" w:rsidRPr="00991F40">
        <w:rPr>
          <w:rFonts w:cs="Segoe UI"/>
          <w:szCs w:val="20"/>
        </w:rPr>
        <w:t>kapitole M</w:t>
      </w:r>
      <w:r w:rsidR="00CA3F76">
        <w:rPr>
          <w:rFonts w:cs="Segoe UI"/>
          <w:szCs w:val="20"/>
        </w:rPr>
        <w:t xml:space="preserve">H SR </w:t>
      </w:r>
      <w:r w:rsidR="00CA3F76" w:rsidRPr="00991F40">
        <w:rPr>
          <w:rFonts w:cs="Segoe UI"/>
          <w:szCs w:val="20"/>
        </w:rPr>
        <w:t>na kompenzáciu zvýše</w:t>
      </w:r>
      <w:r w:rsidR="00CA3F76">
        <w:rPr>
          <w:rFonts w:cs="Segoe UI"/>
          <w:szCs w:val="20"/>
        </w:rPr>
        <w:t xml:space="preserve">ných cien energií). </w:t>
      </w:r>
      <w:r w:rsidR="00CA3F76" w:rsidRPr="00BD6121">
        <w:rPr>
          <w:rFonts w:cs="Segoe UI"/>
          <w:b/>
          <w:szCs w:val="20"/>
        </w:rPr>
        <w:t xml:space="preserve">Pre vyššiu transparentnosť, aj s ohľadom na </w:t>
      </w:r>
      <w:r w:rsidR="00CA3F76">
        <w:rPr>
          <w:rFonts w:cs="Segoe UI"/>
          <w:b/>
          <w:szCs w:val="20"/>
        </w:rPr>
        <w:t>ich výšku</w:t>
      </w:r>
      <w:r w:rsidR="00CA3F76" w:rsidRPr="00BD6121">
        <w:rPr>
          <w:rFonts w:cs="Segoe UI"/>
          <w:b/>
          <w:szCs w:val="20"/>
        </w:rPr>
        <w:t xml:space="preserve">, NKÚ SR </w:t>
      </w:r>
      <w:r w:rsidR="00597422">
        <w:rPr>
          <w:rFonts w:cs="Segoe UI"/>
          <w:b/>
          <w:szCs w:val="20"/>
        </w:rPr>
        <w:t xml:space="preserve">na základe kontrol a analýz </w:t>
      </w:r>
      <w:r w:rsidR="00CA3F76" w:rsidRPr="00BD6121">
        <w:rPr>
          <w:rFonts w:cs="Segoe UI"/>
          <w:b/>
          <w:szCs w:val="20"/>
        </w:rPr>
        <w:t xml:space="preserve">navrhuje legislatívne upraviť ich tvorbu, použitie na konkrétne účely, rušenie a možnosť/nemožnosť presúvania na iné </w:t>
      </w:r>
      <w:r w:rsidR="00CA3F76">
        <w:rPr>
          <w:rFonts w:cs="Segoe UI"/>
          <w:b/>
          <w:szCs w:val="20"/>
        </w:rPr>
        <w:t>výdavkové titul</w:t>
      </w:r>
      <w:r w:rsidR="00CA3F76" w:rsidRPr="00BD6121">
        <w:rPr>
          <w:rFonts w:cs="Segoe UI"/>
          <w:b/>
          <w:szCs w:val="20"/>
        </w:rPr>
        <w:t>y. NKÚ SR</w:t>
      </w:r>
      <w:r w:rsidR="00597422">
        <w:rPr>
          <w:rFonts w:cs="Segoe UI"/>
          <w:b/>
          <w:szCs w:val="20"/>
        </w:rPr>
        <w:t xml:space="preserve"> dlhodobo</w:t>
      </w:r>
      <w:r w:rsidR="00CA3F76" w:rsidRPr="00BD6121">
        <w:rPr>
          <w:rFonts w:cs="Segoe UI"/>
          <w:b/>
          <w:szCs w:val="20"/>
        </w:rPr>
        <w:t xml:space="preserve"> upozorňuje, že nevyčerpané rezervy by prioritne mali byť použité na znižovanie deficitu verejných financií.</w:t>
      </w:r>
    </w:p>
    <w:p w14:paraId="3FF9B1BC" w14:textId="63602BEA" w:rsidR="001F22A4" w:rsidRDefault="002C027A" w:rsidP="005603E6">
      <w:pPr>
        <w:pStyle w:val="Nadpis3"/>
      </w:pPr>
      <w:bookmarkStart w:id="16" w:name="_Toc136418394"/>
      <w:r>
        <w:t xml:space="preserve">3.3.1 </w:t>
      </w:r>
      <w:r w:rsidR="00443229">
        <w:t>R</w:t>
      </w:r>
      <w:r w:rsidR="001F22A4">
        <w:t>ozpočtové opatrenia</w:t>
      </w:r>
      <w:bookmarkEnd w:id="16"/>
    </w:p>
    <w:p w14:paraId="459F1DF4" w14:textId="1E1CA00C" w:rsidR="004874E0" w:rsidRPr="004874E0" w:rsidRDefault="004874E0" w:rsidP="00F467D9">
      <w:pPr>
        <w:rPr>
          <w:rFonts w:cs="Segoe UI"/>
          <w:szCs w:val="20"/>
        </w:rPr>
      </w:pPr>
      <w:r w:rsidRPr="002351E4">
        <w:rPr>
          <w:rFonts w:cs="Segoe UI"/>
          <w:szCs w:val="20"/>
        </w:rPr>
        <w:t>Celkové výdavky ŠR boli pôvodne schválené vo výške 25,4 mld. eur</w:t>
      </w:r>
      <w:r w:rsidR="00412388" w:rsidRPr="002351E4">
        <w:rPr>
          <w:rFonts w:cs="Segoe UI"/>
          <w:szCs w:val="20"/>
        </w:rPr>
        <w:t xml:space="preserve"> a</w:t>
      </w:r>
      <w:r w:rsidRPr="002351E4">
        <w:rPr>
          <w:rFonts w:cs="Segoe UI"/>
          <w:szCs w:val="20"/>
        </w:rPr>
        <w:t xml:space="preserve"> novelou zákona o ŠR boli </w:t>
      </w:r>
      <w:r w:rsidR="00412388" w:rsidRPr="002351E4">
        <w:rPr>
          <w:rFonts w:cs="Segoe UI"/>
          <w:szCs w:val="20"/>
        </w:rPr>
        <w:t xml:space="preserve">v novembri </w:t>
      </w:r>
      <w:r w:rsidRPr="002351E4">
        <w:rPr>
          <w:rFonts w:cs="Segoe UI"/>
          <w:szCs w:val="20"/>
        </w:rPr>
        <w:t>zvýšené na 26,9 mld. eur. Rozpočtovými opatreniami (RO) však boli znížené na 24 mld. eur a skutočné výdavky boli vo výške 23 554,6 mil. eur.</w:t>
      </w:r>
    </w:p>
    <w:p w14:paraId="4FDC2842" w14:textId="15FF80FB" w:rsidR="00573AE3" w:rsidRPr="007630E9" w:rsidRDefault="004C18E7" w:rsidP="00F467D9">
      <w:pPr>
        <w:rPr>
          <w:rFonts w:cs="Segoe UI"/>
          <w:b/>
          <w:szCs w:val="20"/>
        </w:rPr>
      </w:pPr>
      <w:r w:rsidRPr="004C18E7">
        <w:rPr>
          <w:rFonts w:cs="Segoe UI"/>
          <w:b/>
          <w:szCs w:val="20"/>
        </w:rPr>
        <w:lastRenderedPageBreak/>
        <w:t xml:space="preserve">Napriek medziročnému poklesu výdavkov ŠR, počet a celková suma </w:t>
      </w:r>
      <w:r w:rsidR="008A7F1D">
        <w:rPr>
          <w:rFonts w:cs="Segoe UI"/>
          <w:b/>
          <w:szCs w:val="20"/>
        </w:rPr>
        <w:t>RO</w:t>
      </w:r>
      <w:r w:rsidRPr="004C18E7">
        <w:rPr>
          <w:rFonts w:cs="Segoe UI"/>
          <w:b/>
          <w:szCs w:val="20"/>
        </w:rPr>
        <w:t xml:space="preserve"> sa zvýšil</w:t>
      </w:r>
      <w:r>
        <w:rPr>
          <w:rFonts w:cs="Segoe UI"/>
          <w:b/>
          <w:szCs w:val="20"/>
        </w:rPr>
        <w:t>i, počet RO rastie už od roku</w:t>
      </w:r>
      <w:r w:rsidR="007123AC">
        <w:rPr>
          <w:rFonts w:cs="Segoe UI"/>
          <w:b/>
          <w:szCs w:val="20"/>
        </w:rPr>
        <w:t xml:space="preserve"> 2018</w:t>
      </w:r>
      <w:r>
        <w:rPr>
          <w:rFonts w:cs="Segoe UI"/>
          <w:b/>
          <w:szCs w:val="20"/>
        </w:rPr>
        <w:t xml:space="preserve"> </w:t>
      </w:r>
      <w:r w:rsidR="00573AE3">
        <w:rPr>
          <w:rFonts w:cs="Segoe UI"/>
          <w:szCs w:val="20"/>
        </w:rPr>
        <w:t xml:space="preserve">(graf </w:t>
      </w:r>
      <w:r w:rsidR="006667CD">
        <w:rPr>
          <w:rFonts w:cs="Segoe UI"/>
          <w:szCs w:val="20"/>
        </w:rPr>
        <w:t>10</w:t>
      </w:r>
      <w:r w:rsidR="00573AE3">
        <w:rPr>
          <w:rFonts w:cs="Segoe UI"/>
          <w:szCs w:val="20"/>
        </w:rPr>
        <w:t xml:space="preserve">). </w:t>
      </w:r>
      <w:r w:rsidR="00573AE3" w:rsidRPr="007630E9">
        <w:rPr>
          <w:rFonts w:cs="Segoe UI"/>
          <w:b/>
          <w:szCs w:val="20"/>
        </w:rPr>
        <w:t>N</w:t>
      </w:r>
      <w:r w:rsidR="006667CD" w:rsidRPr="007630E9">
        <w:rPr>
          <w:rFonts w:cs="Segoe UI"/>
          <w:b/>
          <w:szCs w:val="20"/>
        </w:rPr>
        <w:t>aj</w:t>
      </w:r>
      <w:r w:rsidR="00573AE3" w:rsidRPr="007630E9">
        <w:rPr>
          <w:rFonts w:cs="Segoe UI"/>
          <w:b/>
          <w:szCs w:val="20"/>
        </w:rPr>
        <w:t>významnejšie RO za rok 2022 bolo z prostriedko</w:t>
      </w:r>
      <w:r w:rsidR="00F735B5" w:rsidRPr="007630E9">
        <w:rPr>
          <w:rFonts w:cs="Segoe UI"/>
          <w:b/>
          <w:szCs w:val="20"/>
        </w:rPr>
        <w:t xml:space="preserve">v VPS učené pre kapitolu MH SR </w:t>
      </w:r>
      <w:r w:rsidR="00573AE3" w:rsidRPr="007630E9">
        <w:rPr>
          <w:rFonts w:cs="Segoe UI"/>
          <w:b/>
          <w:szCs w:val="20"/>
        </w:rPr>
        <w:t>na kompenzáciu nákladov z dôvodu zvýšených cien energií v sume 980</w:t>
      </w:r>
      <w:r w:rsidR="00AD081A" w:rsidRPr="007630E9">
        <w:rPr>
          <w:rFonts w:cs="Segoe UI"/>
          <w:b/>
          <w:szCs w:val="20"/>
        </w:rPr>
        <w:t xml:space="preserve"> mil. eur.</w:t>
      </w:r>
    </w:p>
    <w:p w14:paraId="7C0B3136" w14:textId="5DCC2EE5" w:rsidR="00573AE3" w:rsidRDefault="00573AE3" w:rsidP="0035229D">
      <w:pPr>
        <w:pStyle w:val="Popis"/>
        <w:keepNext/>
      </w:pPr>
      <w:r>
        <w:t xml:space="preserve">Graf </w:t>
      </w:r>
      <w:r w:rsidR="006667CD">
        <w:t>10</w:t>
      </w:r>
      <w:r w:rsidRPr="008A43AE">
        <w:t>: Vývoj počtu rozpočtových opatrení za obdobie 2012 – 2022</w:t>
      </w:r>
    </w:p>
    <w:tbl>
      <w:tblPr>
        <w:tblStyle w:val="Mriekatabuky"/>
        <w:tblW w:w="0" w:type="auto"/>
        <w:tblLook w:val="04A0" w:firstRow="1" w:lastRow="0" w:firstColumn="1" w:lastColumn="0" w:noHBand="0" w:noVBand="1"/>
      </w:tblPr>
      <w:tblGrid>
        <w:gridCol w:w="9060"/>
      </w:tblGrid>
      <w:tr w:rsidR="00DC5993" w14:paraId="4CC7FDDC" w14:textId="77777777" w:rsidTr="0035229D">
        <w:tc>
          <w:tcPr>
            <w:tcW w:w="9060" w:type="dxa"/>
            <w:tcBorders>
              <w:top w:val="single" w:sz="4" w:space="0" w:color="314364" w:themeColor="text2"/>
              <w:left w:val="nil"/>
              <w:bottom w:val="single" w:sz="4" w:space="0" w:color="314364" w:themeColor="text2"/>
              <w:right w:val="nil"/>
            </w:tcBorders>
          </w:tcPr>
          <w:p w14:paraId="08876205" w14:textId="45AA787F" w:rsidR="00DC5993" w:rsidRDefault="00DC5993" w:rsidP="0035229D">
            <w:pPr>
              <w:spacing w:after="0"/>
            </w:pPr>
            <w:r w:rsidRPr="00096941">
              <w:rPr>
                <w:noProof/>
                <w:highlight w:val="blue"/>
                <w:lang w:eastAsia="sk-SK"/>
              </w:rPr>
              <w:drawing>
                <wp:inline distT="0" distB="0" distL="0" distR="0" wp14:anchorId="37DD7CAD" wp14:editId="0F999436">
                  <wp:extent cx="5600700" cy="1950720"/>
                  <wp:effectExtent l="0" t="0" r="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055DF313" w14:textId="03E145F7" w:rsidR="00573AE3" w:rsidRDefault="00573AE3" w:rsidP="0035229D">
      <w:pPr>
        <w:pStyle w:val="Zdroj"/>
      </w:pPr>
      <w:r w:rsidRPr="00573AE3">
        <w:t>Zdroj: rozpocet.sk</w:t>
      </w:r>
      <w:r w:rsidR="00F00761">
        <w:t>.</w:t>
      </w:r>
    </w:p>
    <w:p w14:paraId="2790A478" w14:textId="473F68DA" w:rsidR="00573AE3" w:rsidRPr="009B4C44" w:rsidRDefault="0076749A" w:rsidP="00F467D9">
      <w:pPr>
        <w:rPr>
          <w:rFonts w:cs="Segoe UI"/>
          <w:szCs w:val="20"/>
        </w:rPr>
      </w:pPr>
      <w:r>
        <w:rPr>
          <w:rFonts w:cs="Segoe UI"/>
          <w:b/>
          <w:szCs w:val="20"/>
        </w:rPr>
        <w:t xml:space="preserve">Analýzou </w:t>
      </w:r>
      <w:r w:rsidR="00AD081A" w:rsidRPr="007630E9">
        <w:rPr>
          <w:rFonts w:cs="Segoe UI"/>
          <w:b/>
          <w:szCs w:val="20"/>
        </w:rPr>
        <w:t xml:space="preserve">kapitoly VPS bolo </w:t>
      </w:r>
      <w:r>
        <w:rPr>
          <w:rFonts w:cs="Segoe UI"/>
          <w:b/>
          <w:szCs w:val="20"/>
        </w:rPr>
        <w:t xml:space="preserve">potvrdené, že </w:t>
      </w:r>
      <w:r w:rsidR="00AD081A" w:rsidRPr="007630E9">
        <w:rPr>
          <w:rFonts w:cs="Segoe UI"/>
          <w:b/>
          <w:szCs w:val="20"/>
        </w:rPr>
        <w:t xml:space="preserve">v roku 2022 </w:t>
      </w:r>
      <w:r>
        <w:rPr>
          <w:rFonts w:cs="Segoe UI"/>
          <w:b/>
          <w:szCs w:val="20"/>
        </w:rPr>
        <w:t xml:space="preserve">bolo </w:t>
      </w:r>
      <w:r w:rsidR="00AD081A" w:rsidRPr="007630E9">
        <w:rPr>
          <w:rFonts w:cs="Segoe UI"/>
          <w:b/>
          <w:szCs w:val="20"/>
        </w:rPr>
        <w:t xml:space="preserve">uvoľnených celkovo 4,3 mld. eur do </w:t>
      </w:r>
      <w:r w:rsidR="008E42D5">
        <w:rPr>
          <w:rFonts w:cs="Segoe UI"/>
          <w:b/>
          <w:szCs w:val="20"/>
        </w:rPr>
        <w:t>ďalších</w:t>
      </w:r>
      <w:r w:rsidR="00AD081A" w:rsidRPr="007630E9">
        <w:rPr>
          <w:rFonts w:cs="Segoe UI"/>
          <w:b/>
          <w:szCs w:val="20"/>
        </w:rPr>
        <w:t xml:space="preserve"> kapitol. </w:t>
      </w:r>
      <w:r w:rsidR="00AD081A" w:rsidRPr="009B4C44">
        <w:rPr>
          <w:rFonts w:cs="Segoe UI"/>
          <w:szCs w:val="20"/>
        </w:rPr>
        <w:t>Z týc</w:t>
      </w:r>
      <w:r w:rsidR="00AD081A">
        <w:rPr>
          <w:rFonts w:cs="Segoe UI"/>
          <w:szCs w:val="20"/>
        </w:rPr>
        <w:t>hto výdavkov bolo presunutých 48,</w:t>
      </w:r>
      <w:r w:rsidR="0087578A">
        <w:rPr>
          <w:rFonts w:cs="Segoe UI"/>
          <w:szCs w:val="20"/>
        </w:rPr>
        <w:t>2</w:t>
      </w:r>
      <w:r w:rsidR="00AD081A">
        <w:rPr>
          <w:rFonts w:cs="Segoe UI"/>
          <w:szCs w:val="20"/>
        </w:rPr>
        <w:t xml:space="preserve"> % (2,</w:t>
      </w:r>
      <w:r w:rsidR="0087578A">
        <w:rPr>
          <w:rFonts w:cs="Segoe UI"/>
          <w:szCs w:val="20"/>
        </w:rPr>
        <w:t>07</w:t>
      </w:r>
      <w:r w:rsidR="00AD081A">
        <w:rPr>
          <w:rFonts w:cs="Segoe UI"/>
          <w:szCs w:val="20"/>
        </w:rPr>
        <w:t xml:space="preserve"> mld.</w:t>
      </w:r>
      <w:r w:rsidR="00AD081A" w:rsidRPr="009B4C44">
        <w:rPr>
          <w:rFonts w:cs="Segoe UI"/>
          <w:szCs w:val="20"/>
        </w:rPr>
        <w:t xml:space="preserve"> eur) práve do kapitol MŠVV</w:t>
      </w:r>
      <w:r w:rsidR="00AE60F3">
        <w:rPr>
          <w:rFonts w:cs="Segoe UI"/>
          <w:szCs w:val="20"/>
        </w:rPr>
        <w:t>a</w:t>
      </w:r>
      <w:r w:rsidR="00AD081A" w:rsidRPr="009B4C44">
        <w:rPr>
          <w:rFonts w:cs="Segoe UI"/>
          <w:szCs w:val="20"/>
        </w:rPr>
        <w:t>Š</w:t>
      </w:r>
      <w:r w:rsidR="00AD081A">
        <w:rPr>
          <w:rFonts w:cs="Segoe UI"/>
          <w:szCs w:val="20"/>
        </w:rPr>
        <w:t xml:space="preserve"> SR</w:t>
      </w:r>
      <w:r w:rsidR="00AD081A" w:rsidRPr="009B4C44">
        <w:rPr>
          <w:rFonts w:cs="Segoe UI"/>
          <w:szCs w:val="20"/>
        </w:rPr>
        <w:t>, MZ</w:t>
      </w:r>
      <w:r w:rsidR="00AD081A">
        <w:rPr>
          <w:rFonts w:cs="Segoe UI"/>
          <w:szCs w:val="20"/>
        </w:rPr>
        <w:t xml:space="preserve"> SR</w:t>
      </w:r>
      <w:r w:rsidR="00AD081A" w:rsidRPr="009B4C44">
        <w:rPr>
          <w:rFonts w:cs="Segoe UI"/>
          <w:szCs w:val="20"/>
        </w:rPr>
        <w:t>, MPSVR</w:t>
      </w:r>
      <w:r w:rsidR="00AD081A">
        <w:rPr>
          <w:rFonts w:cs="Segoe UI"/>
          <w:szCs w:val="20"/>
        </w:rPr>
        <w:t xml:space="preserve"> SR</w:t>
      </w:r>
      <w:r w:rsidR="00AD081A" w:rsidRPr="009B4C44">
        <w:rPr>
          <w:rFonts w:cs="Segoe UI"/>
          <w:szCs w:val="20"/>
        </w:rPr>
        <w:t xml:space="preserve"> a</w:t>
      </w:r>
      <w:r w:rsidR="00AD081A">
        <w:rPr>
          <w:rFonts w:cs="Segoe UI"/>
          <w:szCs w:val="20"/>
        </w:rPr>
        <w:t> </w:t>
      </w:r>
      <w:r w:rsidR="00AD081A" w:rsidRPr="009B4C44">
        <w:rPr>
          <w:rFonts w:cs="Segoe UI"/>
          <w:szCs w:val="20"/>
        </w:rPr>
        <w:t>MO</w:t>
      </w:r>
      <w:r w:rsidR="00AD081A">
        <w:rPr>
          <w:rFonts w:cs="Segoe UI"/>
          <w:szCs w:val="20"/>
        </w:rPr>
        <w:t xml:space="preserve"> SR</w:t>
      </w:r>
      <w:r w:rsidR="00AD081A" w:rsidRPr="009B4C44">
        <w:rPr>
          <w:rFonts w:cs="Segoe UI"/>
          <w:szCs w:val="20"/>
        </w:rPr>
        <w:t>, na ktoré sa bližšie zameriavame v tomto stanovisku</w:t>
      </w:r>
      <w:r w:rsidR="00AD081A">
        <w:rPr>
          <w:rFonts w:cs="Segoe UI"/>
          <w:szCs w:val="20"/>
        </w:rPr>
        <w:t xml:space="preserve"> v kapitole 4. </w:t>
      </w:r>
      <w:r w:rsidR="00573AE3" w:rsidRPr="009B4C44">
        <w:rPr>
          <w:rFonts w:cs="Segoe UI"/>
          <w:szCs w:val="20"/>
        </w:rPr>
        <w:t xml:space="preserve">Najväčšie </w:t>
      </w:r>
      <w:r w:rsidR="007630E9">
        <w:rPr>
          <w:rFonts w:cs="Segoe UI"/>
          <w:szCs w:val="20"/>
        </w:rPr>
        <w:t>RO</w:t>
      </w:r>
      <w:r w:rsidR="00573AE3" w:rsidRPr="009B4C44">
        <w:rPr>
          <w:rFonts w:cs="Segoe UI"/>
          <w:szCs w:val="20"/>
        </w:rPr>
        <w:t xml:space="preserve"> v týchto kapitolách boli:</w:t>
      </w:r>
    </w:p>
    <w:p w14:paraId="3B633DBA" w14:textId="33C74A9E" w:rsidR="00573AE3" w:rsidRPr="009B4C44" w:rsidRDefault="00573AE3" w:rsidP="003451D7">
      <w:pPr>
        <w:pStyle w:val="Odsekzoznamu"/>
        <w:numPr>
          <w:ilvl w:val="0"/>
          <w:numId w:val="4"/>
        </w:numPr>
        <w:spacing w:after="0"/>
        <w:rPr>
          <w:rFonts w:cs="Segoe UI"/>
          <w:szCs w:val="20"/>
        </w:rPr>
      </w:pPr>
      <w:r w:rsidRPr="009B4C44">
        <w:rPr>
          <w:rFonts w:cs="Segoe UI"/>
          <w:szCs w:val="20"/>
        </w:rPr>
        <w:t xml:space="preserve">prekročenie limitu výdavkov v kapitole </w:t>
      </w:r>
      <w:r w:rsidRPr="009B4C44">
        <w:rPr>
          <w:rFonts w:cs="Segoe UI"/>
          <w:b/>
          <w:szCs w:val="20"/>
        </w:rPr>
        <w:t>MO SR</w:t>
      </w:r>
      <w:r w:rsidRPr="009B4C44">
        <w:rPr>
          <w:rFonts w:cs="Segoe UI"/>
          <w:szCs w:val="20"/>
        </w:rPr>
        <w:t xml:space="preserve"> o</w:t>
      </w:r>
      <w:r w:rsidR="007630E9">
        <w:rPr>
          <w:rFonts w:cs="Segoe UI"/>
          <w:szCs w:val="20"/>
        </w:rPr>
        <w:t> </w:t>
      </w:r>
      <w:r w:rsidRPr="009B4C44">
        <w:rPr>
          <w:rFonts w:cs="Segoe UI"/>
          <w:b/>
          <w:szCs w:val="20"/>
        </w:rPr>
        <w:t>234</w:t>
      </w:r>
      <w:r w:rsidR="007630E9">
        <w:rPr>
          <w:rFonts w:cs="Segoe UI"/>
          <w:b/>
          <w:szCs w:val="20"/>
        </w:rPr>
        <w:t>,</w:t>
      </w:r>
      <w:r>
        <w:rPr>
          <w:rFonts w:cs="Segoe UI"/>
          <w:b/>
          <w:szCs w:val="20"/>
        </w:rPr>
        <w:t>5</w:t>
      </w:r>
      <w:r w:rsidR="007630E9">
        <w:rPr>
          <w:rFonts w:cs="Segoe UI"/>
          <w:b/>
          <w:szCs w:val="20"/>
        </w:rPr>
        <w:t xml:space="preserve"> mil</w:t>
      </w:r>
      <w:r w:rsidRPr="009B4C44">
        <w:rPr>
          <w:rFonts w:cs="Segoe UI"/>
          <w:b/>
          <w:szCs w:val="20"/>
        </w:rPr>
        <w:t>. eur.</w:t>
      </w:r>
      <w:r w:rsidRPr="009B4C44">
        <w:rPr>
          <w:rFonts w:cs="Segoe UI"/>
          <w:szCs w:val="20"/>
        </w:rPr>
        <w:t xml:space="preserve">  (prostriedky z kapitoly VPS) – na úhradu DPH k zálohovej platbe za </w:t>
      </w:r>
      <w:r w:rsidR="0087578A">
        <w:rPr>
          <w:rFonts w:cs="Segoe UI"/>
          <w:szCs w:val="20"/>
        </w:rPr>
        <w:t>b</w:t>
      </w:r>
      <w:r w:rsidRPr="009B4C44">
        <w:rPr>
          <w:rFonts w:cs="Segoe UI"/>
          <w:szCs w:val="20"/>
        </w:rPr>
        <w:t xml:space="preserve">ojové obrnené vozidlá 8x8 a na zálohovú platbu za </w:t>
      </w:r>
      <w:r w:rsidR="0087578A">
        <w:rPr>
          <w:rFonts w:cs="Segoe UI"/>
          <w:szCs w:val="20"/>
        </w:rPr>
        <w:t>p</w:t>
      </w:r>
      <w:r w:rsidRPr="009B4C44">
        <w:rPr>
          <w:rFonts w:cs="Segoe UI"/>
          <w:szCs w:val="20"/>
        </w:rPr>
        <w:t>ásové bojové obrnené vozidlá a pásové obrnené voz</w:t>
      </w:r>
      <w:r w:rsidR="00F735B5">
        <w:rPr>
          <w:rFonts w:cs="Segoe UI"/>
          <w:szCs w:val="20"/>
        </w:rPr>
        <w:t>idlá v súlade s</w:t>
      </w:r>
      <w:r w:rsidR="00B34AD8">
        <w:rPr>
          <w:rFonts w:cs="Segoe UI"/>
          <w:szCs w:val="20"/>
        </w:rPr>
        <w:t> uznesením č.</w:t>
      </w:r>
      <w:r w:rsidR="00F735B5">
        <w:rPr>
          <w:rFonts w:cs="Segoe UI"/>
          <w:szCs w:val="20"/>
        </w:rPr>
        <w:t xml:space="preserve"> 436/2022</w:t>
      </w:r>
      <w:r w:rsidR="002B428B">
        <w:rPr>
          <w:rFonts w:cs="Segoe UI"/>
          <w:szCs w:val="20"/>
        </w:rPr>
        <w:t>,</w:t>
      </w:r>
    </w:p>
    <w:p w14:paraId="6943CF3A" w14:textId="1FB71B4E" w:rsidR="00573AE3" w:rsidRPr="009B4C44" w:rsidRDefault="00573AE3" w:rsidP="003451D7">
      <w:pPr>
        <w:pStyle w:val="Odsekzoznamu"/>
        <w:numPr>
          <w:ilvl w:val="0"/>
          <w:numId w:val="4"/>
        </w:numPr>
        <w:spacing w:after="0"/>
        <w:rPr>
          <w:rFonts w:cs="Segoe UI"/>
          <w:szCs w:val="20"/>
        </w:rPr>
      </w:pPr>
      <w:r w:rsidRPr="009B4C44">
        <w:rPr>
          <w:rFonts w:cs="Segoe UI"/>
          <w:szCs w:val="20"/>
        </w:rPr>
        <w:t xml:space="preserve">prekročenie limitu výdavkov v kapitole </w:t>
      </w:r>
      <w:r w:rsidRPr="009B4C44">
        <w:rPr>
          <w:rFonts w:cs="Segoe UI"/>
          <w:b/>
          <w:szCs w:val="20"/>
        </w:rPr>
        <w:t>MZ SR</w:t>
      </w:r>
      <w:r w:rsidRPr="009B4C44">
        <w:rPr>
          <w:rFonts w:cs="Segoe UI"/>
          <w:szCs w:val="20"/>
        </w:rPr>
        <w:t xml:space="preserve"> o</w:t>
      </w:r>
      <w:r w:rsidR="007630E9">
        <w:rPr>
          <w:rFonts w:cs="Segoe UI"/>
          <w:szCs w:val="20"/>
        </w:rPr>
        <w:t> </w:t>
      </w:r>
      <w:r w:rsidRPr="009B4C44">
        <w:rPr>
          <w:rFonts w:cs="Segoe UI"/>
          <w:b/>
          <w:szCs w:val="20"/>
        </w:rPr>
        <w:t>200</w:t>
      </w:r>
      <w:r w:rsidR="007630E9">
        <w:rPr>
          <w:rFonts w:cs="Segoe UI"/>
          <w:b/>
          <w:szCs w:val="20"/>
        </w:rPr>
        <w:t xml:space="preserve"> mil.</w:t>
      </w:r>
      <w:r w:rsidRPr="009B4C44">
        <w:rPr>
          <w:rFonts w:cs="Segoe UI"/>
          <w:b/>
          <w:szCs w:val="20"/>
        </w:rPr>
        <w:t xml:space="preserve"> eur</w:t>
      </w:r>
      <w:r w:rsidRPr="009B4C44">
        <w:rPr>
          <w:rFonts w:cs="Segoe UI"/>
          <w:szCs w:val="20"/>
        </w:rPr>
        <w:t xml:space="preserve"> na stabilizačný príspevok podľa UZN č. 762/2022</w:t>
      </w:r>
      <w:r w:rsidR="00F735B5">
        <w:rPr>
          <w:rFonts w:cs="Segoe UI"/>
          <w:szCs w:val="20"/>
        </w:rPr>
        <w:t xml:space="preserve"> </w:t>
      </w:r>
      <w:r w:rsidRPr="009B4C44">
        <w:rPr>
          <w:rFonts w:cs="Segoe UI"/>
          <w:szCs w:val="20"/>
        </w:rPr>
        <w:t xml:space="preserve">a o </w:t>
      </w:r>
      <w:r>
        <w:rPr>
          <w:rFonts w:cs="Segoe UI"/>
          <w:b/>
          <w:szCs w:val="20"/>
        </w:rPr>
        <w:t>100 </w:t>
      </w:r>
      <w:r w:rsidR="006F5D6F">
        <w:rPr>
          <w:rFonts w:cs="Segoe UI"/>
          <w:b/>
          <w:szCs w:val="20"/>
        </w:rPr>
        <w:t>mil.</w:t>
      </w:r>
      <w:r w:rsidRPr="009B4C44">
        <w:rPr>
          <w:rFonts w:cs="Segoe UI"/>
          <w:b/>
          <w:szCs w:val="20"/>
        </w:rPr>
        <w:t xml:space="preserve"> eur</w:t>
      </w:r>
      <w:r w:rsidRPr="009B4C44">
        <w:rPr>
          <w:rFonts w:cs="Segoe UI"/>
          <w:szCs w:val="20"/>
        </w:rPr>
        <w:t xml:space="preserve"> – na poistné za poistencov štátu (prostriedky z kapitoly VPS)</w:t>
      </w:r>
      <w:r w:rsidR="002B428B">
        <w:rPr>
          <w:rFonts w:cs="Segoe UI"/>
          <w:szCs w:val="20"/>
        </w:rPr>
        <w:t>,</w:t>
      </w:r>
    </w:p>
    <w:p w14:paraId="6971C8EC" w14:textId="473DB5F3" w:rsidR="00573AE3" w:rsidRPr="00C7354E" w:rsidRDefault="00573AE3" w:rsidP="003451D7">
      <w:pPr>
        <w:pStyle w:val="Odsekzoznamu"/>
        <w:numPr>
          <w:ilvl w:val="0"/>
          <w:numId w:val="4"/>
        </w:numPr>
        <w:rPr>
          <w:rFonts w:cs="Segoe UI"/>
          <w:szCs w:val="20"/>
        </w:rPr>
      </w:pPr>
      <w:r w:rsidRPr="00C4635E">
        <w:rPr>
          <w:rFonts w:cs="Segoe UI"/>
          <w:szCs w:val="20"/>
        </w:rPr>
        <w:t xml:space="preserve">prekročenie limitu výdavkov v kapitole </w:t>
      </w:r>
      <w:r w:rsidRPr="00A6398A">
        <w:rPr>
          <w:rFonts w:cs="Segoe UI"/>
          <w:b/>
          <w:szCs w:val="20"/>
        </w:rPr>
        <w:t>MPSVR SR</w:t>
      </w:r>
      <w:r w:rsidRPr="00C4635E">
        <w:rPr>
          <w:rFonts w:cs="Segoe UI"/>
          <w:szCs w:val="20"/>
        </w:rPr>
        <w:t xml:space="preserve"> o</w:t>
      </w:r>
      <w:r w:rsidR="007630E9">
        <w:rPr>
          <w:rFonts w:cs="Segoe UI"/>
          <w:szCs w:val="20"/>
        </w:rPr>
        <w:t> </w:t>
      </w:r>
      <w:r w:rsidRPr="00A6398A">
        <w:rPr>
          <w:rFonts w:cs="Segoe UI"/>
          <w:b/>
          <w:szCs w:val="20"/>
        </w:rPr>
        <w:t>86</w:t>
      </w:r>
      <w:r w:rsidR="007630E9" w:rsidRPr="00A6398A">
        <w:rPr>
          <w:rFonts w:cs="Segoe UI"/>
          <w:b/>
          <w:szCs w:val="20"/>
        </w:rPr>
        <w:t>,</w:t>
      </w:r>
      <w:r w:rsidRPr="00A6398A">
        <w:rPr>
          <w:rFonts w:cs="Segoe UI"/>
          <w:b/>
          <w:szCs w:val="20"/>
        </w:rPr>
        <w:t xml:space="preserve">5 </w:t>
      </w:r>
      <w:r w:rsidR="007630E9" w:rsidRPr="00A6398A">
        <w:rPr>
          <w:rFonts w:cs="Segoe UI"/>
          <w:b/>
          <w:szCs w:val="20"/>
        </w:rPr>
        <w:t>mil</w:t>
      </w:r>
      <w:r w:rsidRPr="00A6398A">
        <w:rPr>
          <w:rFonts w:cs="Segoe UI"/>
          <w:b/>
          <w:szCs w:val="20"/>
        </w:rPr>
        <w:t>. eur</w:t>
      </w:r>
      <w:r w:rsidRPr="00C4635E">
        <w:rPr>
          <w:rFonts w:cs="Segoe UI"/>
          <w:szCs w:val="20"/>
        </w:rPr>
        <w:t xml:space="preserve"> (prostriedky z kapitoly VPS) na financovanie projektu „Prvá pomoc“ na</w:t>
      </w:r>
      <w:r w:rsidR="00F735B5">
        <w:rPr>
          <w:rFonts w:cs="Segoe UI"/>
          <w:szCs w:val="20"/>
        </w:rPr>
        <w:t xml:space="preserve"> podporu udržania zamestnanosti. </w:t>
      </w:r>
      <w:r w:rsidRPr="00C4635E">
        <w:rPr>
          <w:rFonts w:cs="Segoe UI"/>
          <w:szCs w:val="20"/>
        </w:rPr>
        <w:t>Nakoniec sa nevyčerpali v</w:t>
      </w:r>
      <w:r w:rsidR="006C2B02">
        <w:rPr>
          <w:rFonts w:cs="Segoe UI"/>
          <w:szCs w:val="20"/>
        </w:rPr>
        <w:t>šetky finančné prostriedky a spä</w:t>
      </w:r>
      <w:r w:rsidRPr="00C4635E">
        <w:rPr>
          <w:rFonts w:cs="Segoe UI"/>
          <w:szCs w:val="20"/>
        </w:rPr>
        <w:t xml:space="preserve">ť do kapitoly VPS smerovalo 30 </w:t>
      </w:r>
      <w:r>
        <w:rPr>
          <w:rFonts w:cs="Segoe UI"/>
          <w:szCs w:val="20"/>
        </w:rPr>
        <w:t>mil. eur.</w:t>
      </w:r>
    </w:p>
    <w:p w14:paraId="7F0118F5" w14:textId="182A30D9" w:rsidR="00573AE3" w:rsidRPr="00573AE3" w:rsidRDefault="00D37A54" w:rsidP="006F5D6F">
      <w:pPr>
        <w:rPr>
          <w:rFonts w:cs="Segoe UI"/>
          <w:szCs w:val="20"/>
        </w:rPr>
      </w:pPr>
      <w:r>
        <w:rPr>
          <w:rFonts w:cs="Segoe UI"/>
          <w:b/>
          <w:szCs w:val="20"/>
        </w:rPr>
        <w:t>Navyše z</w:t>
      </w:r>
      <w:r w:rsidR="00573AE3" w:rsidRPr="007630E9">
        <w:rPr>
          <w:rFonts w:cs="Segoe UI"/>
          <w:b/>
          <w:szCs w:val="20"/>
        </w:rPr>
        <w:t xml:space="preserve">ačiatkom roka 2022 sa </w:t>
      </w:r>
      <w:r>
        <w:rPr>
          <w:rFonts w:cs="Segoe UI"/>
          <w:b/>
          <w:szCs w:val="20"/>
        </w:rPr>
        <w:t xml:space="preserve">v rámci kapitol </w:t>
      </w:r>
      <w:r w:rsidR="00573AE3" w:rsidRPr="007630E9">
        <w:rPr>
          <w:rFonts w:cs="Segoe UI"/>
          <w:b/>
          <w:szCs w:val="20"/>
        </w:rPr>
        <w:t>opäť presúvali nevyčerpané prostriedky z fondov EÚ</w:t>
      </w:r>
      <w:r w:rsidR="007630E9" w:rsidRPr="007630E9">
        <w:rPr>
          <w:rFonts w:cs="Segoe UI"/>
          <w:b/>
          <w:szCs w:val="20"/>
        </w:rPr>
        <w:t>, celkovo bolo z roku 2021 presunutých 2,2 mld. eur</w:t>
      </w:r>
      <w:r w:rsidR="00573AE3" w:rsidRPr="007630E9">
        <w:rPr>
          <w:rFonts w:cs="Segoe UI"/>
          <w:b/>
          <w:szCs w:val="20"/>
        </w:rPr>
        <w:t>.</w:t>
      </w:r>
      <w:r w:rsidR="00573AE3">
        <w:rPr>
          <w:rFonts w:cs="Segoe UI"/>
          <w:szCs w:val="20"/>
        </w:rPr>
        <w:t xml:space="preserve"> </w:t>
      </w:r>
      <w:r w:rsidR="007630E9">
        <w:rPr>
          <w:rFonts w:cs="Segoe UI"/>
          <w:szCs w:val="20"/>
        </w:rPr>
        <w:t>NKÚ SR d</w:t>
      </w:r>
      <w:r w:rsidR="00573AE3">
        <w:rPr>
          <w:rFonts w:cs="Segoe UI"/>
          <w:szCs w:val="20"/>
        </w:rPr>
        <w:t xml:space="preserve">lhodobo upozorňuje na problém s čerpaním a na vysoké sumy presúvaných </w:t>
      </w:r>
      <w:r w:rsidR="00573AE3" w:rsidRPr="0097695D">
        <w:rPr>
          <w:rFonts w:cs="Segoe UI"/>
          <w:szCs w:val="20"/>
        </w:rPr>
        <w:t>finančných prostriedkov</w:t>
      </w:r>
      <w:r w:rsidR="00573AE3">
        <w:rPr>
          <w:rFonts w:cs="Segoe UI"/>
          <w:szCs w:val="20"/>
        </w:rPr>
        <w:t xml:space="preserve">. </w:t>
      </w:r>
      <w:r w:rsidR="007630E9">
        <w:rPr>
          <w:rFonts w:cs="Segoe UI"/>
          <w:szCs w:val="20"/>
        </w:rPr>
        <w:t>N</w:t>
      </w:r>
      <w:r w:rsidR="00573AE3" w:rsidRPr="009B4C44">
        <w:rPr>
          <w:rFonts w:cs="Segoe UI"/>
          <w:szCs w:val="20"/>
        </w:rPr>
        <w:t xml:space="preserve">a presune </w:t>
      </w:r>
      <w:r w:rsidR="007630E9">
        <w:rPr>
          <w:rFonts w:cs="Segoe UI"/>
          <w:szCs w:val="20"/>
        </w:rPr>
        <w:t xml:space="preserve">v roku 2022 sa najviac </w:t>
      </w:r>
      <w:r w:rsidR="00573AE3" w:rsidRPr="009B4C44">
        <w:rPr>
          <w:rFonts w:cs="Segoe UI"/>
          <w:szCs w:val="20"/>
        </w:rPr>
        <w:t>podieľali rezort</w:t>
      </w:r>
      <w:r w:rsidR="0087578A">
        <w:rPr>
          <w:rFonts w:cs="Segoe UI"/>
          <w:szCs w:val="20"/>
        </w:rPr>
        <w:t>y</w:t>
      </w:r>
      <w:r w:rsidR="00573AE3" w:rsidRPr="009B4C44">
        <w:rPr>
          <w:rFonts w:cs="Segoe UI"/>
          <w:szCs w:val="20"/>
        </w:rPr>
        <w:t xml:space="preserve"> pôdoh</w:t>
      </w:r>
      <w:r w:rsidR="00573AE3">
        <w:rPr>
          <w:rFonts w:cs="Segoe UI"/>
          <w:szCs w:val="20"/>
        </w:rPr>
        <w:t>ospodárstva (956</w:t>
      </w:r>
      <w:r w:rsidR="007630E9">
        <w:rPr>
          <w:rFonts w:cs="Segoe UI"/>
          <w:szCs w:val="20"/>
        </w:rPr>
        <w:t>,5 mil.</w:t>
      </w:r>
      <w:r w:rsidR="00573AE3">
        <w:rPr>
          <w:rFonts w:cs="Segoe UI"/>
          <w:szCs w:val="20"/>
        </w:rPr>
        <w:t xml:space="preserve"> eur) a dopravy (388</w:t>
      </w:r>
      <w:r w:rsidR="007630E9">
        <w:rPr>
          <w:rFonts w:cs="Segoe UI"/>
          <w:szCs w:val="20"/>
        </w:rPr>
        <w:t>,</w:t>
      </w:r>
      <w:r w:rsidR="00573AE3">
        <w:rPr>
          <w:rFonts w:cs="Segoe UI"/>
          <w:szCs w:val="20"/>
        </w:rPr>
        <w:t>7</w:t>
      </w:r>
      <w:r w:rsidR="007630E9">
        <w:rPr>
          <w:rFonts w:cs="Segoe UI"/>
          <w:szCs w:val="20"/>
        </w:rPr>
        <w:t xml:space="preserve"> mil</w:t>
      </w:r>
      <w:r w:rsidR="00573AE3">
        <w:rPr>
          <w:rFonts w:cs="Segoe UI"/>
          <w:szCs w:val="20"/>
        </w:rPr>
        <w:t>. eur).</w:t>
      </w:r>
    </w:p>
    <w:p w14:paraId="24C4A511" w14:textId="55E15A7B" w:rsidR="001F22A4" w:rsidRDefault="00131776" w:rsidP="005603E6">
      <w:pPr>
        <w:pStyle w:val="Nadpis3"/>
      </w:pPr>
      <w:bookmarkStart w:id="17" w:name="_Toc136418395"/>
      <w:r>
        <w:t xml:space="preserve">3.3.2 </w:t>
      </w:r>
      <w:r w:rsidR="001F22A4">
        <w:t>Investície</w:t>
      </w:r>
      <w:bookmarkEnd w:id="17"/>
    </w:p>
    <w:p w14:paraId="018BD1AB" w14:textId="57368833" w:rsidR="009F35EA" w:rsidRPr="005E2A92" w:rsidRDefault="00F7371D" w:rsidP="009F35EA">
      <w:pPr>
        <w:rPr>
          <w:b/>
        </w:rPr>
      </w:pPr>
      <w:r w:rsidRPr="008E42D5">
        <w:rPr>
          <w:b/>
        </w:rPr>
        <w:t xml:space="preserve">Rozpočet kapitálových výdavkov </w:t>
      </w:r>
      <w:r w:rsidRPr="00D56C81">
        <w:rPr>
          <w:b/>
        </w:rPr>
        <w:t>vybraných kapitol</w:t>
      </w:r>
      <w:r>
        <w:rPr>
          <w:b/>
        </w:rPr>
        <w:t xml:space="preserve"> ŠR</w:t>
      </w:r>
      <w:r w:rsidRPr="00F7371D">
        <w:rPr>
          <w:rStyle w:val="Odkaznapoznmkupodiarou"/>
        </w:rPr>
        <w:footnoteReference w:id="11"/>
      </w:r>
      <w:r w:rsidRPr="00D56C81">
        <w:rPr>
          <w:b/>
        </w:rPr>
        <w:t xml:space="preserve"> </w:t>
      </w:r>
      <w:r w:rsidRPr="008E42D5">
        <w:rPr>
          <w:b/>
        </w:rPr>
        <w:t>bol pôvodne schválený vo výške 2,7 mld. eur, z toho sa v roku 2022 reálne alokovalo 1,6 mld. eur.</w:t>
      </w:r>
      <w:r>
        <w:rPr>
          <w:b/>
        </w:rPr>
        <w:t xml:space="preserve"> </w:t>
      </w:r>
      <w:r w:rsidR="009F35EA" w:rsidRPr="009F35EA">
        <w:t>Aj v roku 2022, tak ako prvýkrát v</w:t>
      </w:r>
      <w:r w:rsidR="009F35EA" w:rsidRPr="005E2A92">
        <w:t xml:space="preserve"> roku 2021</w:t>
      </w:r>
      <w:r w:rsidR="009F35EA">
        <w:t>,</w:t>
      </w:r>
      <w:r w:rsidR="009F35EA" w:rsidRPr="005E2A92">
        <w:t xml:space="preserve"> </w:t>
      </w:r>
      <w:r w:rsidR="009F35EA">
        <w:t xml:space="preserve">boli </w:t>
      </w:r>
      <w:r w:rsidR="009F35EA" w:rsidRPr="005E2A92">
        <w:t>investičné výdavky alokované v kapitole VPS a nie do rozpočtov jednotlivých kapitol – tzv. nulový štartovací rozpočet</w:t>
      </w:r>
      <w:r w:rsidR="009F35EA">
        <w:t>.</w:t>
      </w:r>
      <w:r w:rsidR="009F35EA" w:rsidRPr="005E2A92">
        <w:t xml:space="preserve"> </w:t>
      </w:r>
      <w:r w:rsidR="009F35EA">
        <w:t xml:space="preserve">Čerpanie bolo počas roka </w:t>
      </w:r>
      <w:r w:rsidR="009F35EA" w:rsidRPr="005E2A92">
        <w:t>založen</w:t>
      </w:r>
      <w:r w:rsidR="009F35EA">
        <w:t>é</w:t>
      </w:r>
      <w:r w:rsidR="009F35EA" w:rsidRPr="005E2A92">
        <w:t xml:space="preserve"> na investičných plánoch jednotlivých kapitol. Hlavným prínosom </w:t>
      </w:r>
      <w:r w:rsidR="009F35EA">
        <w:t>bolo</w:t>
      </w:r>
      <w:r w:rsidR="009F35EA" w:rsidRPr="005E2A92">
        <w:t xml:space="preserve"> realizovať iba </w:t>
      </w:r>
      <w:r w:rsidR="009F35EA" w:rsidRPr="003D4A48">
        <w:t xml:space="preserve">najlepšie </w:t>
      </w:r>
      <w:r w:rsidR="009F35EA" w:rsidRPr="005E2A92">
        <w:t xml:space="preserve">projekty z pohľadu hodnoty za peniaze. Kapitálové výdavky </w:t>
      </w:r>
      <w:r w:rsidR="009F35EA">
        <w:t>boli</w:t>
      </w:r>
      <w:r w:rsidR="009F35EA" w:rsidRPr="005E2A92">
        <w:t xml:space="preserve"> rozpočtované v kapitole VPS a až po ich posúdení</w:t>
      </w:r>
      <w:r w:rsidR="009F35EA" w:rsidRPr="00E4718C">
        <w:rPr>
          <w:rStyle w:val="Odkaznapoznmkupodiarou"/>
        </w:rPr>
        <w:footnoteReference w:id="12"/>
      </w:r>
      <w:r w:rsidR="009F35EA" w:rsidRPr="005E2A92">
        <w:t xml:space="preserve"> m</w:t>
      </w:r>
      <w:r w:rsidR="009F35EA">
        <w:t>ohli byť</w:t>
      </w:r>
      <w:r w:rsidR="009F35EA" w:rsidRPr="005E2A92">
        <w:t xml:space="preserve"> čerpané. Z</w:t>
      </w:r>
      <w:r w:rsidR="009F35EA">
        <w:t>a</w:t>
      </w:r>
      <w:r w:rsidR="009F35EA" w:rsidRPr="005E2A92">
        <w:t xml:space="preserve">vedenie tohto princípu ovplyvnilo rozdiel medzi rozpočtovanými a skutočnými výdavkami. Pri schválenom rozpočte sú výdavky na projekty v nulovej výške a postupne sú navyšované </w:t>
      </w:r>
      <w:r w:rsidR="009F35EA">
        <w:t>prostredníctvom RO</w:t>
      </w:r>
      <w:r w:rsidR="009F35EA" w:rsidRPr="005E2A92">
        <w:t>.</w:t>
      </w:r>
    </w:p>
    <w:p w14:paraId="16B684BE" w14:textId="6F64572B" w:rsidR="00F7371D" w:rsidRPr="00753E0C" w:rsidRDefault="00F7371D" w:rsidP="00F7371D">
      <w:pPr>
        <w:rPr>
          <w:b/>
        </w:rPr>
      </w:pPr>
      <w:r w:rsidRPr="009F35EA">
        <w:rPr>
          <w:b/>
        </w:rPr>
        <w:lastRenderedPageBreak/>
        <w:t xml:space="preserve">V rámci tzv. nulového štartovacieho rozpočtu nastala </w:t>
      </w:r>
      <w:r w:rsidR="009F35EA">
        <w:rPr>
          <w:b/>
        </w:rPr>
        <w:t xml:space="preserve">počas minulého roka </w:t>
      </w:r>
      <w:r w:rsidRPr="009F35EA">
        <w:rPr>
          <w:b/>
        </w:rPr>
        <w:t>zmena, finančné prostriedky na prebiehajúce projekty sú od roku 202</w:t>
      </w:r>
      <w:r w:rsidR="009F35EA" w:rsidRPr="009F35EA">
        <w:rPr>
          <w:b/>
        </w:rPr>
        <w:t>3</w:t>
      </w:r>
      <w:r w:rsidRPr="009F35EA">
        <w:rPr>
          <w:b/>
        </w:rPr>
        <w:t xml:space="preserve"> rozpočtované v kapitolách a tým sa zabezpečí kontinuita vo financovaní jednotlivých projektov. </w:t>
      </w:r>
      <w:r w:rsidRPr="00753E0C">
        <w:t xml:space="preserve">Avšak niektoré investície, ktoré majú prierezový charakter, </w:t>
      </w:r>
      <w:r>
        <w:t xml:space="preserve">a </w:t>
      </w:r>
      <w:r w:rsidRPr="00753E0C">
        <w:t xml:space="preserve">ktoré nie je možné rozpočtovať v iných kapitolách alebo majú neisté časové vymedzenie či výšku použitia sú naďalej rozpočtované vo VPS. Tým sa výrazne navýši skutočné čerpanie výdavkov </w:t>
      </w:r>
      <w:r w:rsidR="009F35EA">
        <w:t xml:space="preserve">niektorých kapitol </w:t>
      </w:r>
      <w:r w:rsidRPr="00753E0C">
        <w:t xml:space="preserve">oproti schválenému rozpočtu. </w:t>
      </w:r>
      <w:r>
        <w:t>Najväčšie investície, až 60 % z celkových výdavkov, sú opakovane realizované v rezortoch dopravy a obrany.</w:t>
      </w:r>
    </w:p>
    <w:p w14:paraId="02D868A3" w14:textId="563E1353" w:rsidR="00F7371D" w:rsidRDefault="00F7371D" w:rsidP="00F7371D">
      <w:r w:rsidRPr="00D04E8D">
        <w:rPr>
          <w:b/>
        </w:rPr>
        <w:t xml:space="preserve">Najväčší podiel </w:t>
      </w:r>
      <w:r w:rsidR="004B20C0">
        <w:rPr>
          <w:b/>
        </w:rPr>
        <w:t>investícií</w:t>
      </w:r>
      <w:r w:rsidRPr="00D04E8D">
        <w:rPr>
          <w:b/>
        </w:rPr>
        <w:t xml:space="preserve"> v rámci ŠR </w:t>
      </w:r>
      <w:r>
        <w:rPr>
          <w:b/>
        </w:rPr>
        <w:t xml:space="preserve">v roku 2022 </w:t>
      </w:r>
      <w:r w:rsidRPr="00D04E8D">
        <w:rPr>
          <w:b/>
        </w:rPr>
        <w:t>tvorila kapitola MDV SR v celkovej výške 855,7 mil. eur.</w:t>
      </w:r>
      <w:r>
        <w:t xml:space="preserve"> Ku koncu roka bolo čerpanie výdavkov na úrovni 78 % zo schváleného rozpočtu. Nealokované finančné prostriedky tak predstavovali celkovú sumu 266,5 mil. eur. Najväčšie dopravné investície </w:t>
      </w:r>
      <w:r w:rsidR="004659E7">
        <w:t>tvorili</w:t>
      </w:r>
      <w:r>
        <w:t xml:space="preserve"> projekty výstavby nových cestných komunikácií: R2 Kriváň – Lovinobaňa (88 mil. eur), D1 Hubová – Ivachnová (71 mil. eur) a úsek diaľnice D1 Lietavská Lúčka – </w:t>
      </w:r>
      <w:proofErr w:type="spellStart"/>
      <w:r>
        <w:t>Dubná</w:t>
      </w:r>
      <w:proofErr w:type="spellEnd"/>
      <w:r>
        <w:t xml:space="preserve"> Skala s tunelom Višňové (68 mil. eur). V minulom roku sme zaznamenali problém s čerpaním </w:t>
      </w:r>
      <w:r w:rsidR="00D352EE">
        <w:t>na v</w:t>
      </w:r>
      <w:r>
        <w:t>ýstavb</w:t>
      </w:r>
      <w:r w:rsidR="00D352EE">
        <w:t>u</w:t>
      </w:r>
      <w:r>
        <w:t xml:space="preserve"> diaľnic a rýchlostných ciest NDS. </w:t>
      </w:r>
      <w:r w:rsidRPr="002D6C4A">
        <w:t>V</w:t>
      </w:r>
      <w:r w:rsidR="00D352EE">
        <w:t> </w:t>
      </w:r>
      <w:r w:rsidRPr="002D6C4A">
        <w:t>t</w:t>
      </w:r>
      <w:r w:rsidR="00D352EE">
        <w:t>ejto oblasti</w:t>
      </w:r>
      <w:r w:rsidRPr="002D6C4A">
        <w:t xml:space="preserve"> k </w:t>
      </w:r>
      <w:r>
        <w:t>30. 6. 2022 neboli čerpané finančné prostriedky, a ani vyčlenené v rámci upraveného rozpočtu. Napriek tomu ku koncu roka boli vyče</w:t>
      </w:r>
      <w:r w:rsidR="00450053">
        <w:t>rpané všetky alokované výdavky.</w:t>
      </w:r>
    </w:p>
    <w:p w14:paraId="4332F5F4" w14:textId="5B2FE728" w:rsidR="00F7371D" w:rsidRDefault="00F7371D" w:rsidP="00F7371D">
      <w:r w:rsidRPr="00F7371D">
        <w:rPr>
          <w:b/>
        </w:rPr>
        <w:t xml:space="preserve">Druhý najväčší podiel </w:t>
      </w:r>
      <w:r w:rsidR="004B20C0">
        <w:rPr>
          <w:b/>
        </w:rPr>
        <w:t>kapitálových výdavkov</w:t>
      </w:r>
      <w:r w:rsidRPr="00F7371D">
        <w:rPr>
          <w:b/>
        </w:rPr>
        <w:t xml:space="preserve"> v rámci ŠR tvorila kapitola MO SR vo výške 776,5 mil. eur.</w:t>
      </w:r>
      <w:r w:rsidRPr="002D6C4A">
        <w:t xml:space="preserve"> V rámci nákupu dopravných prostriedkov, hlavne bojových obrnených vozidiel 8x8 (BOV) a pásových bojových obrnených vozidiel (PBOV), vyčerpala v roku 2022 viac ako polovicu objemu finančných prostriedkov ŠR určených na obstarávanie kapitálových aktív (552,7 mil. eur). Nárast skutočnosti oproti schválenému rozpočtu (o 535,6 mil. eur) súvisel najmä s uvoľnením prostriedkov alokovaných v kapitole VPS pre MO SR. Pri takýchto významných obranných obstarávaniach je vo väčšine krajín uplatňovaný princíp kompenzácií </w:t>
      </w:r>
      <w:r w:rsidR="00B47F49">
        <w:t xml:space="preserve">často </w:t>
      </w:r>
      <w:r w:rsidRPr="002D6C4A">
        <w:t>ukotvený v ná</w:t>
      </w:r>
      <w:r>
        <w:t>rodných legislatívach (</w:t>
      </w:r>
      <w:r w:rsidR="004659E7">
        <w:t>box</w:t>
      </w:r>
      <w:r>
        <w:t xml:space="preserve"> 3).</w:t>
      </w:r>
      <w:r>
        <w:rPr>
          <w:rStyle w:val="Odkaznapoznmkupodiarou"/>
        </w:rPr>
        <w:footnoteReference w:id="13"/>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ED6810" w:rsidRPr="00AC3675" w14:paraId="7D57A456" w14:textId="77777777" w:rsidTr="00A140F0">
        <w:tc>
          <w:tcPr>
            <w:tcW w:w="9060" w:type="dxa"/>
            <w:shd w:val="clear" w:color="auto" w:fill="EBF0FB" w:themeFill="background2" w:themeFillTint="33"/>
          </w:tcPr>
          <w:p w14:paraId="7C34BC8A" w14:textId="77777777" w:rsidR="00ED6810" w:rsidRPr="00767017" w:rsidRDefault="00ED6810" w:rsidP="00A140F0">
            <w:pPr>
              <w:spacing w:before="120" w:line="240" w:lineRule="auto"/>
              <w:rPr>
                <w:b/>
                <w:szCs w:val="18"/>
              </w:rPr>
            </w:pPr>
            <w:r w:rsidRPr="00767017">
              <w:rPr>
                <w:b/>
                <w:szCs w:val="18"/>
              </w:rPr>
              <w:t xml:space="preserve">BOX </w:t>
            </w:r>
            <w:r>
              <w:rPr>
                <w:b/>
                <w:szCs w:val="18"/>
              </w:rPr>
              <w:t>3</w:t>
            </w:r>
            <w:r w:rsidRPr="00767017">
              <w:rPr>
                <w:b/>
                <w:szCs w:val="18"/>
              </w:rPr>
              <w:t xml:space="preserve">: </w:t>
            </w:r>
            <w:r w:rsidRPr="00690557">
              <w:rPr>
                <w:b/>
              </w:rPr>
              <w:t>Kompenzácie pri obranných nákupoch</w:t>
            </w:r>
          </w:p>
          <w:p w14:paraId="0E31E7E8" w14:textId="77777777" w:rsidR="00ED6810" w:rsidRPr="00A3652D" w:rsidRDefault="00ED6810" w:rsidP="00A140F0">
            <w:pPr>
              <w:spacing w:after="0"/>
              <w:rPr>
                <w:rFonts w:cs="Segoe UI"/>
                <w:sz w:val="6"/>
                <w:szCs w:val="6"/>
              </w:rPr>
            </w:pPr>
          </w:p>
          <w:p w14:paraId="2B9A66CE" w14:textId="77777777" w:rsidR="00ED6810" w:rsidRPr="001E2F1A" w:rsidRDefault="00ED6810" w:rsidP="00A140F0">
            <w:pPr>
              <w:rPr>
                <w:rFonts w:cs="Segoe UI"/>
                <w:noProof/>
                <w:sz w:val="18"/>
                <w:szCs w:val="18"/>
              </w:rPr>
            </w:pPr>
            <w:r w:rsidRPr="001E2F1A">
              <w:rPr>
                <w:sz w:val="18"/>
                <w:szCs w:val="18"/>
              </w:rPr>
              <w:t>NKÚ SR v júni 2021 v analytickom komentári zameranom na opodstatnenosť a efektívnosť nákupu stíhacích lietadiel F-16</w:t>
            </w:r>
            <w:r w:rsidRPr="001E2F1A">
              <w:rPr>
                <w:sz w:val="18"/>
                <w:szCs w:val="18"/>
                <w:vertAlign w:val="superscript"/>
              </w:rPr>
              <w:footnoteReference w:id="14"/>
            </w:r>
            <w:r w:rsidRPr="001E2F1A">
              <w:rPr>
                <w:sz w:val="18"/>
                <w:szCs w:val="18"/>
              </w:rPr>
              <w:t xml:space="preserve"> upozornil aj na to, že keby sa pri nákupe požadovali kompenzačné programy</w:t>
            </w:r>
            <w:r w:rsidRPr="001E2F1A">
              <w:rPr>
                <w:sz w:val="18"/>
                <w:szCs w:val="18"/>
                <w:vertAlign w:val="superscript"/>
              </w:rPr>
              <w:footnoteReference w:id="15"/>
            </w:r>
            <w:r w:rsidRPr="001E2F1A">
              <w:rPr>
                <w:sz w:val="18"/>
                <w:szCs w:val="18"/>
              </w:rPr>
              <w:t>, ekonomika SR mohla byť podporená sumou až do výšky obstarávacej ceny lietadiel, t. j. 1,9 mld. eur. V roku 2022 MO SR podpísalo medzivládnu zmluvu (G2G) s Fínskom na nákup BOV (404 mil. eur s DPH)</w:t>
            </w:r>
            <w:r w:rsidRPr="001E2F1A">
              <w:rPr>
                <w:sz w:val="18"/>
                <w:szCs w:val="18"/>
                <w:vertAlign w:val="superscript"/>
              </w:rPr>
              <w:footnoteReference w:id="16"/>
            </w:r>
            <w:r w:rsidRPr="001E2F1A">
              <w:rPr>
                <w:sz w:val="18"/>
                <w:szCs w:val="18"/>
              </w:rPr>
              <w:t xml:space="preserve"> a Švédskom na nákup PBOV (1 689 mil. eur s DPH)</w:t>
            </w:r>
            <w:r w:rsidRPr="001E2F1A">
              <w:rPr>
                <w:rStyle w:val="Odkaznapoznmkupodiarou"/>
                <w:sz w:val="18"/>
                <w:szCs w:val="18"/>
              </w:rPr>
              <w:footnoteReference w:id="17"/>
            </w:r>
            <w:r w:rsidRPr="001E2F1A">
              <w:rPr>
                <w:sz w:val="18"/>
                <w:szCs w:val="18"/>
              </w:rPr>
              <w:t>. Pri týchto obstarávaniach MO SR v rámci kompenzácií zvolilo jediné kritérium – „program priamej priemyselnej spolupráce s účasťou slovenského priemyslu v hodnote najmenej 40 % z celkovej obstarávacej ceny“.</w:t>
            </w:r>
            <w:r w:rsidRPr="001E2F1A">
              <w:rPr>
                <w:sz w:val="18"/>
                <w:szCs w:val="18"/>
                <w:vertAlign w:val="superscript"/>
              </w:rPr>
              <w:footnoteReference w:id="18"/>
            </w:r>
            <w:r w:rsidRPr="001E2F1A">
              <w:rPr>
                <w:sz w:val="18"/>
                <w:szCs w:val="18"/>
              </w:rPr>
              <w:t xml:space="preserve"> Zverejnená zmluva na nákup BOV neobsahovala žiadnu formu dohody o kompenzačných programoch, ktorá má byť súčasťou takejto zmluvy.</w:t>
            </w:r>
            <w:r w:rsidRPr="001E2F1A">
              <w:rPr>
                <w:rFonts w:cs="Segoe UI"/>
                <w:noProof/>
                <w:sz w:val="18"/>
                <w:szCs w:val="18"/>
              </w:rPr>
              <w:t xml:space="preserve"> Zmluva na nákup PBOV takúto dohodu obsahuje, avšak nebola zverejnená. </w:t>
            </w:r>
          </w:p>
          <w:p w14:paraId="5D66B72A" w14:textId="77777777" w:rsidR="00ED6810" w:rsidRPr="001E2F1A" w:rsidRDefault="00ED6810" w:rsidP="00A140F0">
            <w:pPr>
              <w:rPr>
                <w:sz w:val="18"/>
                <w:szCs w:val="18"/>
              </w:rPr>
            </w:pPr>
            <w:r w:rsidRPr="001E2F1A">
              <w:rPr>
                <w:rFonts w:cs="Segoe UI"/>
                <w:noProof/>
                <w:sz w:val="18"/>
                <w:szCs w:val="18"/>
              </w:rPr>
              <w:t>Rozpočet kapitoly MO SR významne rastie a vybudovanie potrebných kapacít a spôsobilostí rezortu MO SR si do roku 2035 vyžiada 38 mld. eur (priemerne 2,92 mld. eur ročne).</w:t>
            </w:r>
            <w:r w:rsidRPr="001E2F1A">
              <w:rPr>
                <w:rStyle w:val="Odkaznapoznmkupodiarou"/>
                <w:rFonts w:cs="Segoe UI"/>
                <w:noProof/>
                <w:sz w:val="18"/>
                <w:szCs w:val="18"/>
              </w:rPr>
              <w:footnoteReference w:id="19"/>
            </w:r>
            <w:r w:rsidRPr="001E2F1A">
              <w:rPr>
                <w:rFonts w:cs="Segoe UI"/>
                <w:noProof/>
                <w:sz w:val="18"/>
                <w:szCs w:val="18"/>
              </w:rPr>
              <w:t xml:space="preserve"> Významná časť týchto prostriedkov bude využitá </w:t>
            </w:r>
            <w:r w:rsidRPr="001E2F1A">
              <w:rPr>
                <w:rFonts w:cs="Segoe UI"/>
                <w:noProof/>
                <w:sz w:val="18"/>
                <w:szCs w:val="18"/>
              </w:rPr>
              <w:lastRenderedPageBreak/>
              <w:t>na obranné akvizičné projekty. Využívanie všetkých dostupných možností kompenzačných programov pri takýchto akvizíciách je nevyhnutné pre podporu domácej ekonomiky.</w:t>
            </w:r>
          </w:p>
          <w:p w14:paraId="488DA74A" w14:textId="77777777" w:rsidR="00ED6810" w:rsidRPr="0090004B" w:rsidRDefault="00ED6810" w:rsidP="00A140F0">
            <w:pPr>
              <w:rPr>
                <w:rFonts w:cs="Segoe UI"/>
                <w:i/>
                <w:sz w:val="16"/>
                <w:szCs w:val="16"/>
              </w:rPr>
            </w:pPr>
            <w:r w:rsidRPr="001E2F1A">
              <w:rPr>
                <w:rFonts w:cs="Segoe UI"/>
                <w:b/>
                <w:noProof/>
                <w:sz w:val="18"/>
                <w:szCs w:val="18"/>
              </w:rPr>
              <w:t>Pred realizáciou ďalších obranných akvizícií je potrebné analyticky vyhodnotiť všetky relevantné možnosti, ako dosiahnuť možné ciele kompenzačných programov, ktoré sú používané v zahraničí, a v prípade potreby predložiť vláde návrh legislatívneho zámeru na ich zavedenie.</w:t>
            </w:r>
          </w:p>
        </w:tc>
      </w:tr>
    </w:tbl>
    <w:p w14:paraId="5E8C43E8" w14:textId="51BB9EF5" w:rsidR="004659E7" w:rsidRDefault="002C027A" w:rsidP="004659E7">
      <w:pPr>
        <w:pStyle w:val="Nadpis3"/>
        <w:spacing w:before="120"/>
      </w:pPr>
      <w:bookmarkStart w:id="18" w:name="_Toc135415672"/>
      <w:bookmarkStart w:id="19" w:name="_Toc136418396"/>
      <w:r>
        <w:lastRenderedPageBreak/>
        <w:t>3.3.</w:t>
      </w:r>
      <w:r w:rsidR="00131776">
        <w:t>3</w:t>
      </w:r>
      <w:r>
        <w:t xml:space="preserve"> </w:t>
      </w:r>
      <w:r w:rsidR="004659E7">
        <w:t>Programové rozpočtovanie</w:t>
      </w:r>
      <w:bookmarkEnd w:id="18"/>
      <w:bookmarkEnd w:id="19"/>
    </w:p>
    <w:p w14:paraId="39E762B7" w14:textId="105D3D0D" w:rsidR="00A51143" w:rsidRDefault="00D34562" w:rsidP="00A51143">
      <w:pPr>
        <w:spacing w:before="120"/>
      </w:pPr>
      <w:r>
        <w:rPr>
          <w:b/>
        </w:rPr>
        <w:t xml:space="preserve">Nástroj na dosiahnutie lepšej efektívnosti výdavkov ŠR, </w:t>
      </w:r>
      <w:r w:rsidR="00ED6810" w:rsidRPr="004A4364">
        <w:rPr>
          <w:b/>
        </w:rPr>
        <w:t>tzv. programové rozpočtovanie ani po 20 rokoch od zavedenia neprináša želané výsledky.</w:t>
      </w:r>
      <w:r w:rsidR="00ED6810" w:rsidRPr="004A4364">
        <w:t xml:space="preserve"> </w:t>
      </w:r>
      <w:r w:rsidR="0055740F">
        <w:t>U</w:t>
      </w:r>
      <w:r w:rsidR="0055740F" w:rsidRPr="0055740F">
        <w:t xml:space="preserve">ž </w:t>
      </w:r>
      <w:r w:rsidR="0055740F">
        <w:t>v s</w:t>
      </w:r>
      <w:r w:rsidR="0055740F" w:rsidRPr="0055740F">
        <w:t>tanovisk</w:t>
      </w:r>
      <w:r w:rsidR="0055740F">
        <w:t>u</w:t>
      </w:r>
      <w:r w:rsidR="0055740F" w:rsidRPr="0055740F">
        <w:t xml:space="preserve"> k návrhu </w:t>
      </w:r>
      <w:r w:rsidR="0055740F">
        <w:t>ŠR</w:t>
      </w:r>
      <w:r w:rsidR="0055740F" w:rsidRPr="0055740F">
        <w:t xml:space="preserve"> na rok 2022</w:t>
      </w:r>
      <w:r w:rsidR="0055740F">
        <w:rPr>
          <w:rStyle w:val="Odkaznapoznmkupodiarou"/>
        </w:rPr>
        <w:footnoteReference w:id="20"/>
      </w:r>
      <w:r w:rsidR="0055740F" w:rsidRPr="0055740F">
        <w:t xml:space="preserve"> upozorňoval </w:t>
      </w:r>
      <w:r w:rsidR="0055740F">
        <w:t>NKÚ SR na</w:t>
      </w:r>
      <w:r w:rsidR="0055740F" w:rsidRPr="0055740F">
        <w:t xml:space="preserve"> </w:t>
      </w:r>
      <w:r w:rsidR="0055740F">
        <w:t xml:space="preserve">riziká súvisiace s </w:t>
      </w:r>
      <w:r w:rsidR="0055740F" w:rsidRPr="0055740F">
        <w:t>problematik</w:t>
      </w:r>
      <w:r w:rsidR="0055740F">
        <w:t>o</w:t>
      </w:r>
      <w:r w:rsidR="0055740F" w:rsidRPr="0055740F">
        <w:t xml:space="preserve">u programového rozpočtovania </w:t>
      </w:r>
      <w:r w:rsidR="0055740F">
        <w:t>a</w:t>
      </w:r>
      <w:r w:rsidR="00ED6810" w:rsidRPr="004A4364">
        <w:t xml:space="preserve"> v roku 2022 upozornil na </w:t>
      </w:r>
      <w:r w:rsidR="00034CCD">
        <w:t>jeho ne</w:t>
      </w:r>
      <w:r w:rsidR="00ED6810" w:rsidRPr="004A4364">
        <w:t>fung</w:t>
      </w:r>
      <w:r w:rsidR="00034CCD">
        <w:t>ovanie</w:t>
      </w:r>
      <w:r w:rsidR="00ED6810" w:rsidRPr="004A4364">
        <w:t xml:space="preserve"> prostredníctvom samostatnej kontroly nastavenia systému na MF SR a jeho implementácie na MPSVR SR a ÚPV SR</w:t>
      </w:r>
      <w:r w:rsidR="00ED6810" w:rsidRPr="00D07FAC">
        <w:rPr>
          <w:vertAlign w:val="superscript"/>
        </w:rPr>
        <w:footnoteReference w:id="21"/>
      </w:r>
      <w:r w:rsidR="00ED6810" w:rsidRPr="004A4364">
        <w:t>. Programové rozpočtovanie funguje ako cyklus vychádzajúci zo stanovených zámerov a cieľov, na ktoré sa rozpočtujú prostriedky</w:t>
      </w:r>
      <w:r w:rsidR="00034CCD">
        <w:t>. Rozpočtované prostriedky</w:t>
      </w:r>
      <w:r w:rsidR="00ED6810" w:rsidRPr="004A4364">
        <w:t xml:space="preserve"> sa minú, vykáže sa</w:t>
      </w:r>
      <w:r w:rsidR="008F71F8">
        <w:t>,</w:t>
      </w:r>
      <w:r w:rsidR="00ED6810" w:rsidRPr="004A4364">
        <w:t xml:space="preserve"> na čo sa minuli a cyklus pokračuje. Najväčšie rezervy </w:t>
      </w:r>
      <w:r>
        <w:t>NKÚ SR identifikoval</w:t>
      </w:r>
      <w:r w:rsidR="00ED6810" w:rsidRPr="004A4364">
        <w:t xml:space="preserve"> pri vykazovaní, monitorovaní a hodnotení dosahovania stanovených zámerov a cieľov. </w:t>
      </w:r>
      <w:r w:rsidR="0035229D">
        <w:t>ŠR aj RVS</w:t>
      </w:r>
      <w:r w:rsidR="00ED6810" w:rsidRPr="004A4364">
        <w:t xml:space="preserve"> stanovujú zámery a ciele, vrátane ukazovateľov, avšak </w:t>
      </w:r>
      <w:r w:rsidR="0055740F">
        <w:t>komplexné hodnotenie</w:t>
      </w:r>
      <w:r w:rsidR="00ED6810" w:rsidRPr="004A4364">
        <w:t xml:space="preserve"> v </w:t>
      </w:r>
      <w:r>
        <w:t>ŠZÚ</w:t>
      </w:r>
      <w:r w:rsidR="00ED6810" w:rsidRPr="004A4364">
        <w:t xml:space="preserve"> alebo inom </w:t>
      </w:r>
      <w:r w:rsidR="00034CCD">
        <w:t>hodnotiacom</w:t>
      </w:r>
      <w:r w:rsidR="00ED6810" w:rsidRPr="004A4364">
        <w:t xml:space="preserve"> dokumente </w:t>
      </w:r>
      <w:r w:rsidR="00A51143">
        <w:t>chýba a sledovanie plnenia zámerov a cieľov je schované v prílohe ZÚK.</w:t>
      </w:r>
    </w:p>
    <w:p w14:paraId="320E5AB6" w14:textId="50EEB429" w:rsidR="00A51143" w:rsidRPr="004A4364" w:rsidRDefault="00ED6810" w:rsidP="00A51143">
      <w:pPr>
        <w:spacing w:before="120"/>
      </w:pPr>
      <w:r w:rsidRPr="004A4364">
        <w:rPr>
          <w:b/>
        </w:rPr>
        <w:t xml:space="preserve">Prijaté opatrenia </w:t>
      </w:r>
      <w:r w:rsidR="00F550E7">
        <w:rPr>
          <w:b/>
        </w:rPr>
        <w:t xml:space="preserve">ako reakcia na kontrolu NKÚ SR </w:t>
      </w:r>
      <w:r w:rsidRPr="004A4364">
        <w:rPr>
          <w:b/>
        </w:rPr>
        <w:t>nie sú dostatočné na komplexné riešenie fungovania programového rozpočtovania.</w:t>
      </w:r>
      <w:r w:rsidRPr="004A4364">
        <w:t xml:space="preserve"> </w:t>
      </w:r>
      <w:r w:rsidR="004B5FC1" w:rsidRPr="004A4364">
        <w:t>Výbor NR SR pre financie a rozpočet sa s odporúčaniami NKÚ SR nestotožnil, keď prijal uznesenie bez odporúčaní NKÚ SR. MF SR pri odporúčaní k prvým dvom zisteniam nepredložilo návrh opatrení, z podľa ich názoru nadrezortného kompetenčného charakteru odporúčania. Samotné odporúčanie sa týkalo pracovnej skupiny pre sfunkčnenie programového rozpočtovania, ktorá fungovala na MF SR ako neformálne zoskupenie a NKÚ SR odporučil jej zmenu na reálne fungujúce zoskupenie so zapojením zainteresovaných strán mimo MF SR (ďalš</w:t>
      </w:r>
      <w:r w:rsidR="004B5FC1">
        <w:t>ie kapitoly, analytické jednotky,...</w:t>
      </w:r>
      <w:r w:rsidR="004B5FC1" w:rsidRPr="004A4364">
        <w:t>). MF SR pri treťom odporúčaní prijalo opatrenie, kde uviedlo, že spolu s rozpočtom bud</w:t>
      </w:r>
      <w:r w:rsidR="004B5FC1">
        <w:t>e zverejňovať strojovo čitateľné</w:t>
      </w:r>
      <w:r w:rsidR="004B5FC1" w:rsidRPr="004A4364">
        <w:t xml:space="preserve"> </w:t>
      </w:r>
      <w:proofErr w:type="spellStart"/>
      <w:r w:rsidR="004B5FC1" w:rsidRPr="004A4364">
        <w:t>dataset</w:t>
      </w:r>
      <w:r w:rsidR="004B5FC1">
        <w:t>y</w:t>
      </w:r>
      <w:proofErr w:type="spellEnd"/>
      <w:r w:rsidR="004B5FC1">
        <w:t xml:space="preserve"> programových</w:t>
      </w:r>
      <w:r w:rsidR="004B5FC1" w:rsidRPr="004A4364">
        <w:t xml:space="preserve"> rozpočt</w:t>
      </w:r>
      <w:r w:rsidR="004B5FC1">
        <w:t>ov kapitol.</w:t>
      </w:r>
      <w:r w:rsidR="004B5FC1" w:rsidRPr="004A4364">
        <w:t xml:space="preserve"> </w:t>
      </w:r>
      <w:r w:rsidR="004B5FC1">
        <w:t>NKÚ SR to považuje za</w:t>
      </w:r>
      <w:r w:rsidR="004B5FC1" w:rsidRPr="004A4364">
        <w:t xml:space="preserve"> </w:t>
      </w:r>
      <w:r w:rsidR="004B5FC1">
        <w:t>nedostatočné,</w:t>
      </w:r>
      <w:r w:rsidR="004B5FC1" w:rsidRPr="004A4364">
        <w:t xml:space="preserve"> keďže neuviedli, že budú zverej</w:t>
      </w:r>
      <w:r w:rsidR="004B5FC1">
        <w:t>ňovať rovnako strojovo čitateľné</w:t>
      </w:r>
      <w:r w:rsidR="004B5FC1" w:rsidRPr="004A4364">
        <w:t xml:space="preserve"> </w:t>
      </w:r>
      <w:proofErr w:type="spellStart"/>
      <w:r w:rsidR="004B5FC1" w:rsidRPr="004A4364">
        <w:t>dataset</w:t>
      </w:r>
      <w:r w:rsidR="004B5FC1">
        <w:t>y</w:t>
      </w:r>
      <w:proofErr w:type="spellEnd"/>
      <w:r w:rsidR="004B5FC1" w:rsidRPr="004A4364">
        <w:t xml:space="preserve"> plnenia t</w:t>
      </w:r>
      <w:r w:rsidR="004B5FC1">
        <w:t>ýchto programových rozpočtov kapitolami</w:t>
      </w:r>
      <w:r w:rsidR="004B5FC1" w:rsidRPr="004A4364">
        <w:t>. MPSVR SR nevypracovávalo monitorovaciu správu programovej štruktúry v termíne a spôsobom určeným v metodike programového rozpočtovania a v opatrení uviedlo, že monitorovaciu správu budú spracovávať v </w:t>
      </w:r>
      <w:proofErr w:type="spellStart"/>
      <w:r w:rsidR="004B5FC1" w:rsidRPr="004A4364">
        <w:t>RIS</w:t>
      </w:r>
      <w:r w:rsidR="004B5FC1">
        <w:t>e</w:t>
      </w:r>
      <w:proofErr w:type="spellEnd"/>
      <w:r w:rsidR="004B5FC1" w:rsidRPr="004A4364">
        <w:t xml:space="preserve"> do 28.</w:t>
      </w:r>
      <w:r w:rsidR="004B5FC1">
        <w:t xml:space="preserve"> </w:t>
      </w:r>
      <w:r w:rsidR="004B5FC1" w:rsidRPr="004A4364">
        <w:t>2. príslušného roka. Monitorovanie cieľov za MPSVR SR bolo pre rok 2022 ukončené v </w:t>
      </w:r>
      <w:proofErr w:type="spellStart"/>
      <w:r w:rsidR="004B5FC1" w:rsidRPr="004A4364">
        <w:t>RISe</w:t>
      </w:r>
      <w:proofErr w:type="spellEnd"/>
      <w:r w:rsidR="004B5FC1" w:rsidRPr="004A4364">
        <w:t xml:space="preserve"> dňa 10.</w:t>
      </w:r>
      <w:r w:rsidR="004B5FC1">
        <w:t xml:space="preserve"> </w:t>
      </w:r>
      <w:r w:rsidR="004B5FC1" w:rsidRPr="004A4364">
        <w:t>5.</w:t>
      </w:r>
      <w:r w:rsidR="004B5FC1">
        <w:t xml:space="preserve"> </w:t>
      </w:r>
      <w:r w:rsidR="004B5FC1" w:rsidRPr="004A4364">
        <w:t>2023, čím nebola dodržaná metodika ani vlastné opatrenie MPSVR SR.</w:t>
      </w:r>
      <w:r w:rsidR="00A51143">
        <w:t xml:space="preserve"> </w:t>
      </w:r>
      <w:r w:rsidR="00A51143" w:rsidRPr="00FE4A7B">
        <w:t xml:space="preserve">ÚPV </w:t>
      </w:r>
      <w:r w:rsidR="00F8523D">
        <w:t xml:space="preserve">SR </w:t>
      </w:r>
      <w:r w:rsidR="00A51143" w:rsidRPr="00FE4A7B">
        <w:t>prijal opatrenia zamerané na zapojenie širšieho vedenia úradu, nastavenie merateľných ukazovateľov, ktorých plnenie vie svojou činnosťou ovplyvniť, či spracovávanie monitorovacej správy v termíne.</w:t>
      </w:r>
    </w:p>
    <w:p w14:paraId="38975907" w14:textId="2D508411" w:rsidR="00F8523D" w:rsidRDefault="00ED6810" w:rsidP="00F8523D">
      <w:pPr>
        <w:spacing w:before="120"/>
      </w:pPr>
      <w:r w:rsidRPr="004A4364">
        <w:rPr>
          <w:b/>
        </w:rPr>
        <w:t>Programové rozpočtovanie je</w:t>
      </w:r>
      <w:r w:rsidR="00107C80">
        <w:rPr>
          <w:b/>
        </w:rPr>
        <w:t xml:space="preserve"> </w:t>
      </w:r>
      <w:r w:rsidRPr="004A4364">
        <w:rPr>
          <w:b/>
        </w:rPr>
        <w:t>málo využívanou súčasťou rozpočtového cyklu a nie zamýšľaným účinným nástrojom výkonnostného riadenia verejných financií.</w:t>
      </w:r>
      <w:r w:rsidRPr="004A4364">
        <w:t xml:space="preserve"> V programovom rozpočtovaní  kapitol prevláda formalizmus a robia ho skôr zo zotrvačnosti a</w:t>
      </w:r>
      <w:r w:rsidR="00F8523D">
        <w:t xml:space="preserve"> z </w:t>
      </w:r>
      <w:r w:rsidR="00107C80">
        <w:t>nutnos</w:t>
      </w:r>
      <w:r w:rsidR="00F8523D">
        <w:t>ti</w:t>
      </w:r>
      <w:r w:rsidR="00107C80">
        <w:t>,</w:t>
      </w:r>
      <w:r w:rsidRPr="004A4364">
        <w:t> ne</w:t>
      </w:r>
      <w:r w:rsidR="00F8523D">
        <w:t>používajú ho</w:t>
      </w:r>
      <w:r w:rsidRPr="004A4364">
        <w:t xml:space="preserve"> ako vlastný a systematický nástroj riadenia plnenia stanovených zámerov a cieľov. Ukončením </w:t>
      </w:r>
      <w:r>
        <w:t xml:space="preserve">ročného </w:t>
      </w:r>
      <w:r w:rsidRPr="004A4364">
        <w:t>cyklu programového rozpočtovania je monitorovanie a hodnotenie sledovaných zámerov a cieľov v povinnej prílohe ZÚK spracovávanej v monitorovacej správe programovej štruktú</w:t>
      </w:r>
      <w:r w:rsidR="006765E9">
        <w:t>ry.</w:t>
      </w:r>
      <w:r w:rsidR="00F8523D">
        <w:t xml:space="preserve"> Pri hodnotení vybraných verejných politík v kapitole 4 vychádzame z hodnotenia programovej štruktúry a monitorovacích správ.</w:t>
      </w:r>
    </w:p>
    <w:p w14:paraId="1771DB76" w14:textId="64473F71" w:rsidR="006765E9" w:rsidRDefault="006765E9" w:rsidP="0035229D">
      <w:pPr>
        <w:spacing w:before="120"/>
      </w:pPr>
    </w:p>
    <w:p w14:paraId="1BBD7E3C" w14:textId="7523EAFE" w:rsidR="00C11FC7" w:rsidRDefault="004631BA" w:rsidP="005B08CF">
      <w:pPr>
        <w:spacing w:before="120"/>
        <w:rPr>
          <w:rFonts w:cs="Segoe UI"/>
          <w:szCs w:val="16"/>
        </w:rPr>
      </w:pPr>
      <w:r>
        <w:rPr>
          <w:b/>
        </w:rPr>
        <w:t>N</w:t>
      </w:r>
      <w:r w:rsidR="00ED6810" w:rsidRPr="00777A30">
        <w:rPr>
          <w:b/>
        </w:rPr>
        <w:t xml:space="preserve">a základe hodnotenia monitoringu programovej štruktúry piatich </w:t>
      </w:r>
      <w:r w:rsidR="006C7C9C">
        <w:rPr>
          <w:b/>
        </w:rPr>
        <w:t xml:space="preserve">vybraných </w:t>
      </w:r>
      <w:r w:rsidR="00ED6810" w:rsidRPr="00777A30">
        <w:rPr>
          <w:b/>
        </w:rPr>
        <w:t>kapitol</w:t>
      </w:r>
      <w:r>
        <w:rPr>
          <w:b/>
        </w:rPr>
        <w:t xml:space="preserve"> NKÚ SR konštatuje</w:t>
      </w:r>
      <w:r w:rsidR="00ED6810" w:rsidRPr="00777A30">
        <w:rPr>
          <w:b/>
        </w:rPr>
        <w:t xml:space="preserve">, že </w:t>
      </w:r>
      <w:r>
        <w:rPr>
          <w:b/>
        </w:rPr>
        <w:t>ho</w:t>
      </w:r>
      <w:r w:rsidR="00ED6810" w:rsidRPr="00777A30">
        <w:rPr>
          <w:b/>
        </w:rPr>
        <w:t xml:space="preserve"> vypracú</w:t>
      </w:r>
      <w:r>
        <w:rPr>
          <w:b/>
        </w:rPr>
        <w:t>vajú</w:t>
      </w:r>
      <w:r w:rsidR="00ED6810" w:rsidRPr="00777A30">
        <w:rPr>
          <w:b/>
        </w:rPr>
        <w:t xml:space="preserve"> zodpovedne s väčším dôrazom na komentár a menším na používané ukazovatele</w:t>
      </w:r>
      <w:r w:rsidR="00D34562">
        <w:rPr>
          <w:b/>
        </w:rPr>
        <w:t xml:space="preserve"> </w:t>
      </w:r>
      <w:r w:rsidR="00D34562" w:rsidRPr="00D34562">
        <w:t xml:space="preserve">(box </w:t>
      </w:r>
      <w:r w:rsidR="004C18E7">
        <w:t>8</w:t>
      </w:r>
      <w:r w:rsidR="005B08CF">
        <w:t xml:space="preserve"> v prílohe</w:t>
      </w:r>
      <w:r w:rsidR="00D34562" w:rsidRPr="00D34562">
        <w:t>)</w:t>
      </w:r>
      <w:r w:rsidR="00ED6810" w:rsidRPr="00D34562">
        <w:t>.</w:t>
      </w:r>
      <w:r w:rsidR="00ED6810" w:rsidRPr="00777A30">
        <w:rPr>
          <w:b/>
        </w:rPr>
        <w:t xml:space="preserve"> </w:t>
      </w:r>
      <w:r w:rsidR="00ED6810" w:rsidRPr="00777A30">
        <w:t>Táto činnosť však nie je ďalej využívaná na systematické hodnotenie dosahovania zámerov a cieľov na nadrezortnej úrovni.</w:t>
      </w:r>
      <w:r w:rsidR="000A2D0D">
        <w:t xml:space="preserve"> </w:t>
      </w:r>
      <w:r w:rsidR="000A2D0D" w:rsidRPr="000A2D0D">
        <w:rPr>
          <w:rFonts w:cs="Segoe UI"/>
          <w:szCs w:val="16"/>
        </w:rPr>
        <w:t xml:space="preserve">Všetky </w:t>
      </w:r>
      <w:r>
        <w:rPr>
          <w:rFonts w:cs="Segoe UI"/>
          <w:szCs w:val="16"/>
        </w:rPr>
        <w:t xml:space="preserve">hodnotené </w:t>
      </w:r>
      <w:r w:rsidR="000A2D0D" w:rsidRPr="000A2D0D">
        <w:rPr>
          <w:rFonts w:cs="Segoe UI"/>
          <w:szCs w:val="16"/>
        </w:rPr>
        <w:t xml:space="preserve">kapitoly </w:t>
      </w:r>
      <w:r>
        <w:rPr>
          <w:rFonts w:cs="Segoe UI"/>
          <w:sz w:val="18"/>
          <w:szCs w:val="16"/>
        </w:rPr>
        <w:t xml:space="preserve">(MF SR, MPSVR SR, MO SR, MZ SR a MŠVVaŠ SR) </w:t>
      </w:r>
      <w:r w:rsidR="000A2D0D" w:rsidRPr="000A2D0D">
        <w:rPr>
          <w:rFonts w:cs="Segoe UI"/>
          <w:szCs w:val="16"/>
        </w:rPr>
        <w:t>kvalitne vyprac</w:t>
      </w:r>
      <w:r>
        <w:rPr>
          <w:rFonts w:cs="Segoe UI"/>
          <w:szCs w:val="16"/>
        </w:rPr>
        <w:t>úvali</w:t>
      </w:r>
      <w:r w:rsidR="000A2D0D" w:rsidRPr="000A2D0D">
        <w:rPr>
          <w:rFonts w:cs="Segoe UI"/>
          <w:szCs w:val="16"/>
        </w:rPr>
        <w:t xml:space="preserve"> komentáre k programovej štruktúre, tieto boli stručné, jasné a výstižné s dostatkom informácií o plnení sledovaných zámerov a cieľov. Slabšie to však bolo pri ukazovateľoch, kde sme zaznamenali nadmerné využívanie logických (áno/nie) ukazovateľov, aj keď majú číselný ekvivalent, viackrát priamo uvedený v textovom komentári. Širšie používanie výsledkových (dopadových) ukazovateľov a prepojenie na hlavné výsledkové ukazovatele kapitol</w:t>
      </w:r>
      <w:r w:rsidR="000F4780">
        <w:rPr>
          <w:rFonts w:cs="Segoe UI"/>
          <w:szCs w:val="16"/>
        </w:rPr>
        <w:t xml:space="preserve"> chýbalo, pričom</w:t>
      </w:r>
      <w:r w:rsidR="000A2D0D" w:rsidRPr="000A2D0D">
        <w:rPr>
          <w:rFonts w:cs="Segoe UI"/>
          <w:szCs w:val="16"/>
        </w:rPr>
        <w:t xml:space="preserve"> má potenciál ďalej zlepšiť monitorovacie správy a celé programové rozpočtovanie. Dve z piatich kapitol dodržali termín na ukončenie monitorovania v </w:t>
      </w:r>
      <w:proofErr w:type="spellStart"/>
      <w:r w:rsidR="000A2D0D" w:rsidRPr="000A2D0D">
        <w:rPr>
          <w:rFonts w:cs="Segoe UI"/>
          <w:szCs w:val="16"/>
        </w:rPr>
        <w:t>RISe</w:t>
      </w:r>
      <w:proofErr w:type="spellEnd"/>
      <w:r w:rsidR="000A2D0D" w:rsidRPr="000A2D0D">
        <w:rPr>
          <w:rFonts w:cs="Segoe UI"/>
          <w:szCs w:val="16"/>
        </w:rPr>
        <w:t xml:space="preserve"> podľa metodiky a tri ho ukončili po termíne. Programová štruktúra na kapitolách bola stabilná a tie nereagovali na meniace sa podmienky (Covid-19, Ukrajina) – namiesto úprav</w:t>
      </w:r>
      <w:r w:rsidR="00C11FC7">
        <w:rPr>
          <w:rFonts w:cs="Segoe UI"/>
          <w:szCs w:val="16"/>
        </w:rPr>
        <w:t xml:space="preserve">y programovej štruktúry </w:t>
      </w:r>
      <w:r w:rsidR="00886F4E" w:rsidRPr="000A2D0D">
        <w:rPr>
          <w:rFonts w:cs="Segoe UI"/>
          <w:szCs w:val="16"/>
        </w:rPr>
        <w:t xml:space="preserve">zaraďovali </w:t>
      </w:r>
      <w:r w:rsidR="00886F4E">
        <w:rPr>
          <w:rFonts w:cs="Segoe UI"/>
          <w:szCs w:val="16"/>
        </w:rPr>
        <w:t xml:space="preserve">výdavky </w:t>
      </w:r>
      <w:r w:rsidR="00886F4E" w:rsidRPr="000A2D0D">
        <w:rPr>
          <w:rFonts w:cs="Segoe UI"/>
          <w:szCs w:val="16"/>
        </w:rPr>
        <w:t xml:space="preserve">do existujúce štruktúry, čo </w:t>
      </w:r>
      <w:r w:rsidR="00886F4E">
        <w:rPr>
          <w:rFonts w:cs="Segoe UI"/>
          <w:szCs w:val="16"/>
        </w:rPr>
        <w:t>znižovalo jej</w:t>
      </w:r>
      <w:r w:rsidR="00886F4E" w:rsidRPr="000A2D0D">
        <w:rPr>
          <w:rFonts w:cs="Segoe UI"/>
          <w:szCs w:val="16"/>
        </w:rPr>
        <w:t xml:space="preserve"> prehľadnosť.</w:t>
      </w:r>
    </w:p>
    <w:p w14:paraId="1EBA1B81" w14:textId="73A4FE52" w:rsidR="007731C0" w:rsidRPr="005603E6" w:rsidRDefault="002C027A" w:rsidP="00C11FC7">
      <w:pPr>
        <w:pStyle w:val="Nadpis3"/>
        <w:spacing w:before="120"/>
      </w:pPr>
      <w:bookmarkStart w:id="20" w:name="_Toc136418397"/>
      <w:r>
        <w:t xml:space="preserve">3.4 </w:t>
      </w:r>
      <w:r w:rsidR="007731C0" w:rsidRPr="005603E6">
        <w:t>Finančné aktíva</w:t>
      </w:r>
      <w:bookmarkEnd w:id="20"/>
    </w:p>
    <w:p w14:paraId="64BDDFF4" w14:textId="097BB048" w:rsidR="007731C0" w:rsidRDefault="007731C0" w:rsidP="007731C0">
      <w:r>
        <w:t xml:space="preserve">Štátne finančné aktíva (ŠFA) sú súčasťou návrhu ŠR/RVS, no finančné operácie so ŠFA nie sú súčasťou príjmov alebo výdavkov ŠR. V súlade so zákonom o rozpočtových pravidlách vykonáva </w:t>
      </w:r>
      <w:r w:rsidR="00B34AD8">
        <w:t xml:space="preserve">MF SR </w:t>
      </w:r>
      <w:r>
        <w:t xml:space="preserve">správu ŠFA. </w:t>
      </w:r>
      <w:r w:rsidR="00A54434">
        <w:t>N</w:t>
      </w:r>
      <w:r>
        <w:t xml:space="preserve">ajväčšie pohyby </w:t>
      </w:r>
      <w:r w:rsidR="00A54434">
        <w:t xml:space="preserve">na vybraných účtoch ŠFA </w:t>
      </w:r>
      <w:r>
        <w:t>nastali pri prostriedkoch z FNM/MH Manažmentu a návratných finančných výpomocí</w:t>
      </w:r>
      <w:r w:rsidR="00A54434">
        <w:t xml:space="preserve"> (tabuľka 10)</w:t>
      </w:r>
      <w:r w:rsidR="00C85414">
        <w:t>.</w:t>
      </w:r>
    </w:p>
    <w:p w14:paraId="62496EB1" w14:textId="77777777" w:rsidR="00DE0FE4" w:rsidRDefault="00DE0FE4" w:rsidP="00DE0FE4">
      <w:pPr>
        <w:pStyle w:val="Popis"/>
        <w:keepNext/>
      </w:pPr>
      <w:r>
        <w:t>Tabuľka 10: Pohyby na vybraných účtoch ŠFA (v tis. eur)</w:t>
      </w:r>
    </w:p>
    <w:tbl>
      <w:tblPr>
        <w:tblW w:w="9235" w:type="dxa"/>
        <w:tblCellMar>
          <w:left w:w="70" w:type="dxa"/>
          <w:right w:w="70" w:type="dxa"/>
        </w:tblCellMar>
        <w:tblLook w:val="04A0" w:firstRow="1" w:lastRow="0" w:firstColumn="1" w:lastColumn="0" w:noHBand="0" w:noVBand="1"/>
      </w:tblPr>
      <w:tblGrid>
        <w:gridCol w:w="4195"/>
        <w:gridCol w:w="1260"/>
        <w:gridCol w:w="1260"/>
        <w:gridCol w:w="1260"/>
        <w:gridCol w:w="1260"/>
      </w:tblGrid>
      <w:tr w:rsidR="00DE0FE4" w:rsidRPr="00483927" w14:paraId="4DE1C0B2" w14:textId="77777777" w:rsidTr="00A930C7">
        <w:trPr>
          <w:trHeight w:val="255"/>
          <w:tblHeader/>
        </w:trPr>
        <w:tc>
          <w:tcPr>
            <w:tcW w:w="4195" w:type="dxa"/>
            <w:tcBorders>
              <w:top w:val="nil"/>
              <w:left w:val="nil"/>
              <w:bottom w:val="nil"/>
              <w:right w:val="nil"/>
            </w:tcBorders>
            <w:shd w:val="clear" w:color="000000" w:fill="314364"/>
            <w:vAlign w:val="center"/>
            <w:hideMark/>
          </w:tcPr>
          <w:p w14:paraId="36286AAC" w14:textId="77777777" w:rsidR="00DE0FE4" w:rsidRPr="00483927" w:rsidRDefault="00DE0FE4" w:rsidP="00A930C7">
            <w:pPr>
              <w:spacing w:after="0" w:line="240" w:lineRule="auto"/>
              <w:jc w:val="left"/>
              <w:rPr>
                <w:rFonts w:eastAsia="Times New Roman" w:cs="Segoe UI"/>
                <w:b/>
                <w:bCs/>
                <w:color w:val="FFFFFF"/>
                <w:sz w:val="18"/>
                <w:szCs w:val="18"/>
                <w:lang w:eastAsia="sk-SK"/>
              </w:rPr>
            </w:pPr>
            <w:r w:rsidRPr="00483927">
              <w:rPr>
                <w:rFonts w:eastAsia="Times New Roman" w:cs="Segoe UI"/>
                <w:b/>
                <w:bCs/>
                <w:color w:val="FFFFFF"/>
                <w:sz w:val="18"/>
                <w:szCs w:val="18"/>
                <w:lang w:eastAsia="sk-SK"/>
              </w:rPr>
              <w:t xml:space="preserve">Štátne finančné aktíva (tis. eur) </w:t>
            </w:r>
          </w:p>
        </w:tc>
        <w:tc>
          <w:tcPr>
            <w:tcW w:w="1260" w:type="dxa"/>
            <w:tcBorders>
              <w:top w:val="nil"/>
              <w:left w:val="nil"/>
              <w:bottom w:val="nil"/>
              <w:right w:val="nil"/>
            </w:tcBorders>
            <w:shd w:val="clear" w:color="000000" w:fill="314364"/>
            <w:vAlign w:val="center"/>
            <w:hideMark/>
          </w:tcPr>
          <w:p w14:paraId="47911151" w14:textId="77777777" w:rsidR="00DE0FE4" w:rsidRPr="00483927" w:rsidRDefault="00DE0FE4" w:rsidP="00A930C7">
            <w:pPr>
              <w:spacing w:after="0" w:line="240" w:lineRule="auto"/>
              <w:jc w:val="right"/>
              <w:rPr>
                <w:rFonts w:eastAsia="Times New Roman" w:cs="Segoe UI"/>
                <w:b/>
                <w:bCs/>
                <w:color w:val="FFFFFF"/>
                <w:sz w:val="18"/>
                <w:szCs w:val="18"/>
                <w:lang w:eastAsia="sk-SK"/>
              </w:rPr>
            </w:pPr>
            <w:r w:rsidRPr="00483927">
              <w:rPr>
                <w:rFonts w:eastAsia="Times New Roman" w:cs="Segoe UI"/>
                <w:b/>
                <w:bCs/>
                <w:color w:val="FFFFFF"/>
                <w:sz w:val="18"/>
                <w:szCs w:val="18"/>
                <w:lang w:eastAsia="sk-SK"/>
              </w:rPr>
              <w:t>2020 S</w:t>
            </w:r>
          </w:p>
        </w:tc>
        <w:tc>
          <w:tcPr>
            <w:tcW w:w="1260" w:type="dxa"/>
            <w:tcBorders>
              <w:top w:val="nil"/>
              <w:left w:val="nil"/>
              <w:bottom w:val="nil"/>
              <w:right w:val="nil"/>
            </w:tcBorders>
            <w:shd w:val="clear" w:color="000000" w:fill="314364"/>
            <w:vAlign w:val="center"/>
            <w:hideMark/>
          </w:tcPr>
          <w:p w14:paraId="2352192F" w14:textId="77777777" w:rsidR="00DE0FE4" w:rsidRPr="00483927" w:rsidRDefault="00DE0FE4" w:rsidP="00A930C7">
            <w:pPr>
              <w:spacing w:after="0" w:line="240" w:lineRule="auto"/>
              <w:jc w:val="right"/>
              <w:rPr>
                <w:rFonts w:eastAsia="Times New Roman" w:cs="Segoe UI"/>
                <w:b/>
                <w:bCs/>
                <w:color w:val="FFFFFF"/>
                <w:sz w:val="18"/>
                <w:szCs w:val="18"/>
                <w:lang w:eastAsia="sk-SK"/>
              </w:rPr>
            </w:pPr>
            <w:r w:rsidRPr="00483927">
              <w:rPr>
                <w:rFonts w:eastAsia="Times New Roman" w:cs="Segoe UI"/>
                <w:b/>
                <w:bCs/>
                <w:color w:val="FFFFFF"/>
                <w:sz w:val="18"/>
                <w:szCs w:val="18"/>
                <w:lang w:eastAsia="sk-SK"/>
              </w:rPr>
              <w:t>2021 S</w:t>
            </w:r>
          </w:p>
        </w:tc>
        <w:tc>
          <w:tcPr>
            <w:tcW w:w="1260" w:type="dxa"/>
            <w:tcBorders>
              <w:top w:val="nil"/>
              <w:left w:val="nil"/>
              <w:bottom w:val="nil"/>
              <w:right w:val="nil"/>
            </w:tcBorders>
            <w:shd w:val="clear" w:color="000000" w:fill="314364"/>
            <w:vAlign w:val="center"/>
            <w:hideMark/>
          </w:tcPr>
          <w:p w14:paraId="1F9CE1DD" w14:textId="77777777" w:rsidR="00DE0FE4" w:rsidRPr="00483927" w:rsidRDefault="00DE0FE4" w:rsidP="00A930C7">
            <w:pPr>
              <w:spacing w:after="0" w:line="240" w:lineRule="auto"/>
              <w:jc w:val="right"/>
              <w:rPr>
                <w:rFonts w:eastAsia="Times New Roman" w:cs="Segoe UI"/>
                <w:b/>
                <w:bCs/>
                <w:color w:val="FFFFFF"/>
                <w:sz w:val="18"/>
                <w:szCs w:val="18"/>
                <w:lang w:eastAsia="sk-SK"/>
              </w:rPr>
            </w:pPr>
            <w:r w:rsidRPr="00483927">
              <w:rPr>
                <w:rFonts w:eastAsia="Times New Roman" w:cs="Segoe UI"/>
                <w:b/>
                <w:bCs/>
                <w:color w:val="FFFFFF"/>
                <w:sz w:val="18"/>
                <w:szCs w:val="18"/>
                <w:lang w:eastAsia="sk-SK"/>
              </w:rPr>
              <w:t>2022 S</w:t>
            </w:r>
          </w:p>
        </w:tc>
        <w:tc>
          <w:tcPr>
            <w:tcW w:w="1260" w:type="dxa"/>
            <w:tcBorders>
              <w:top w:val="nil"/>
              <w:left w:val="nil"/>
              <w:bottom w:val="nil"/>
              <w:right w:val="nil"/>
            </w:tcBorders>
            <w:shd w:val="clear" w:color="000000" w:fill="314364"/>
            <w:vAlign w:val="center"/>
          </w:tcPr>
          <w:p w14:paraId="6091A131" w14:textId="77777777" w:rsidR="00DE0FE4" w:rsidRPr="00483927" w:rsidRDefault="00DE0FE4" w:rsidP="00A930C7">
            <w:pPr>
              <w:spacing w:after="0" w:line="240" w:lineRule="auto"/>
              <w:jc w:val="right"/>
              <w:rPr>
                <w:rFonts w:eastAsia="Times New Roman" w:cs="Segoe UI"/>
                <w:b/>
                <w:bCs/>
                <w:color w:val="FFFFFF"/>
                <w:sz w:val="18"/>
                <w:szCs w:val="18"/>
                <w:lang w:eastAsia="sk-SK"/>
              </w:rPr>
            </w:pPr>
            <w:r>
              <w:rPr>
                <w:rFonts w:cs="Segoe UI"/>
                <w:b/>
                <w:bCs/>
                <w:color w:val="FFFFFF"/>
                <w:sz w:val="18"/>
                <w:szCs w:val="18"/>
              </w:rPr>
              <w:t>22S-21S</w:t>
            </w:r>
          </w:p>
        </w:tc>
      </w:tr>
      <w:tr w:rsidR="00DE0FE4" w:rsidRPr="00483927" w14:paraId="6E7F3B7C" w14:textId="77777777" w:rsidTr="00A930C7">
        <w:trPr>
          <w:trHeight w:val="255"/>
        </w:trPr>
        <w:tc>
          <w:tcPr>
            <w:tcW w:w="4195" w:type="dxa"/>
            <w:tcBorders>
              <w:top w:val="nil"/>
              <w:left w:val="nil"/>
              <w:bottom w:val="single" w:sz="4" w:space="0" w:color="auto"/>
              <w:right w:val="nil"/>
            </w:tcBorders>
            <w:shd w:val="clear" w:color="000000" w:fill="FFFFFF"/>
            <w:noWrap/>
            <w:vAlign w:val="bottom"/>
            <w:hideMark/>
          </w:tcPr>
          <w:p w14:paraId="68AA5C15" w14:textId="77777777" w:rsidR="00DE0FE4" w:rsidRPr="00483927" w:rsidRDefault="00DE0FE4" w:rsidP="00A930C7">
            <w:pPr>
              <w:spacing w:after="0" w:line="240" w:lineRule="auto"/>
              <w:jc w:val="left"/>
              <w:rPr>
                <w:rFonts w:eastAsia="Times New Roman" w:cs="Segoe UI"/>
                <w:b/>
                <w:bCs/>
                <w:color w:val="000000"/>
                <w:sz w:val="18"/>
                <w:szCs w:val="18"/>
                <w:lang w:eastAsia="sk-SK"/>
              </w:rPr>
            </w:pPr>
            <w:r w:rsidRPr="00483927">
              <w:rPr>
                <w:rFonts w:eastAsia="Times New Roman" w:cs="Segoe UI"/>
                <w:b/>
                <w:bCs/>
                <w:color w:val="000000"/>
                <w:sz w:val="18"/>
                <w:szCs w:val="18"/>
                <w:lang w:eastAsia="sk-SK"/>
              </w:rPr>
              <w:t>Stav k 1.1.</w:t>
            </w:r>
          </w:p>
        </w:tc>
        <w:tc>
          <w:tcPr>
            <w:tcW w:w="1260" w:type="dxa"/>
            <w:tcBorders>
              <w:top w:val="nil"/>
              <w:left w:val="nil"/>
              <w:bottom w:val="single" w:sz="4" w:space="0" w:color="auto"/>
              <w:right w:val="nil"/>
            </w:tcBorders>
            <w:shd w:val="clear" w:color="000000" w:fill="FFFFFF"/>
            <w:noWrap/>
            <w:vAlign w:val="bottom"/>
            <w:hideMark/>
          </w:tcPr>
          <w:p w14:paraId="6A9B6F49"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sidRPr="00483927">
              <w:rPr>
                <w:rFonts w:eastAsia="Times New Roman" w:cs="Segoe UI"/>
                <w:b/>
                <w:bCs/>
                <w:color w:val="000000"/>
                <w:sz w:val="18"/>
                <w:szCs w:val="18"/>
                <w:lang w:eastAsia="sk-SK"/>
              </w:rPr>
              <w:t>2 122 602</w:t>
            </w:r>
          </w:p>
        </w:tc>
        <w:tc>
          <w:tcPr>
            <w:tcW w:w="1260" w:type="dxa"/>
            <w:tcBorders>
              <w:top w:val="nil"/>
              <w:left w:val="nil"/>
              <w:bottom w:val="single" w:sz="4" w:space="0" w:color="auto"/>
              <w:right w:val="nil"/>
            </w:tcBorders>
            <w:shd w:val="clear" w:color="000000" w:fill="FFFFFF"/>
            <w:noWrap/>
            <w:vAlign w:val="bottom"/>
            <w:hideMark/>
          </w:tcPr>
          <w:p w14:paraId="680945AB"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sidRPr="00483927">
              <w:rPr>
                <w:rFonts w:eastAsia="Times New Roman" w:cs="Segoe UI"/>
                <w:b/>
                <w:bCs/>
                <w:color w:val="000000"/>
                <w:sz w:val="18"/>
                <w:szCs w:val="18"/>
                <w:lang w:eastAsia="sk-SK"/>
              </w:rPr>
              <w:t>3 354 465</w:t>
            </w:r>
          </w:p>
        </w:tc>
        <w:tc>
          <w:tcPr>
            <w:tcW w:w="1260" w:type="dxa"/>
            <w:tcBorders>
              <w:top w:val="nil"/>
              <w:left w:val="nil"/>
              <w:bottom w:val="single" w:sz="4" w:space="0" w:color="auto"/>
              <w:right w:val="nil"/>
            </w:tcBorders>
            <w:shd w:val="clear" w:color="000000" w:fill="FFFFFF"/>
            <w:noWrap/>
            <w:vAlign w:val="bottom"/>
            <w:hideMark/>
          </w:tcPr>
          <w:p w14:paraId="46C29E84"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sidRPr="00483927">
              <w:rPr>
                <w:rFonts w:eastAsia="Times New Roman" w:cs="Segoe UI"/>
                <w:b/>
                <w:bCs/>
                <w:color w:val="000000"/>
                <w:sz w:val="18"/>
                <w:szCs w:val="18"/>
                <w:lang w:eastAsia="sk-SK"/>
              </w:rPr>
              <w:t>3 419 084</w:t>
            </w:r>
          </w:p>
        </w:tc>
        <w:tc>
          <w:tcPr>
            <w:tcW w:w="1260" w:type="dxa"/>
            <w:tcBorders>
              <w:top w:val="nil"/>
              <w:left w:val="nil"/>
              <w:bottom w:val="single" w:sz="4" w:space="0" w:color="auto"/>
              <w:right w:val="nil"/>
            </w:tcBorders>
            <w:shd w:val="clear" w:color="000000" w:fill="FFFFFF"/>
            <w:vAlign w:val="bottom"/>
          </w:tcPr>
          <w:p w14:paraId="33480F49"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Pr>
                <w:rFonts w:cs="Segoe UI"/>
                <w:b/>
                <w:bCs/>
                <w:color w:val="000000"/>
                <w:sz w:val="18"/>
                <w:szCs w:val="18"/>
              </w:rPr>
              <w:t>64 619</w:t>
            </w:r>
          </w:p>
        </w:tc>
      </w:tr>
      <w:tr w:rsidR="00DE0FE4" w:rsidRPr="00483927" w14:paraId="0A83B99D" w14:textId="77777777" w:rsidTr="00A930C7">
        <w:trPr>
          <w:trHeight w:val="255"/>
        </w:trPr>
        <w:tc>
          <w:tcPr>
            <w:tcW w:w="4195" w:type="dxa"/>
            <w:tcBorders>
              <w:top w:val="nil"/>
              <w:left w:val="nil"/>
              <w:bottom w:val="nil"/>
              <w:right w:val="nil"/>
            </w:tcBorders>
            <w:shd w:val="clear" w:color="000000" w:fill="FFFFFF"/>
            <w:noWrap/>
            <w:vAlign w:val="bottom"/>
            <w:hideMark/>
          </w:tcPr>
          <w:p w14:paraId="2219E754" w14:textId="77777777" w:rsidR="00DE0FE4" w:rsidRPr="00483927" w:rsidRDefault="00DE0FE4" w:rsidP="00A930C7">
            <w:pPr>
              <w:spacing w:after="0" w:line="240" w:lineRule="auto"/>
              <w:jc w:val="left"/>
              <w:rPr>
                <w:rFonts w:eastAsia="Times New Roman" w:cs="Segoe UI"/>
                <w:i/>
                <w:iCs/>
                <w:color w:val="000000"/>
                <w:sz w:val="18"/>
                <w:szCs w:val="18"/>
                <w:lang w:eastAsia="sk-SK"/>
              </w:rPr>
            </w:pPr>
            <w:r w:rsidRPr="00483927">
              <w:rPr>
                <w:rFonts w:eastAsia="Times New Roman" w:cs="Segoe UI"/>
                <w:i/>
                <w:iCs/>
                <w:color w:val="000000"/>
                <w:sz w:val="18"/>
                <w:szCs w:val="18"/>
                <w:lang w:eastAsia="sk-SK"/>
              </w:rPr>
              <w:t>Príjmy - zvýšenie ŠFA</w:t>
            </w:r>
          </w:p>
        </w:tc>
        <w:tc>
          <w:tcPr>
            <w:tcW w:w="1260" w:type="dxa"/>
            <w:tcBorders>
              <w:top w:val="nil"/>
              <w:left w:val="nil"/>
              <w:bottom w:val="nil"/>
              <w:right w:val="nil"/>
            </w:tcBorders>
            <w:shd w:val="clear" w:color="000000" w:fill="FFFFFF"/>
            <w:noWrap/>
            <w:vAlign w:val="bottom"/>
            <w:hideMark/>
          </w:tcPr>
          <w:p w14:paraId="56CC4EEA"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sidRPr="00483927">
              <w:rPr>
                <w:rFonts w:eastAsia="Times New Roman" w:cs="Segoe UI"/>
                <w:i/>
                <w:iCs/>
                <w:color w:val="000000"/>
                <w:sz w:val="18"/>
                <w:szCs w:val="18"/>
                <w:lang w:eastAsia="sk-SK"/>
              </w:rPr>
              <w:t>2 143 859</w:t>
            </w:r>
          </w:p>
        </w:tc>
        <w:tc>
          <w:tcPr>
            <w:tcW w:w="1260" w:type="dxa"/>
            <w:tcBorders>
              <w:top w:val="nil"/>
              <w:left w:val="nil"/>
              <w:bottom w:val="nil"/>
              <w:right w:val="nil"/>
            </w:tcBorders>
            <w:shd w:val="clear" w:color="000000" w:fill="FFFFFF"/>
            <w:noWrap/>
            <w:vAlign w:val="bottom"/>
            <w:hideMark/>
          </w:tcPr>
          <w:p w14:paraId="76FC5932"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sidRPr="00483927">
              <w:rPr>
                <w:rFonts w:eastAsia="Times New Roman" w:cs="Segoe UI"/>
                <w:i/>
                <w:iCs/>
                <w:color w:val="000000"/>
                <w:sz w:val="18"/>
                <w:szCs w:val="18"/>
                <w:lang w:eastAsia="sk-SK"/>
              </w:rPr>
              <w:t>302 072</w:t>
            </w:r>
          </w:p>
        </w:tc>
        <w:tc>
          <w:tcPr>
            <w:tcW w:w="1260" w:type="dxa"/>
            <w:tcBorders>
              <w:top w:val="nil"/>
              <w:left w:val="nil"/>
              <w:bottom w:val="nil"/>
              <w:right w:val="nil"/>
            </w:tcBorders>
            <w:shd w:val="clear" w:color="000000" w:fill="FFFFFF"/>
            <w:noWrap/>
            <w:vAlign w:val="bottom"/>
            <w:hideMark/>
          </w:tcPr>
          <w:p w14:paraId="49F6CC79"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sidRPr="00483927">
              <w:rPr>
                <w:rFonts w:eastAsia="Times New Roman" w:cs="Segoe UI"/>
                <w:i/>
                <w:iCs/>
                <w:color w:val="000000"/>
                <w:sz w:val="18"/>
                <w:szCs w:val="18"/>
                <w:lang w:eastAsia="sk-SK"/>
              </w:rPr>
              <w:t>1 056 782</w:t>
            </w:r>
          </w:p>
        </w:tc>
        <w:tc>
          <w:tcPr>
            <w:tcW w:w="1260" w:type="dxa"/>
            <w:tcBorders>
              <w:top w:val="nil"/>
              <w:left w:val="nil"/>
              <w:bottom w:val="nil"/>
              <w:right w:val="nil"/>
            </w:tcBorders>
            <w:shd w:val="clear" w:color="000000" w:fill="FFFFFF"/>
            <w:vAlign w:val="bottom"/>
          </w:tcPr>
          <w:p w14:paraId="1C0F1ACC"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Pr>
                <w:rFonts w:cs="Segoe UI"/>
                <w:i/>
                <w:iCs/>
                <w:color w:val="000000"/>
                <w:sz w:val="18"/>
                <w:szCs w:val="18"/>
              </w:rPr>
              <w:t>754 710</w:t>
            </w:r>
          </w:p>
        </w:tc>
      </w:tr>
      <w:tr w:rsidR="00DE0FE4" w:rsidRPr="00483927" w14:paraId="1BF81A11" w14:textId="77777777" w:rsidTr="00A930C7">
        <w:trPr>
          <w:trHeight w:val="255"/>
        </w:trPr>
        <w:tc>
          <w:tcPr>
            <w:tcW w:w="4195" w:type="dxa"/>
            <w:tcBorders>
              <w:top w:val="nil"/>
              <w:left w:val="nil"/>
              <w:bottom w:val="nil"/>
              <w:right w:val="nil"/>
            </w:tcBorders>
            <w:shd w:val="clear" w:color="000000" w:fill="FFFFFF"/>
            <w:noWrap/>
            <w:vAlign w:val="bottom"/>
            <w:hideMark/>
          </w:tcPr>
          <w:p w14:paraId="7A7463AB"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účelové prostriedky z FNM/MH Manažment, a.</w:t>
            </w:r>
            <w:r>
              <w:rPr>
                <w:rFonts w:eastAsia="Times New Roman" w:cs="Segoe UI"/>
                <w:color w:val="000000"/>
                <w:sz w:val="18"/>
                <w:szCs w:val="18"/>
                <w:lang w:eastAsia="sk-SK"/>
              </w:rPr>
              <w:t xml:space="preserve"> </w:t>
            </w:r>
            <w:r w:rsidRPr="00483927">
              <w:rPr>
                <w:rFonts w:eastAsia="Times New Roman" w:cs="Segoe UI"/>
                <w:color w:val="000000"/>
                <w:sz w:val="18"/>
                <w:szCs w:val="18"/>
                <w:lang w:eastAsia="sk-SK"/>
              </w:rPr>
              <w:t>s.</w:t>
            </w:r>
          </w:p>
        </w:tc>
        <w:tc>
          <w:tcPr>
            <w:tcW w:w="1260" w:type="dxa"/>
            <w:tcBorders>
              <w:top w:val="nil"/>
              <w:left w:val="nil"/>
              <w:bottom w:val="nil"/>
              <w:right w:val="nil"/>
            </w:tcBorders>
            <w:shd w:val="clear" w:color="000000" w:fill="FFFFFF"/>
            <w:noWrap/>
            <w:vAlign w:val="bottom"/>
            <w:hideMark/>
          </w:tcPr>
          <w:p w14:paraId="5E209AB2"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1 126 303</w:t>
            </w:r>
          </w:p>
        </w:tc>
        <w:tc>
          <w:tcPr>
            <w:tcW w:w="1260" w:type="dxa"/>
            <w:tcBorders>
              <w:top w:val="nil"/>
              <w:left w:val="nil"/>
              <w:bottom w:val="nil"/>
              <w:right w:val="nil"/>
            </w:tcBorders>
            <w:shd w:val="clear" w:color="000000" w:fill="FFFFFF"/>
            <w:noWrap/>
            <w:vAlign w:val="bottom"/>
            <w:hideMark/>
          </w:tcPr>
          <w:p w14:paraId="23DB7702"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321</w:t>
            </w:r>
          </w:p>
        </w:tc>
        <w:tc>
          <w:tcPr>
            <w:tcW w:w="1260" w:type="dxa"/>
            <w:tcBorders>
              <w:top w:val="nil"/>
              <w:left w:val="nil"/>
              <w:bottom w:val="nil"/>
              <w:right w:val="nil"/>
            </w:tcBorders>
            <w:shd w:val="clear" w:color="000000" w:fill="FFFFFF"/>
            <w:noWrap/>
            <w:vAlign w:val="bottom"/>
            <w:hideMark/>
          </w:tcPr>
          <w:p w14:paraId="3571411F"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414 925</w:t>
            </w:r>
          </w:p>
        </w:tc>
        <w:tc>
          <w:tcPr>
            <w:tcW w:w="1260" w:type="dxa"/>
            <w:tcBorders>
              <w:top w:val="nil"/>
              <w:left w:val="nil"/>
              <w:bottom w:val="nil"/>
              <w:right w:val="nil"/>
            </w:tcBorders>
            <w:shd w:val="clear" w:color="000000" w:fill="FFFFFF"/>
            <w:vAlign w:val="bottom"/>
          </w:tcPr>
          <w:p w14:paraId="54DC2158"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414 604</w:t>
            </w:r>
          </w:p>
        </w:tc>
      </w:tr>
      <w:tr w:rsidR="00DE0FE4" w:rsidRPr="00483927" w14:paraId="79F3CA27" w14:textId="77777777" w:rsidTr="00A930C7">
        <w:trPr>
          <w:trHeight w:val="255"/>
        </w:trPr>
        <w:tc>
          <w:tcPr>
            <w:tcW w:w="4195" w:type="dxa"/>
            <w:tcBorders>
              <w:top w:val="nil"/>
              <w:left w:val="nil"/>
              <w:bottom w:val="nil"/>
              <w:right w:val="nil"/>
            </w:tcBorders>
            <w:shd w:val="clear" w:color="000000" w:fill="FFFFFF"/>
            <w:noWrap/>
            <w:vAlign w:val="bottom"/>
            <w:hideMark/>
          </w:tcPr>
          <w:p w14:paraId="180CC3A3"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návratné finančné výpomoci</w:t>
            </w:r>
          </w:p>
        </w:tc>
        <w:tc>
          <w:tcPr>
            <w:tcW w:w="1260" w:type="dxa"/>
            <w:tcBorders>
              <w:top w:val="nil"/>
              <w:left w:val="nil"/>
              <w:bottom w:val="nil"/>
              <w:right w:val="nil"/>
            </w:tcBorders>
            <w:shd w:val="clear" w:color="000000" w:fill="FFFFFF"/>
            <w:noWrap/>
            <w:vAlign w:val="bottom"/>
            <w:hideMark/>
          </w:tcPr>
          <w:p w14:paraId="3CBA064D"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517 173</w:t>
            </w:r>
          </w:p>
        </w:tc>
        <w:tc>
          <w:tcPr>
            <w:tcW w:w="1260" w:type="dxa"/>
            <w:tcBorders>
              <w:top w:val="nil"/>
              <w:left w:val="nil"/>
              <w:bottom w:val="nil"/>
              <w:right w:val="nil"/>
            </w:tcBorders>
            <w:shd w:val="clear" w:color="000000" w:fill="FFFFFF"/>
            <w:noWrap/>
            <w:vAlign w:val="bottom"/>
            <w:hideMark/>
          </w:tcPr>
          <w:p w14:paraId="479099C1"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189 665</w:t>
            </w:r>
          </w:p>
        </w:tc>
        <w:tc>
          <w:tcPr>
            <w:tcW w:w="1260" w:type="dxa"/>
            <w:tcBorders>
              <w:top w:val="nil"/>
              <w:left w:val="nil"/>
              <w:bottom w:val="nil"/>
              <w:right w:val="nil"/>
            </w:tcBorders>
            <w:shd w:val="clear" w:color="000000" w:fill="FFFFFF"/>
            <w:noWrap/>
            <w:vAlign w:val="bottom"/>
            <w:hideMark/>
          </w:tcPr>
          <w:p w14:paraId="11675C87"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550 112</w:t>
            </w:r>
          </w:p>
        </w:tc>
        <w:tc>
          <w:tcPr>
            <w:tcW w:w="1260" w:type="dxa"/>
            <w:tcBorders>
              <w:top w:val="nil"/>
              <w:left w:val="nil"/>
              <w:bottom w:val="nil"/>
              <w:right w:val="nil"/>
            </w:tcBorders>
            <w:shd w:val="clear" w:color="000000" w:fill="FFFFFF"/>
            <w:vAlign w:val="bottom"/>
          </w:tcPr>
          <w:p w14:paraId="45557199"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360 447</w:t>
            </w:r>
          </w:p>
        </w:tc>
      </w:tr>
      <w:tr w:rsidR="00DE0FE4" w:rsidRPr="00483927" w14:paraId="45DC8900" w14:textId="77777777" w:rsidTr="00A930C7">
        <w:trPr>
          <w:trHeight w:val="255"/>
        </w:trPr>
        <w:tc>
          <w:tcPr>
            <w:tcW w:w="4195" w:type="dxa"/>
            <w:tcBorders>
              <w:top w:val="nil"/>
              <w:left w:val="nil"/>
              <w:bottom w:val="nil"/>
              <w:right w:val="nil"/>
            </w:tcBorders>
            <w:shd w:val="clear" w:color="000000" w:fill="FFFFFF"/>
            <w:noWrap/>
            <w:vAlign w:val="bottom"/>
            <w:hideMark/>
          </w:tcPr>
          <w:p w14:paraId="189F36A0"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osobitný odvod finančných inštitúcií</w:t>
            </w:r>
          </w:p>
        </w:tc>
        <w:tc>
          <w:tcPr>
            <w:tcW w:w="1260" w:type="dxa"/>
            <w:tcBorders>
              <w:top w:val="nil"/>
              <w:left w:val="nil"/>
              <w:bottom w:val="nil"/>
              <w:right w:val="nil"/>
            </w:tcBorders>
            <w:shd w:val="clear" w:color="000000" w:fill="FFFFFF"/>
            <w:noWrap/>
            <w:vAlign w:val="bottom"/>
            <w:hideMark/>
          </w:tcPr>
          <w:p w14:paraId="2EFF66BA"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148 950</w:t>
            </w:r>
          </w:p>
        </w:tc>
        <w:tc>
          <w:tcPr>
            <w:tcW w:w="1260" w:type="dxa"/>
            <w:tcBorders>
              <w:top w:val="nil"/>
              <w:left w:val="nil"/>
              <w:bottom w:val="nil"/>
              <w:right w:val="nil"/>
            </w:tcBorders>
            <w:shd w:val="clear" w:color="000000" w:fill="FFFFFF"/>
            <w:noWrap/>
            <w:vAlign w:val="bottom"/>
            <w:hideMark/>
          </w:tcPr>
          <w:p w14:paraId="1714B5CE"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0</w:t>
            </w:r>
          </w:p>
        </w:tc>
        <w:tc>
          <w:tcPr>
            <w:tcW w:w="1260" w:type="dxa"/>
            <w:tcBorders>
              <w:top w:val="nil"/>
              <w:left w:val="nil"/>
              <w:bottom w:val="nil"/>
              <w:right w:val="nil"/>
            </w:tcBorders>
            <w:shd w:val="clear" w:color="000000" w:fill="FFFFFF"/>
            <w:noWrap/>
            <w:vAlign w:val="bottom"/>
            <w:hideMark/>
          </w:tcPr>
          <w:p w14:paraId="108F5736"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0</w:t>
            </w:r>
          </w:p>
        </w:tc>
        <w:tc>
          <w:tcPr>
            <w:tcW w:w="1260" w:type="dxa"/>
            <w:tcBorders>
              <w:top w:val="nil"/>
              <w:left w:val="nil"/>
              <w:bottom w:val="nil"/>
              <w:right w:val="nil"/>
            </w:tcBorders>
            <w:shd w:val="clear" w:color="000000" w:fill="FFFFFF"/>
            <w:vAlign w:val="bottom"/>
          </w:tcPr>
          <w:p w14:paraId="66116F02"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0</w:t>
            </w:r>
          </w:p>
        </w:tc>
      </w:tr>
      <w:tr w:rsidR="00DE0FE4" w:rsidRPr="00483927" w14:paraId="60285739" w14:textId="77777777" w:rsidTr="00A930C7">
        <w:trPr>
          <w:trHeight w:val="255"/>
        </w:trPr>
        <w:tc>
          <w:tcPr>
            <w:tcW w:w="4195" w:type="dxa"/>
            <w:tcBorders>
              <w:top w:val="nil"/>
              <w:left w:val="nil"/>
              <w:bottom w:val="nil"/>
              <w:right w:val="nil"/>
            </w:tcBorders>
            <w:shd w:val="clear" w:color="000000" w:fill="FFFFFF"/>
            <w:noWrap/>
            <w:vAlign w:val="bottom"/>
            <w:hideMark/>
          </w:tcPr>
          <w:p w14:paraId="3880A6B5"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osobitný odvod z podnikania v regulovaných odvetviach</w:t>
            </w:r>
          </w:p>
        </w:tc>
        <w:tc>
          <w:tcPr>
            <w:tcW w:w="1260" w:type="dxa"/>
            <w:tcBorders>
              <w:top w:val="nil"/>
              <w:left w:val="nil"/>
              <w:bottom w:val="nil"/>
              <w:right w:val="nil"/>
            </w:tcBorders>
            <w:shd w:val="clear" w:color="000000" w:fill="FFFFFF"/>
            <w:noWrap/>
            <w:vAlign w:val="bottom"/>
            <w:hideMark/>
          </w:tcPr>
          <w:p w14:paraId="3A884233"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210 535</w:t>
            </w:r>
          </w:p>
        </w:tc>
        <w:tc>
          <w:tcPr>
            <w:tcW w:w="1260" w:type="dxa"/>
            <w:tcBorders>
              <w:top w:val="nil"/>
              <w:left w:val="nil"/>
              <w:bottom w:val="nil"/>
              <w:right w:val="nil"/>
            </w:tcBorders>
            <w:shd w:val="clear" w:color="000000" w:fill="FFFFFF"/>
            <w:noWrap/>
            <w:vAlign w:val="bottom"/>
            <w:hideMark/>
          </w:tcPr>
          <w:p w14:paraId="18606D34"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111 384</w:t>
            </w:r>
          </w:p>
        </w:tc>
        <w:tc>
          <w:tcPr>
            <w:tcW w:w="1260" w:type="dxa"/>
            <w:tcBorders>
              <w:top w:val="nil"/>
              <w:left w:val="nil"/>
              <w:bottom w:val="nil"/>
              <w:right w:val="nil"/>
            </w:tcBorders>
            <w:shd w:val="clear" w:color="000000" w:fill="FFFFFF"/>
            <w:noWrap/>
            <w:vAlign w:val="bottom"/>
            <w:hideMark/>
          </w:tcPr>
          <w:p w14:paraId="464A3317"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91 465</w:t>
            </w:r>
          </w:p>
        </w:tc>
        <w:tc>
          <w:tcPr>
            <w:tcW w:w="1260" w:type="dxa"/>
            <w:tcBorders>
              <w:top w:val="nil"/>
              <w:left w:val="nil"/>
              <w:bottom w:val="nil"/>
              <w:right w:val="nil"/>
            </w:tcBorders>
            <w:shd w:val="clear" w:color="000000" w:fill="FFFFFF"/>
            <w:vAlign w:val="bottom"/>
          </w:tcPr>
          <w:p w14:paraId="2796D2F9"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-19 919</w:t>
            </w:r>
          </w:p>
        </w:tc>
      </w:tr>
      <w:tr w:rsidR="00DE0FE4" w:rsidRPr="00483927" w14:paraId="5E4CE7BD" w14:textId="77777777" w:rsidTr="00A930C7">
        <w:trPr>
          <w:trHeight w:val="255"/>
        </w:trPr>
        <w:tc>
          <w:tcPr>
            <w:tcW w:w="4195" w:type="dxa"/>
            <w:tcBorders>
              <w:top w:val="nil"/>
              <w:left w:val="nil"/>
              <w:bottom w:val="nil"/>
              <w:right w:val="nil"/>
            </w:tcBorders>
            <w:shd w:val="clear" w:color="000000" w:fill="FFFFFF"/>
            <w:noWrap/>
            <w:vAlign w:val="bottom"/>
            <w:hideMark/>
          </w:tcPr>
          <w:p w14:paraId="06A70B77"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ostatné</w:t>
            </w:r>
          </w:p>
        </w:tc>
        <w:tc>
          <w:tcPr>
            <w:tcW w:w="1260" w:type="dxa"/>
            <w:tcBorders>
              <w:top w:val="nil"/>
              <w:left w:val="nil"/>
              <w:bottom w:val="nil"/>
              <w:right w:val="nil"/>
            </w:tcBorders>
            <w:shd w:val="clear" w:color="000000" w:fill="FFFFFF"/>
            <w:noWrap/>
            <w:vAlign w:val="bottom"/>
            <w:hideMark/>
          </w:tcPr>
          <w:p w14:paraId="516F7AF8"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140 898</w:t>
            </w:r>
          </w:p>
        </w:tc>
        <w:tc>
          <w:tcPr>
            <w:tcW w:w="1260" w:type="dxa"/>
            <w:tcBorders>
              <w:top w:val="nil"/>
              <w:left w:val="nil"/>
              <w:bottom w:val="nil"/>
              <w:right w:val="nil"/>
            </w:tcBorders>
            <w:shd w:val="clear" w:color="000000" w:fill="FFFFFF"/>
            <w:noWrap/>
            <w:vAlign w:val="bottom"/>
            <w:hideMark/>
          </w:tcPr>
          <w:p w14:paraId="3CCD5269"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702</w:t>
            </w:r>
          </w:p>
        </w:tc>
        <w:tc>
          <w:tcPr>
            <w:tcW w:w="1260" w:type="dxa"/>
            <w:tcBorders>
              <w:top w:val="nil"/>
              <w:left w:val="nil"/>
              <w:bottom w:val="nil"/>
              <w:right w:val="nil"/>
            </w:tcBorders>
            <w:shd w:val="clear" w:color="000000" w:fill="FFFFFF"/>
            <w:noWrap/>
            <w:vAlign w:val="bottom"/>
            <w:hideMark/>
          </w:tcPr>
          <w:p w14:paraId="2BDF6993"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279</w:t>
            </w:r>
          </w:p>
        </w:tc>
        <w:tc>
          <w:tcPr>
            <w:tcW w:w="1260" w:type="dxa"/>
            <w:tcBorders>
              <w:top w:val="nil"/>
              <w:left w:val="nil"/>
              <w:bottom w:val="nil"/>
              <w:right w:val="nil"/>
            </w:tcBorders>
            <w:shd w:val="clear" w:color="000000" w:fill="FFFFFF"/>
            <w:vAlign w:val="bottom"/>
          </w:tcPr>
          <w:p w14:paraId="34E207AA"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-423</w:t>
            </w:r>
          </w:p>
        </w:tc>
      </w:tr>
      <w:tr w:rsidR="00DE0FE4" w:rsidRPr="00483927" w14:paraId="0F9487E8" w14:textId="77777777" w:rsidTr="00A930C7">
        <w:trPr>
          <w:trHeight w:val="255"/>
        </w:trPr>
        <w:tc>
          <w:tcPr>
            <w:tcW w:w="4195" w:type="dxa"/>
            <w:tcBorders>
              <w:top w:val="nil"/>
              <w:left w:val="nil"/>
              <w:bottom w:val="nil"/>
              <w:right w:val="nil"/>
            </w:tcBorders>
            <w:shd w:val="clear" w:color="000000" w:fill="FFFFFF"/>
            <w:noWrap/>
            <w:vAlign w:val="bottom"/>
            <w:hideMark/>
          </w:tcPr>
          <w:p w14:paraId="4763157A" w14:textId="77777777" w:rsidR="00DE0FE4" w:rsidRPr="00483927" w:rsidRDefault="00DE0FE4" w:rsidP="00A930C7">
            <w:pPr>
              <w:spacing w:after="0" w:line="240" w:lineRule="auto"/>
              <w:jc w:val="left"/>
              <w:rPr>
                <w:rFonts w:eastAsia="Times New Roman" w:cs="Segoe UI"/>
                <w:i/>
                <w:iCs/>
                <w:color w:val="000000"/>
                <w:sz w:val="18"/>
                <w:szCs w:val="18"/>
                <w:lang w:eastAsia="sk-SK"/>
              </w:rPr>
            </w:pPr>
            <w:r w:rsidRPr="00483927">
              <w:rPr>
                <w:rFonts w:eastAsia="Times New Roman" w:cs="Segoe UI"/>
                <w:i/>
                <w:iCs/>
                <w:color w:val="000000"/>
                <w:sz w:val="18"/>
                <w:szCs w:val="18"/>
                <w:lang w:eastAsia="sk-SK"/>
              </w:rPr>
              <w:t>Výdavky - zníženie ŠFA</w:t>
            </w:r>
          </w:p>
        </w:tc>
        <w:tc>
          <w:tcPr>
            <w:tcW w:w="1260" w:type="dxa"/>
            <w:tcBorders>
              <w:top w:val="nil"/>
              <w:left w:val="nil"/>
              <w:bottom w:val="nil"/>
              <w:right w:val="nil"/>
            </w:tcBorders>
            <w:shd w:val="clear" w:color="000000" w:fill="FFFFFF"/>
            <w:noWrap/>
            <w:vAlign w:val="bottom"/>
            <w:hideMark/>
          </w:tcPr>
          <w:p w14:paraId="3F3BBEAA"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sidRPr="00483927">
              <w:rPr>
                <w:rFonts w:eastAsia="Times New Roman" w:cs="Segoe UI"/>
                <w:i/>
                <w:iCs/>
                <w:color w:val="000000"/>
                <w:sz w:val="18"/>
                <w:szCs w:val="18"/>
                <w:lang w:eastAsia="sk-SK"/>
              </w:rPr>
              <w:t>911 996</w:t>
            </w:r>
          </w:p>
        </w:tc>
        <w:tc>
          <w:tcPr>
            <w:tcW w:w="1260" w:type="dxa"/>
            <w:tcBorders>
              <w:top w:val="nil"/>
              <w:left w:val="nil"/>
              <w:bottom w:val="nil"/>
              <w:right w:val="nil"/>
            </w:tcBorders>
            <w:shd w:val="clear" w:color="000000" w:fill="FFFFFF"/>
            <w:noWrap/>
            <w:vAlign w:val="bottom"/>
            <w:hideMark/>
          </w:tcPr>
          <w:p w14:paraId="720E5553"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sidRPr="00483927">
              <w:rPr>
                <w:rFonts w:eastAsia="Times New Roman" w:cs="Segoe UI"/>
                <w:i/>
                <w:iCs/>
                <w:color w:val="000000"/>
                <w:sz w:val="18"/>
                <w:szCs w:val="18"/>
                <w:lang w:eastAsia="sk-SK"/>
              </w:rPr>
              <w:t>237 453</w:t>
            </w:r>
          </w:p>
        </w:tc>
        <w:tc>
          <w:tcPr>
            <w:tcW w:w="1260" w:type="dxa"/>
            <w:tcBorders>
              <w:top w:val="nil"/>
              <w:left w:val="nil"/>
              <w:bottom w:val="nil"/>
              <w:right w:val="nil"/>
            </w:tcBorders>
            <w:shd w:val="clear" w:color="000000" w:fill="FFFFFF"/>
            <w:noWrap/>
            <w:vAlign w:val="bottom"/>
            <w:hideMark/>
          </w:tcPr>
          <w:p w14:paraId="2AEC3BA1"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sidRPr="00483927">
              <w:rPr>
                <w:rFonts w:eastAsia="Times New Roman" w:cs="Segoe UI"/>
                <w:i/>
                <w:iCs/>
                <w:color w:val="000000"/>
                <w:sz w:val="18"/>
                <w:szCs w:val="18"/>
                <w:lang w:eastAsia="sk-SK"/>
              </w:rPr>
              <w:t>1 278 933</w:t>
            </w:r>
          </w:p>
        </w:tc>
        <w:tc>
          <w:tcPr>
            <w:tcW w:w="1260" w:type="dxa"/>
            <w:tcBorders>
              <w:top w:val="nil"/>
              <w:left w:val="nil"/>
              <w:bottom w:val="nil"/>
              <w:right w:val="nil"/>
            </w:tcBorders>
            <w:shd w:val="clear" w:color="000000" w:fill="FFFFFF"/>
            <w:vAlign w:val="bottom"/>
          </w:tcPr>
          <w:p w14:paraId="43B8474F" w14:textId="77777777" w:rsidR="00DE0FE4" w:rsidRPr="00483927" w:rsidRDefault="00DE0FE4" w:rsidP="00A930C7">
            <w:pPr>
              <w:spacing w:after="0" w:line="240" w:lineRule="auto"/>
              <w:jc w:val="right"/>
              <w:rPr>
                <w:rFonts w:eastAsia="Times New Roman" w:cs="Segoe UI"/>
                <w:i/>
                <w:iCs/>
                <w:color w:val="000000"/>
                <w:sz w:val="18"/>
                <w:szCs w:val="18"/>
                <w:lang w:eastAsia="sk-SK"/>
              </w:rPr>
            </w:pPr>
            <w:r>
              <w:rPr>
                <w:rFonts w:cs="Segoe UI"/>
                <w:i/>
                <w:iCs/>
                <w:color w:val="000000"/>
                <w:sz w:val="18"/>
                <w:szCs w:val="18"/>
              </w:rPr>
              <w:t>1 041 480</w:t>
            </w:r>
          </w:p>
        </w:tc>
      </w:tr>
      <w:tr w:rsidR="00DE0FE4" w:rsidRPr="00483927" w14:paraId="50C51236" w14:textId="77777777" w:rsidTr="00A930C7">
        <w:trPr>
          <w:trHeight w:val="255"/>
        </w:trPr>
        <w:tc>
          <w:tcPr>
            <w:tcW w:w="4195" w:type="dxa"/>
            <w:tcBorders>
              <w:top w:val="nil"/>
              <w:left w:val="nil"/>
              <w:bottom w:val="nil"/>
              <w:right w:val="nil"/>
            </w:tcBorders>
            <w:shd w:val="clear" w:color="000000" w:fill="FFFFFF"/>
            <w:noWrap/>
            <w:vAlign w:val="bottom"/>
            <w:hideMark/>
          </w:tcPr>
          <w:p w14:paraId="502E7977"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účelové prostriedky z FNM/ MH Manažment, a.</w:t>
            </w:r>
            <w:r>
              <w:rPr>
                <w:rFonts w:eastAsia="Times New Roman" w:cs="Segoe UI"/>
                <w:color w:val="000000"/>
                <w:sz w:val="18"/>
                <w:szCs w:val="18"/>
                <w:lang w:eastAsia="sk-SK"/>
              </w:rPr>
              <w:t xml:space="preserve"> </w:t>
            </w:r>
            <w:r w:rsidRPr="00483927">
              <w:rPr>
                <w:rFonts w:eastAsia="Times New Roman" w:cs="Segoe UI"/>
                <w:color w:val="000000"/>
                <w:sz w:val="18"/>
                <w:szCs w:val="18"/>
                <w:lang w:eastAsia="sk-SK"/>
              </w:rPr>
              <w:t>s.</w:t>
            </w:r>
          </w:p>
        </w:tc>
        <w:tc>
          <w:tcPr>
            <w:tcW w:w="1260" w:type="dxa"/>
            <w:tcBorders>
              <w:top w:val="nil"/>
              <w:left w:val="nil"/>
              <w:bottom w:val="nil"/>
              <w:right w:val="nil"/>
            </w:tcBorders>
            <w:shd w:val="clear" w:color="000000" w:fill="FFFFFF"/>
            <w:noWrap/>
            <w:vAlign w:val="bottom"/>
            <w:hideMark/>
          </w:tcPr>
          <w:p w14:paraId="21F6AE30"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41 244</w:t>
            </w:r>
          </w:p>
        </w:tc>
        <w:tc>
          <w:tcPr>
            <w:tcW w:w="1260" w:type="dxa"/>
            <w:tcBorders>
              <w:top w:val="nil"/>
              <w:left w:val="nil"/>
              <w:bottom w:val="nil"/>
              <w:right w:val="nil"/>
            </w:tcBorders>
            <w:shd w:val="clear" w:color="000000" w:fill="FFFFFF"/>
            <w:noWrap/>
            <w:vAlign w:val="bottom"/>
            <w:hideMark/>
          </w:tcPr>
          <w:p w14:paraId="0F8526C1"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16 464</w:t>
            </w:r>
          </w:p>
        </w:tc>
        <w:tc>
          <w:tcPr>
            <w:tcW w:w="1260" w:type="dxa"/>
            <w:tcBorders>
              <w:top w:val="nil"/>
              <w:left w:val="nil"/>
              <w:bottom w:val="nil"/>
              <w:right w:val="nil"/>
            </w:tcBorders>
            <w:shd w:val="clear" w:color="000000" w:fill="FFFFFF"/>
            <w:noWrap/>
            <w:vAlign w:val="bottom"/>
            <w:hideMark/>
          </w:tcPr>
          <w:p w14:paraId="022C8040"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506 322</w:t>
            </w:r>
          </w:p>
        </w:tc>
        <w:tc>
          <w:tcPr>
            <w:tcW w:w="1260" w:type="dxa"/>
            <w:tcBorders>
              <w:top w:val="nil"/>
              <w:left w:val="nil"/>
              <w:bottom w:val="nil"/>
              <w:right w:val="nil"/>
            </w:tcBorders>
            <w:shd w:val="clear" w:color="000000" w:fill="FFFFFF"/>
            <w:vAlign w:val="bottom"/>
          </w:tcPr>
          <w:p w14:paraId="0040CB54"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489 858</w:t>
            </w:r>
          </w:p>
        </w:tc>
      </w:tr>
      <w:tr w:rsidR="00DE0FE4" w:rsidRPr="00483927" w14:paraId="4FEA8C54" w14:textId="77777777" w:rsidTr="00A930C7">
        <w:trPr>
          <w:trHeight w:val="255"/>
        </w:trPr>
        <w:tc>
          <w:tcPr>
            <w:tcW w:w="4195" w:type="dxa"/>
            <w:tcBorders>
              <w:top w:val="nil"/>
              <w:left w:val="nil"/>
              <w:bottom w:val="nil"/>
              <w:right w:val="nil"/>
            </w:tcBorders>
            <w:shd w:val="clear" w:color="000000" w:fill="FFFFFF"/>
            <w:noWrap/>
            <w:vAlign w:val="bottom"/>
            <w:hideMark/>
          </w:tcPr>
          <w:p w14:paraId="33587109"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návratné finančné výpomoci</w:t>
            </w:r>
          </w:p>
        </w:tc>
        <w:tc>
          <w:tcPr>
            <w:tcW w:w="1260" w:type="dxa"/>
            <w:tcBorders>
              <w:top w:val="nil"/>
              <w:left w:val="nil"/>
              <w:bottom w:val="nil"/>
              <w:right w:val="nil"/>
            </w:tcBorders>
            <w:shd w:val="clear" w:color="000000" w:fill="FFFFFF"/>
            <w:noWrap/>
            <w:vAlign w:val="bottom"/>
            <w:hideMark/>
          </w:tcPr>
          <w:p w14:paraId="62F54487"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645 299</w:t>
            </w:r>
          </w:p>
        </w:tc>
        <w:tc>
          <w:tcPr>
            <w:tcW w:w="1260" w:type="dxa"/>
            <w:tcBorders>
              <w:top w:val="nil"/>
              <w:left w:val="nil"/>
              <w:bottom w:val="nil"/>
              <w:right w:val="nil"/>
            </w:tcBorders>
            <w:shd w:val="clear" w:color="000000" w:fill="FFFFFF"/>
            <w:noWrap/>
            <w:vAlign w:val="bottom"/>
            <w:hideMark/>
          </w:tcPr>
          <w:p w14:paraId="7652DC36"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220 837</w:t>
            </w:r>
          </w:p>
        </w:tc>
        <w:tc>
          <w:tcPr>
            <w:tcW w:w="1260" w:type="dxa"/>
            <w:tcBorders>
              <w:top w:val="nil"/>
              <w:left w:val="nil"/>
              <w:bottom w:val="nil"/>
              <w:right w:val="nil"/>
            </w:tcBorders>
            <w:shd w:val="clear" w:color="000000" w:fill="FFFFFF"/>
            <w:noWrap/>
            <w:vAlign w:val="bottom"/>
            <w:hideMark/>
          </w:tcPr>
          <w:p w14:paraId="63D6F668"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643 786</w:t>
            </w:r>
          </w:p>
        </w:tc>
        <w:tc>
          <w:tcPr>
            <w:tcW w:w="1260" w:type="dxa"/>
            <w:tcBorders>
              <w:top w:val="nil"/>
              <w:left w:val="nil"/>
              <w:bottom w:val="nil"/>
              <w:right w:val="nil"/>
            </w:tcBorders>
            <w:shd w:val="clear" w:color="000000" w:fill="FFFFFF"/>
            <w:vAlign w:val="bottom"/>
          </w:tcPr>
          <w:p w14:paraId="48B7D81C"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422 949</w:t>
            </w:r>
          </w:p>
        </w:tc>
      </w:tr>
      <w:tr w:rsidR="00DE0FE4" w:rsidRPr="00483927" w14:paraId="5C906D6C" w14:textId="77777777" w:rsidTr="00A930C7">
        <w:trPr>
          <w:trHeight w:val="255"/>
        </w:trPr>
        <w:tc>
          <w:tcPr>
            <w:tcW w:w="4195" w:type="dxa"/>
            <w:tcBorders>
              <w:top w:val="nil"/>
              <w:left w:val="nil"/>
              <w:bottom w:val="nil"/>
              <w:right w:val="nil"/>
            </w:tcBorders>
            <w:shd w:val="clear" w:color="000000" w:fill="FFFFFF"/>
            <w:noWrap/>
            <w:vAlign w:val="bottom"/>
            <w:hideMark/>
          </w:tcPr>
          <w:p w14:paraId="74164A67"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osobitný odvod finančných inštitúcií</w:t>
            </w:r>
          </w:p>
        </w:tc>
        <w:tc>
          <w:tcPr>
            <w:tcW w:w="1260" w:type="dxa"/>
            <w:tcBorders>
              <w:top w:val="nil"/>
              <w:left w:val="nil"/>
              <w:bottom w:val="nil"/>
              <w:right w:val="nil"/>
            </w:tcBorders>
            <w:shd w:val="clear" w:color="000000" w:fill="FFFFFF"/>
            <w:noWrap/>
            <w:vAlign w:val="bottom"/>
            <w:hideMark/>
          </w:tcPr>
          <w:p w14:paraId="16315419"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0</w:t>
            </w:r>
          </w:p>
        </w:tc>
        <w:tc>
          <w:tcPr>
            <w:tcW w:w="1260" w:type="dxa"/>
            <w:tcBorders>
              <w:top w:val="nil"/>
              <w:left w:val="nil"/>
              <w:bottom w:val="nil"/>
              <w:right w:val="nil"/>
            </w:tcBorders>
            <w:shd w:val="clear" w:color="000000" w:fill="FFFFFF"/>
            <w:noWrap/>
            <w:vAlign w:val="bottom"/>
            <w:hideMark/>
          </w:tcPr>
          <w:p w14:paraId="7D73EE2A"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w:t>
            </w:r>
          </w:p>
        </w:tc>
        <w:tc>
          <w:tcPr>
            <w:tcW w:w="1260" w:type="dxa"/>
            <w:tcBorders>
              <w:top w:val="nil"/>
              <w:left w:val="nil"/>
              <w:bottom w:val="nil"/>
              <w:right w:val="nil"/>
            </w:tcBorders>
            <w:shd w:val="clear" w:color="000000" w:fill="FFFFFF"/>
            <w:noWrap/>
            <w:vAlign w:val="bottom"/>
            <w:hideMark/>
          </w:tcPr>
          <w:p w14:paraId="6384AC1B"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128 733</w:t>
            </w:r>
          </w:p>
        </w:tc>
        <w:tc>
          <w:tcPr>
            <w:tcW w:w="1260" w:type="dxa"/>
            <w:tcBorders>
              <w:top w:val="nil"/>
              <w:left w:val="nil"/>
              <w:bottom w:val="nil"/>
              <w:right w:val="nil"/>
            </w:tcBorders>
            <w:shd w:val="clear" w:color="000000" w:fill="FFFFFF"/>
            <w:vAlign w:val="bottom"/>
          </w:tcPr>
          <w:p w14:paraId="73CB628B"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128 732</w:t>
            </w:r>
          </w:p>
        </w:tc>
      </w:tr>
      <w:tr w:rsidR="00DE0FE4" w:rsidRPr="00483927" w14:paraId="1B4A0AEA" w14:textId="77777777" w:rsidTr="00A930C7">
        <w:trPr>
          <w:trHeight w:val="255"/>
        </w:trPr>
        <w:tc>
          <w:tcPr>
            <w:tcW w:w="4195" w:type="dxa"/>
            <w:tcBorders>
              <w:top w:val="nil"/>
              <w:left w:val="nil"/>
              <w:bottom w:val="nil"/>
              <w:right w:val="nil"/>
            </w:tcBorders>
            <w:shd w:val="clear" w:color="000000" w:fill="FFFFFF"/>
            <w:noWrap/>
            <w:vAlign w:val="bottom"/>
            <w:hideMark/>
          </w:tcPr>
          <w:p w14:paraId="2BC2BD0D"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osobitný odvod z podnikania v regulovaných odvetviach</w:t>
            </w:r>
          </w:p>
        </w:tc>
        <w:tc>
          <w:tcPr>
            <w:tcW w:w="1260" w:type="dxa"/>
            <w:tcBorders>
              <w:top w:val="nil"/>
              <w:left w:val="nil"/>
              <w:bottom w:val="nil"/>
              <w:right w:val="nil"/>
            </w:tcBorders>
            <w:shd w:val="clear" w:color="000000" w:fill="FFFFFF"/>
            <w:noWrap/>
            <w:vAlign w:val="bottom"/>
            <w:hideMark/>
          </w:tcPr>
          <w:p w14:paraId="68DB5604"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90 936</w:t>
            </w:r>
          </w:p>
        </w:tc>
        <w:tc>
          <w:tcPr>
            <w:tcW w:w="1260" w:type="dxa"/>
            <w:tcBorders>
              <w:top w:val="nil"/>
              <w:left w:val="nil"/>
              <w:bottom w:val="nil"/>
              <w:right w:val="nil"/>
            </w:tcBorders>
            <w:shd w:val="clear" w:color="000000" w:fill="FFFFFF"/>
            <w:noWrap/>
            <w:vAlign w:val="bottom"/>
            <w:hideMark/>
          </w:tcPr>
          <w:p w14:paraId="417FBD6E"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0</w:t>
            </w:r>
          </w:p>
        </w:tc>
        <w:tc>
          <w:tcPr>
            <w:tcW w:w="1260" w:type="dxa"/>
            <w:tcBorders>
              <w:top w:val="nil"/>
              <w:left w:val="nil"/>
              <w:bottom w:val="nil"/>
              <w:right w:val="nil"/>
            </w:tcBorders>
            <w:shd w:val="clear" w:color="000000" w:fill="FFFFFF"/>
            <w:noWrap/>
            <w:vAlign w:val="bottom"/>
            <w:hideMark/>
          </w:tcPr>
          <w:p w14:paraId="5C9306F7"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0</w:t>
            </w:r>
          </w:p>
        </w:tc>
        <w:tc>
          <w:tcPr>
            <w:tcW w:w="1260" w:type="dxa"/>
            <w:tcBorders>
              <w:top w:val="nil"/>
              <w:left w:val="nil"/>
              <w:bottom w:val="nil"/>
              <w:right w:val="nil"/>
            </w:tcBorders>
            <w:shd w:val="clear" w:color="000000" w:fill="FFFFFF"/>
            <w:vAlign w:val="bottom"/>
          </w:tcPr>
          <w:p w14:paraId="0F7F220D"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0</w:t>
            </w:r>
          </w:p>
        </w:tc>
      </w:tr>
      <w:tr w:rsidR="00DE0FE4" w:rsidRPr="00483927" w14:paraId="33BDCFC0" w14:textId="77777777" w:rsidTr="00A930C7">
        <w:trPr>
          <w:trHeight w:val="255"/>
        </w:trPr>
        <w:tc>
          <w:tcPr>
            <w:tcW w:w="4195" w:type="dxa"/>
            <w:tcBorders>
              <w:top w:val="nil"/>
              <w:left w:val="nil"/>
              <w:bottom w:val="nil"/>
              <w:right w:val="nil"/>
            </w:tcBorders>
            <w:shd w:val="clear" w:color="000000" w:fill="FFFFFF"/>
            <w:noWrap/>
            <w:vAlign w:val="bottom"/>
            <w:hideMark/>
          </w:tcPr>
          <w:p w14:paraId="029183B6"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   ostatné</w:t>
            </w:r>
          </w:p>
        </w:tc>
        <w:tc>
          <w:tcPr>
            <w:tcW w:w="1260" w:type="dxa"/>
            <w:tcBorders>
              <w:top w:val="nil"/>
              <w:left w:val="nil"/>
              <w:bottom w:val="nil"/>
              <w:right w:val="nil"/>
            </w:tcBorders>
            <w:shd w:val="clear" w:color="000000" w:fill="FFFFFF"/>
            <w:noWrap/>
            <w:vAlign w:val="bottom"/>
            <w:hideMark/>
          </w:tcPr>
          <w:p w14:paraId="23768249"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134 517</w:t>
            </w:r>
          </w:p>
        </w:tc>
        <w:tc>
          <w:tcPr>
            <w:tcW w:w="1260" w:type="dxa"/>
            <w:tcBorders>
              <w:top w:val="nil"/>
              <w:left w:val="nil"/>
              <w:bottom w:val="nil"/>
              <w:right w:val="nil"/>
            </w:tcBorders>
            <w:shd w:val="clear" w:color="000000" w:fill="FFFFFF"/>
            <w:noWrap/>
            <w:vAlign w:val="bottom"/>
            <w:hideMark/>
          </w:tcPr>
          <w:p w14:paraId="1470E199"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151</w:t>
            </w:r>
          </w:p>
        </w:tc>
        <w:tc>
          <w:tcPr>
            <w:tcW w:w="1260" w:type="dxa"/>
            <w:tcBorders>
              <w:top w:val="nil"/>
              <w:left w:val="nil"/>
              <w:bottom w:val="nil"/>
              <w:right w:val="nil"/>
            </w:tcBorders>
            <w:shd w:val="clear" w:color="000000" w:fill="FFFFFF"/>
            <w:noWrap/>
            <w:vAlign w:val="bottom"/>
            <w:hideMark/>
          </w:tcPr>
          <w:p w14:paraId="498B621B"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92</w:t>
            </w:r>
          </w:p>
        </w:tc>
        <w:tc>
          <w:tcPr>
            <w:tcW w:w="1260" w:type="dxa"/>
            <w:tcBorders>
              <w:top w:val="nil"/>
              <w:left w:val="nil"/>
              <w:bottom w:val="nil"/>
              <w:right w:val="nil"/>
            </w:tcBorders>
            <w:shd w:val="clear" w:color="000000" w:fill="FFFFFF"/>
            <w:vAlign w:val="bottom"/>
          </w:tcPr>
          <w:p w14:paraId="033F7024"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-59</w:t>
            </w:r>
          </w:p>
        </w:tc>
      </w:tr>
      <w:tr w:rsidR="00DE0FE4" w:rsidRPr="00483927" w14:paraId="60BF5338" w14:textId="77777777" w:rsidTr="00A930C7">
        <w:trPr>
          <w:trHeight w:val="255"/>
        </w:trPr>
        <w:tc>
          <w:tcPr>
            <w:tcW w:w="4195" w:type="dxa"/>
            <w:tcBorders>
              <w:top w:val="nil"/>
              <w:left w:val="nil"/>
              <w:bottom w:val="single" w:sz="4" w:space="0" w:color="auto"/>
              <w:right w:val="nil"/>
            </w:tcBorders>
            <w:shd w:val="clear" w:color="000000" w:fill="FFFFFF"/>
            <w:noWrap/>
            <w:vAlign w:val="bottom"/>
            <w:hideMark/>
          </w:tcPr>
          <w:p w14:paraId="13D7B4D9" w14:textId="77777777" w:rsidR="00DE0FE4" w:rsidRPr="00483927" w:rsidRDefault="00DE0FE4" w:rsidP="00A930C7">
            <w:pPr>
              <w:spacing w:after="0" w:line="240" w:lineRule="auto"/>
              <w:jc w:val="left"/>
              <w:rPr>
                <w:rFonts w:eastAsia="Times New Roman" w:cs="Segoe UI"/>
                <w:b/>
                <w:bCs/>
                <w:color w:val="000000"/>
                <w:sz w:val="18"/>
                <w:szCs w:val="18"/>
                <w:lang w:eastAsia="sk-SK"/>
              </w:rPr>
            </w:pPr>
            <w:r w:rsidRPr="00483927">
              <w:rPr>
                <w:rFonts w:eastAsia="Times New Roman" w:cs="Segoe UI"/>
                <w:b/>
                <w:bCs/>
                <w:color w:val="000000"/>
                <w:sz w:val="18"/>
                <w:szCs w:val="18"/>
                <w:lang w:eastAsia="sk-SK"/>
              </w:rPr>
              <w:t>Stav k 31.12.</w:t>
            </w:r>
          </w:p>
        </w:tc>
        <w:tc>
          <w:tcPr>
            <w:tcW w:w="1260" w:type="dxa"/>
            <w:tcBorders>
              <w:top w:val="nil"/>
              <w:left w:val="nil"/>
              <w:bottom w:val="single" w:sz="4" w:space="0" w:color="auto"/>
              <w:right w:val="nil"/>
            </w:tcBorders>
            <w:shd w:val="clear" w:color="000000" w:fill="FFFFFF"/>
            <w:noWrap/>
            <w:vAlign w:val="bottom"/>
            <w:hideMark/>
          </w:tcPr>
          <w:p w14:paraId="5541A6DF"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sidRPr="00483927">
              <w:rPr>
                <w:rFonts w:eastAsia="Times New Roman" w:cs="Segoe UI"/>
                <w:b/>
                <w:bCs/>
                <w:color w:val="000000"/>
                <w:sz w:val="18"/>
                <w:szCs w:val="18"/>
                <w:lang w:eastAsia="sk-SK"/>
              </w:rPr>
              <w:t>3 354 465</w:t>
            </w:r>
          </w:p>
        </w:tc>
        <w:tc>
          <w:tcPr>
            <w:tcW w:w="1260" w:type="dxa"/>
            <w:tcBorders>
              <w:top w:val="nil"/>
              <w:left w:val="nil"/>
              <w:bottom w:val="single" w:sz="4" w:space="0" w:color="auto"/>
              <w:right w:val="nil"/>
            </w:tcBorders>
            <w:shd w:val="clear" w:color="000000" w:fill="FFFFFF"/>
            <w:noWrap/>
            <w:vAlign w:val="bottom"/>
            <w:hideMark/>
          </w:tcPr>
          <w:p w14:paraId="52ABA223"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sidRPr="00483927">
              <w:rPr>
                <w:rFonts w:eastAsia="Times New Roman" w:cs="Segoe UI"/>
                <w:b/>
                <w:bCs/>
                <w:color w:val="000000"/>
                <w:sz w:val="18"/>
                <w:szCs w:val="18"/>
                <w:lang w:eastAsia="sk-SK"/>
              </w:rPr>
              <w:t>3 419 084</w:t>
            </w:r>
          </w:p>
        </w:tc>
        <w:tc>
          <w:tcPr>
            <w:tcW w:w="1260" w:type="dxa"/>
            <w:tcBorders>
              <w:top w:val="nil"/>
              <w:left w:val="nil"/>
              <w:bottom w:val="single" w:sz="4" w:space="0" w:color="auto"/>
              <w:right w:val="nil"/>
            </w:tcBorders>
            <w:shd w:val="clear" w:color="000000" w:fill="FFFFFF"/>
            <w:noWrap/>
            <w:vAlign w:val="bottom"/>
            <w:hideMark/>
          </w:tcPr>
          <w:p w14:paraId="1D77EC7D"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sidRPr="00483927">
              <w:rPr>
                <w:rFonts w:eastAsia="Times New Roman" w:cs="Segoe UI"/>
                <w:b/>
                <w:bCs/>
                <w:color w:val="000000"/>
                <w:sz w:val="18"/>
                <w:szCs w:val="18"/>
                <w:lang w:eastAsia="sk-SK"/>
              </w:rPr>
              <w:t>3 196 933</w:t>
            </w:r>
          </w:p>
        </w:tc>
        <w:tc>
          <w:tcPr>
            <w:tcW w:w="1260" w:type="dxa"/>
            <w:tcBorders>
              <w:top w:val="nil"/>
              <w:left w:val="nil"/>
              <w:bottom w:val="single" w:sz="4" w:space="0" w:color="auto"/>
              <w:right w:val="nil"/>
            </w:tcBorders>
            <w:shd w:val="clear" w:color="000000" w:fill="FFFFFF"/>
            <w:vAlign w:val="bottom"/>
          </w:tcPr>
          <w:p w14:paraId="1CB82DBC" w14:textId="77777777" w:rsidR="00DE0FE4" w:rsidRPr="00483927" w:rsidRDefault="00DE0FE4" w:rsidP="00A930C7">
            <w:pPr>
              <w:spacing w:after="0" w:line="240" w:lineRule="auto"/>
              <w:jc w:val="right"/>
              <w:rPr>
                <w:rFonts w:eastAsia="Times New Roman" w:cs="Segoe UI"/>
                <w:b/>
                <w:bCs/>
                <w:color w:val="000000"/>
                <w:sz w:val="18"/>
                <w:szCs w:val="18"/>
                <w:lang w:eastAsia="sk-SK"/>
              </w:rPr>
            </w:pPr>
            <w:r>
              <w:rPr>
                <w:rFonts w:cs="Segoe UI"/>
                <w:b/>
                <w:bCs/>
                <w:color w:val="000000"/>
                <w:sz w:val="18"/>
                <w:szCs w:val="18"/>
              </w:rPr>
              <w:t>-222 151</w:t>
            </w:r>
          </w:p>
        </w:tc>
      </w:tr>
      <w:tr w:rsidR="00DE0FE4" w:rsidRPr="00483927" w14:paraId="7B1B6A1A" w14:textId="77777777" w:rsidTr="00A930C7">
        <w:trPr>
          <w:trHeight w:val="255"/>
        </w:trPr>
        <w:tc>
          <w:tcPr>
            <w:tcW w:w="4195" w:type="dxa"/>
            <w:tcBorders>
              <w:top w:val="nil"/>
              <w:left w:val="nil"/>
              <w:bottom w:val="nil"/>
              <w:right w:val="nil"/>
            </w:tcBorders>
            <w:shd w:val="clear" w:color="000000" w:fill="FFFFFF"/>
            <w:noWrap/>
            <w:vAlign w:val="bottom"/>
            <w:hideMark/>
          </w:tcPr>
          <w:p w14:paraId="26E887F4"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 xml:space="preserve">Účet FNM/MH </w:t>
            </w:r>
            <w:proofErr w:type="spellStart"/>
            <w:r w:rsidRPr="00483927">
              <w:rPr>
                <w:rFonts w:eastAsia="Times New Roman" w:cs="Segoe UI"/>
                <w:color w:val="000000"/>
                <w:sz w:val="18"/>
                <w:szCs w:val="18"/>
                <w:lang w:eastAsia="sk-SK"/>
              </w:rPr>
              <w:t>Manažment,a</w:t>
            </w:r>
            <w:proofErr w:type="spellEnd"/>
            <w:r w:rsidRPr="00483927">
              <w:rPr>
                <w:rFonts w:eastAsia="Times New Roman" w:cs="Segoe UI"/>
                <w:color w:val="000000"/>
                <w:sz w:val="18"/>
                <w:szCs w:val="18"/>
                <w:lang w:eastAsia="sk-SK"/>
              </w:rPr>
              <w:t>.</w:t>
            </w:r>
            <w:r>
              <w:rPr>
                <w:rFonts w:eastAsia="Times New Roman" w:cs="Segoe UI"/>
                <w:color w:val="000000"/>
                <w:sz w:val="18"/>
                <w:szCs w:val="18"/>
                <w:lang w:eastAsia="sk-SK"/>
              </w:rPr>
              <w:t xml:space="preserve"> </w:t>
            </w:r>
            <w:r w:rsidRPr="00483927">
              <w:rPr>
                <w:rFonts w:eastAsia="Times New Roman" w:cs="Segoe UI"/>
                <w:color w:val="000000"/>
                <w:sz w:val="18"/>
                <w:szCs w:val="18"/>
                <w:lang w:eastAsia="sk-SK"/>
              </w:rPr>
              <w:t>s.</w:t>
            </w:r>
          </w:p>
        </w:tc>
        <w:tc>
          <w:tcPr>
            <w:tcW w:w="1260" w:type="dxa"/>
            <w:tcBorders>
              <w:top w:val="nil"/>
              <w:left w:val="nil"/>
              <w:bottom w:val="nil"/>
              <w:right w:val="nil"/>
            </w:tcBorders>
            <w:shd w:val="clear" w:color="000000" w:fill="FFFFFF"/>
            <w:noWrap/>
            <w:vAlign w:val="bottom"/>
            <w:hideMark/>
          </w:tcPr>
          <w:p w14:paraId="41B451BD"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1 126 704</w:t>
            </w:r>
          </w:p>
        </w:tc>
        <w:tc>
          <w:tcPr>
            <w:tcW w:w="1260" w:type="dxa"/>
            <w:tcBorders>
              <w:top w:val="nil"/>
              <w:left w:val="nil"/>
              <w:bottom w:val="nil"/>
              <w:right w:val="nil"/>
            </w:tcBorders>
            <w:shd w:val="clear" w:color="000000" w:fill="FFFFFF"/>
            <w:noWrap/>
            <w:vAlign w:val="bottom"/>
            <w:hideMark/>
          </w:tcPr>
          <w:p w14:paraId="3DB09F0B"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1 110 562</w:t>
            </w:r>
          </w:p>
        </w:tc>
        <w:tc>
          <w:tcPr>
            <w:tcW w:w="1260" w:type="dxa"/>
            <w:tcBorders>
              <w:top w:val="nil"/>
              <w:left w:val="nil"/>
              <w:bottom w:val="nil"/>
              <w:right w:val="nil"/>
            </w:tcBorders>
            <w:shd w:val="clear" w:color="000000" w:fill="FFFFFF"/>
            <w:noWrap/>
            <w:vAlign w:val="bottom"/>
            <w:hideMark/>
          </w:tcPr>
          <w:p w14:paraId="3BD24B9A"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1 019 165</w:t>
            </w:r>
          </w:p>
        </w:tc>
        <w:tc>
          <w:tcPr>
            <w:tcW w:w="1260" w:type="dxa"/>
            <w:tcBorders>
              <w:top w:val="nil"/>
              <w:left w:val="nil"/>
              <w:bottom w:val="nil"/>
              <w:right w:val="nil"/>
            </w:tcBorders>
            <w:shd w:val="clear" w:color="000000" w:fill="FFFFFF"/>
            <w:vAlign w:val="bottom"/>
          </w:tcPr>
          <w:p w14:paraId="0DAB2E49"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-91 397</w:t>
            </w:r>
          </w:p>
        </w:tc>
      </w:tr>
      <w:tr w:rsidR="00DE0FE4" w:rsidRPr="00483927" w14:paraId="452751BA" w14:textId="77777777" w:rsidTr="00A930C7">
        <w:trPr>
          <w:trHeight w:val="255"/>
        </w:trPr>
        <w:tc>
          <w:tcPr>
            <w:tcW w:w="4195" w:type="dxa"/>
            <w:tcBorders>
              <w:top w:val="nil"/>
              <w:left w:val="nil"/>
              <w:bottom w:val="nil"/>
              <w:right w:val="nil"/>
            </w:tcBorders>
            <w:shd w:val="clear" w:color="000000" w:fill="FFFFFF"/>
            <w:noWrap/>
            <w:vAlign w:val="bottom"/>
            <w:hideMark/>
          </w:tcPr>
          <w:p w14:paraId="65C26180"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Účet návratných finančných výpomocí</w:t>
            </w:r>
          </w:p>
        </w:tc>
        <w:tc>
          <w:tcPr>
            <w:tcW w:w="1260" w:type="dxa"/>
            <w:tcBorders>
              <w:top w:val="nil"/>
              <w:left w:val="nil"/>
              <w:bottom w:val="nil"/>
              <w:right w:val="nil"/>
            </w:tcBorders>
            <w:shd w:val="clear" w:color="000000" w:fill="FFFFFF"/>
            <w:noWrap/>
            <w:vAlign w:val="bottom"/>
            <w:hideMark/>
          </w:tcPr>
          <w:p w14:paraId="6D2367A7"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183 162</w:t>
            </w:r>
          </w:p>
        </w:tc>
        <w:tc>
          <w:tcPr>
            <w:tcW w:w="1260" w:type="dxa"/>
            <w:tcBorders>
              <w:top w:val="nil"/>
              <w:left w:val="nil"/>
              <w:bottom w:val="nil"/>
              <w:right w:val="nil"/>
            </w:tcBorders>
            <w:shd w:val="clear" w:color="000000" w:fill="FFFFFF"/>
            <w:noWrap/>
            <w:vAlign w:val="bottom"/>
            <w:hideMark/>
          </w:tcPr>
          <w:p w14:paraId="024C710D"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151 989</w:t>
            </w:r>
          </w:p>
        </w:tc>
        <w:tc>
          <w:tcPr>
            <w:tcW w:w="1260" w:type="dxa"/>
            <w:tcBorders>
              <w:top w:val="nil"/>
              <w:left w:val="nil"/>
              <w:bottom w:val="nil"/>
              <w:right w:val="nil"/>
            </w:tcBorders>
            <w:shd w:val="clear" w:color="000000" w:fill="FFFFFF"/>
            <w:noWrap/>
            <w:vAlign w:val="bottom"/>
            <w:hideMark/>
          </w:tcPr>
          <w:p w14:paraId="4999AB1B"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58 315</w:t>
            </w:r>
          </w:p>
        </w:tc>
        <w:tc>
          <w:tcPr>
            <w:tcW w:w="1260" w:type="dxa"/>
            <w:tcBorders>
              <w:top w:val="nil"/>
              <w:left w:val="nil"/>
              <w:bottom w:val="nil"/>
              <w:right w:val="nil"/>
            </w:tcBorders>
            <w:shd w:val="clear" w:color="000000" w:fill="FFFFFF"/>
            <w:vAlign w:val="bottom"/>
          </w:tcPr>
          <w:p w14:paraId="27460B2C"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-93 674</w:t>
            </w:r>
          </w:p>
        </w:tc>
      </w:tr>
      <w:tr w:rsidR="00DE0FE4" w:rsidRPr="00483927" w14:paraId="3353FCC1" w14:textId="77777777" w:rsidTr="00A930C7">
        <w:trPr>
          <w:trHeight w:val="255"/>
        </w:trPr>
        <w:tc>
          <w:tcPr>
            <w:tcW w:w="4195" w:type="dxa"/>
            <w:tcBorders>
              <w:top w:val="nil"/>
              <w:left w:val="nil"/>
              <w:bottom w:val="nil"/>
              <w:right w:val="nil"/>
            </w:tcBorders>
            <w:shd w:val="clear" w:color="000000" w:fill="FFFFFF"/>
            <w:noWrap/>
            <w:vAlign w:val="bottom"/>
            <w:hideMark/>
          </w:tcPr>
          <w:p w14:paraId="107735FF"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Účet osobitného odvodu finančných inštitúcií</w:t>
            </w:r>
          </w:p>
        </w:tc>
        <w:tc>
          <w:tcPr>
            <w:tcW w:w="1260" w:type="dxa"/>
            <w:tcBorders>
              <w:top w:val="nil"/>
              <w:left w:val="nil"/>
              <w:bottom w:val="nil"/>
              <w:right w:val="nil"/>
            </w:tcBorders>
            <w:shd w:val="clear" w:color="000000" w:fill="FFFFFF"/>
            <w:noWrap/>
            <w:vAlign w:val="bottom"/>
            <w:hideMark/>
          </w:tcPr>
          <w:p w14:paraId="485F40EB"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1 251 519</w:t>
            </w:r>
          </w:p>
        </w:tc>
        <w:tc>
          <w:tcPr>
            <w:tcW w:w="1260" w:type="dxa"/>
            <w:tcBorders>
              <w:top w:val="nil"/>
              <w:left w:val="nil"/>
              <w:bottom w:val="nil"/>
              <w:right w:val="nil"/>
            </w:tcBorders>
            <w:shd w:val="clear" w:color="000000" w:fill="FFFFFF"/>
            <w:noWrap/>
            <w:vAlign w:val="bottom"/>
            <w:hideMark/>
          </w:tcPr>
          <w:p w14:paraId="094A4394"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1 251 518</w:t>
            </w:r>
          </w:p>
        </w:tc>
        <w:tc>
          <w:tcPr>
            <w:tcW w:w="1260" w:type="dxa"/>
            <w:tcBorders>
              <w:top w:val="nil"/>
              <w:left w:val="nil"/>
              <w:bottom w:val="nil"/>
              <w:right w:val="nil"/>
            </w:tcBorders>
            <w:shd w:val="clear" w:color="000000" w:fill="FFFFFF"/>
            <w:noWrap/>
            <w:vAlign w:val="bottom"/>
            <w:hideMark/>
          </w:tcPr>
          <w:p w14:paraId="010F2DD5"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1 122 786</w:t>
            </w:r>
          </w:p>
        </w:tc>
        <w:tc>
          <w:tcPr>
            <w:tcW w:w="1260" w:type="dxa"/>
            <w:tcBorders>
              <w:top w:val="nil"/>
              <w:left w:val="nil"/>
              <w:bottom w:val="nil"/>
              <w:right w:val="nil"/>
            </w:tcBorders>
            <w:shd w:val="clear" w:color="000000" w:fill="FFFFFF"/>
            <w:vAlign w:val="bottom"/>
          </w:tcPr>
          <w:p w14:paraId="3E5DE62C"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-128 732</w:t>
            </w:r>
          </w:p>
        </w:tc>
      </w:tr>
      <w:tr w:rsidR="00DE0FE4" w:rsidRPr="00483927" w14:paraId="0A4CAA35" w14:textId="77777777" w:rsidTr="00A930C7">
        <w:trPr>
          <w:trHeight w:val="255"/>
        </w:trPr>
        <w:tc>
          <w:tcPr>
            <w:tcW w:w="4195" w:type="dxa"/>
            <w:tcBorders>
              <w:top w:val="nil"/>
              <w:left w:val="nil"/>
              <w:right w:val="nil"/>
            </w:tcBorders>
            <w:shd w:val="clear" w:color="000000" w:fill="FFFFFF"/>
            <w:noWrap/>
            <w:vAlign w:val="bottom"/>
            <w:hideMark/>
          </w:tcPr>
          <w:p w14:paraId="38144417"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Účet osobitného odvodu z podnikania v regulovaných odvetviach</w:t>
            </w:r>
          </w:p>
        </w:tc>
        <w:tc>
          <w:tcPr>
            <w:tcW w:w="1260" w:type="dxa"/>
            <w:tcBorders>
              <w:top w:val="nil"/>
              <w:left w:val="nil"/>
              <w:right w:val="nil"/>
            </w:tcBorders>
            <w:shd w:val="clear" w:color="000000" w:fill="FFFFFF"/>
            <w:noWrap/>
            <w:vAlign w:val="bottom"/>
            <w:hideMark/>
          </w:tcPr>
          <w:p w14:paraId="7C85073C"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716 955</w:t>
            </w:r>
          </w:p>
        </w:tc>
        <w:tc>
          <w:tcPr>
            <w:tcW w:w="1260" w:type="dxa"/>
            <w:tcBorders>
              <w:top w:val="nil"/>
              <w:left w:val="nil"/>
              <w:right w:val="nil"/>
            </w:tcBorders>
            <w:shd w:val="clear" w:color="000000" w:fill="FFFFFF"/>
            <w:noWrap/>
            <w:vAlign w:val="bottom"/>
            <w:hideMark/>
          </w:tcPr>
          <w:p w14:paraId="167383AF"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828 339</w:t>
            </w:r>
          </w:p>
        </w:tc>
        <w:tc>
          <w:tcPr>
            <w:tcW w:w="1260" w:type="dxa"/>
            <w:tcBorders>
              <w:top w:val="nil"/>
              <w:left w:val="nil"/>
              <w:right w:val="nil"/>
            </w:tcBorders>
            <w:shd w:val="clear" w:color="000000" w:fill="FFFFFF"/>
            <w:noWrap/>
            <w:vAlign w:val="bottom"/>
            <w:hideMark/>
          </w:tcPr>
          <w:p w14:paraId="688F7FDA"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919 804</w:t>
            </w:r>
          </w:p>
        </w:tc>
        <w:tc>
          <w:tcPr>
            <w:tcW w:w="1260" w:type="dxa"/>
            <w:tcBorders>
              <w:top w:val="nil"/>
              <w:left w:val="nil"/>
              <w:right w:val="nil"/>
            </w:tcBorders>
            <w:shd w:val="clear" w:color="000000" w:fill="FFFFFF"/>
            <w:vAlign w:val="bottom"/>
          </w:tcPr>
          <w:p w14:paraId="6428BFA3"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91 465</w:t>
            </w:r>
          </w:p>
        </w:tc>
      </w:tr>
      <w:tr w:rsidR="00DE0FE4" w:rsidRPr="00483927" w14:paraId="6EEA83EB" w14:textId="77777777" w:rsidTr="00A930C7">
        <w:trPr>
          <w:trHeight w:val="255"/>
        </w:trPr>
        <w:tc>
          <w:tcPr>
            <w:tcW w:w="4195" w:type="dxa"/>
            <w:tcBorders>
              <w:top w:val="nil"/>
              <w:left w:val="nil"/>
              <w:bottom w:val="single" w:sz="4" w:space="0" w:color="auto"/>
              <w:right w:val="nil"/>
            </w:tcBorders>
            <w:shd w:val="clear" w:color="000000" w:fill="FFFFFF"/>
            <w:noWrap/>
            <w:vAlign w:val="bottom"/>
            <w:hideMark/>
          </w:tcPr>
          <w:p w14:paraId="3A2A6C80" w14:textId="77777777" w:rsidR="00DE0FE4" w:rsidRPr="00483927" w:rsidRDefault="00DE0FE4" w:rsidP="00A930C7">
            <w:pPr>
              <w:spacing w:after="0" w:line="240" w:lineRule="auto"/>
              <w:jc w:val="left"/>
              <w:rPr>
                <w:rFonts w:eastAsia="Times New Roman" w:cs="Segoe UI"/>
                <w:color w:val="000000"/>
                <w:sz w:val="18"/>
                <w:szCs w:val="18"/>
                <w:lang w:eastAsia="sk-SK"/>
              </w:rPr>
            </w:pPr>
            <w:r w:rsidRPr="00483927">
              <w:rPr>
                <w:rFonts w:eastAsia="Times New Roman" w:cs="Segoe UI"/>
                <w:color w:val="000000"/>
                <w:sz w:val="18"/>
                <w:szCs w:val="18"/>
                <w:lang w:eastAsia="sk-SK"/>
              </w:rPr>
              <w:t>Ostatné</w:t>
            </w:r>
          </w:p>
        </w:tc>
        <w:tc>
          <w:tcPr>
            <w:tcW w:w="1260" w:type="dxa"/>
            <w:tcBorders>
              <w:top w:val="nil"/>
              <w:left w:val="nil"/>
              <w:bottom w:val="single" w:sz="4" w:space="0" w:color="auto"/>
              <w:right w:val="nil"/>
            </w:tcBorders>
            <w:shd w:val="clear" w:color="000000" w:fill="FFFFFF"/>
            <w:noWrap/>
            <w:vAlign w:val="bottom"/>
            <w:hideMark/>
          </w:tcPr>
          <w:p w14:paraId="08913BA7"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76 125</w:t>
            </w:r>
          </w:p>
        </w:tc>
        <w:tc>
          <w:tcPr>
            <w:tcW w:w="1260" w:type="dxa"/>
            <w:tcBorders>
              <w:top w:val="nil"/>
              <w:left w:val="nil"/>
              <w:bottom w:val="single" w:sz="4" w:space="0" w:color="auto"/>
              <w:right w:val="nil"/>
            </w:tcBorders>
            <w:shd w:val="clear" w:color="000000" w:fill="FFFFFF"/>
            <w:noWrap/>
            <w:vAlign w:val="bottom"/>
            <w:hideMark/>
          </w:tcPr>
          <w:p w14:paraId="46AA1E47"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76 676</w:t>
            </w:r>
          </w:p>
        </w:tc>
        <w:tc>
          <w:tcPr>
            <w:tcW w:w="1260" w:type="dxa"/>
            <w:tcBorders>
              <w:top w:val="nil"/>
              <w:left w:val="nil"/>
              <w:bottom w:val="single" w:sz="4" w:space="0" w:color="auto"/>
              <w:right w:val="nil"/>
            </w:tcBorders>
            <w:shd w:val="clear" w:color="000000" w:fill="FFFFFF"/>
            <w:noWrap/>
            <w:vAlign w:val="bottom"/>
            <w:hideMark/>
          </w:tcPr>
          <w:p w14:paraId="075874DF" w14:textId="77777777" w:rsidR="00DE0FE4" w:rsidRPr="00483927" w:rsidRDefault="00DE0FE4" w:rsidP="00A930C7">
            <w:pPr>
              <w:spacing w:after="0" w:line="240" w:lineRule="auto"/>
              <w:jc w:val="right"/>
              <w:rPr>
                <w:rFonts w:eastAsia="Times New Roman" w:cs="Segoe UI"/>
                <w:color w:val="000000"/>
                <w:sz w:val="18"/>
                <w:szCs w:val="18"/>
                <w:lang w:eastAsia="sk-SK"/>
              </w:rPr>
            </w:pPr>
            <w:r w:rsidRPr="00483927">
              <w:rPr>
                <w:rFonts w:eastAsia="Times New Roman" w:cs="Segoe UI"/>
                <w:color w:val="000000"/>
                <w:sz w:val="18"/>
                <w:szCs w:val="18"/>
                <w:lang w:eastAsia="sk-SK"/>
              </w:rPr>
              <w:t>76 863</w:t>
            </w:r>
          </w:p>
        </w:tc>
        <w:tc>
          <w:tcPr>
            <w:tcW w:w="1260" w:type="dxa"/>
            <w:tcBorders>
              <w:top w:val="nil"/>
              <w:left w:val="nil"/>
              <w:bottom w:val="single" w:sz="4" w:space="0" w:color="auto"/>
              <w:right w:val="nil"/>
            </w:tcBorders>
            <w:shd w:val="clear" w:color="000000" w:fill="FFFFFF"/>
            <w:vAlign w:val="bottom"/>
          </w:tcPr>
          <w:p w14:paraId="678831C7" w14:textId="77777777" w:rsidR="00DE0FE4" w:rsidRPr="00483927" w:rsidRDefault="00DE0FE4" w:rsidP="00A930C7">
            <w:pPr>
              <w:spacing w:after="0" w:line="240" w:lineRule="auto"/>
              <w:jc w:val="right"/>
              <w:rPr>
                <w:rFonts w:eastAsia="Times New Roman" w:cs="Segoe UI"/>
                <w:color w:val="000000"/>
                <w:sz w:val="18"/>
                <w:szCs w:val="18"/>
                <w:lang w:eastAsia="sk-SK"/>
              </w:rPr>
            </w:pPr>
            <w:r>
              <w:rPr>
                <w:rFonts w:cs="Segoe UI"/>
                <w:color w:val="000000"/>
                <w:sz w:val="18"/>
                <w:szCs w:val="18"/>
              </w:rPr>
              <w:t>187</w:t>
            </w:r>
          </w:p>
        </w:tc>
      </w:tr>
    </w:tbl>
    <w:p w14:paraId="35D3CC67" w14:textId="6A19EA50" w:rsidR="00DE0FE4" w:rsidRDefault="00DE0FE4" w:rsidP="00DE0FE4">
      <w:pPr>
        <w:pStyle w:val="Zdroj"/>
      </w:pPr>
      <w:r w:rsidRPr="00AC02EC">
        <w:t xml:space="preserve">Zdroj: </w:t>
      </w:r>
      <w:r>
        <w:t>Návrh ŠZÚ 2022, MF SR.</w:t>
      </w:r>
    </w:p>
    <w:p w14:paraId="03289498" w14:textId="77777777" w:rsidR="00C85414" w:rsidRDefault="00C85414" w:rsidP="00C85414">
      <w:r w:rsidRPr="009B0A55">
        <w:rPr>
          <w:b/>
        </w:rPr>
        <w:t>Medzi najvýznamnejšie pohyby možno zaradiť vklad do kapitálových fondov SPP vo výške 500 mil. eur a zvýšenie základného imania VšZP o 160 mil. eur.</w:t>
      </w:r>
      <w:r>
        <w:t xml:space="preserve"> V roku 2022 pokračovala aj finančná stabilizácia zdravotníckych zariadení (ZZ) prostredníctvom 575 mil. eur vyčlenených zo ŠFA v roku 2020 </w:t>
      </w:r>
      <w:r>
        <w:lastRenderedPageBreak/>
        <w:t>podrobne popísaná z pohľadu SP pod tabuľkou 10 a z pohľadu ZZ v samostatnej časti v rámci kapitoly 4.1 venovanej zdravotníctvu. Jedným z deklarovaných dôvodov na finančnú stabilizáciu ZZ je aj zlepšenie v dodržiavaní smernice o oneskorených platbách</w:t>
      </w:r>
      <w:r>
        <w:rPr>
          <w:rStyle w:val="Odkaznapoznmkupodiarou"/>
        </w:rPr>
        <w:footnoteReference w:id="22"/>
      </w:r>
      <w:r>
        <w:t>, pričom pre jej nesprávne uplatňovanie EK predložila prípad Súdnemu dvoru EÚ.</w:t>
      </w:r>
    </w:p>
    <w:p w14:paraId="083EE4C8" w14:textId="2869A45F" w:rsidR="007731C0" w:rsidRPr="00062025" w:rsidRDefault="007731C0" w:rsidP="007731C0">
      <w:pPr>
        <w:rPr>
          <w:rFonts w:cs="Segoe UI"/>
        </w:rPr>
      </w:pPr>
      <w:r w:rsidRPr="00062025">
        <w:rPr>
          <w:rFonts w:cs="Segoe UI"/>
          <w:b/>
        </w:rPr>
        <w:t>Sociálna poisťovňa je dlhodobo najväčším veriteľom zdravotníckych zariadení.</w:t>
      </w:r>
      <w:r w:rsidRPr="00062025">
        <w:rPr>
          <w:rFonts w:cs="Segoe UI"/>
        </w:rPr>
        <w:t xml:space="preserve"> Z</w:t>
      </w:r>
      <w:r w:rsidR="004659E7">
        <w:rPr>
          <w:rFonts w:cs="Segoe UI"/>
        </w:rPr>
        <w:t>Z</w:t>
      </w:r>
      <w:r w:rsidRPr="00062025">
        <w:rPr>
          <w:rFonts w:cs="Segoe UI"/>
        </w:rPr>
        <w:t xml:space="preserve"> v správe MZ SR, rezortné nemocnice MO SR a MV SR a vybrané </w:t>
      </w:r>
      <w:r w:rsidR="004659E7">
        <w:rPr>
          <w:rFonts w:cs="Segoe UI"/>
        </w:rPr>
        <w:t>ZZ</w:t>
      </w:r>
      <w:r w:rsidRPr="00062025">
        <w:rPr>
          <w:rFonts w:cs="Segoe UI"/>
        </w:rPr>
        <w:t xml:space="preserve"> po prevode na VÚC, obce, mestá a ako neziskové organizácie v rámci svojho hospodárenia neplatia všetky svoje záväzky včas a v plnej výške. Záväzky po lehote splatnosti vznikajú okrem S</w:t>
      </w:r>
      <w:r w:rsidR="00065472">
        <w:rPr>
          <w:rFonts w:cs="Segoe UI"/>
        </w:rPr>
        <w:t>P</w:t>
      </w:r>
      <w:r w:rsidRPr="00062025">
        <w:rPr>
          <w:rFonts w:cs="Segoe UI"/>
        </w:rPr>
        <w:t xml:space="preserve"> aj voči dodávateľom špeciálnych zdravotníckych materiálov, liekov, energi</w:t>
      </w:r>
      <w:r w:rsidR="00154F18">
        <w:rPr>
          <w:rFonts w:cs="Segoe UI"/>
        </w:rPr>
        <w:t>í</w:t>
      </w:r>
      <w:r w:rsidRPr="00062025">
        <w:rPr>
          <w:rFonts w:cs="Segoe UI"/>
        </w:rPr>
        <w:t>, Národnej transfúznej službe a ďalším.</w:t>
      </w:r>
      <w:r w:rsidR="00C03836">
        <w:rPr>
          <w:rFonts w:cs="Segoe UI"/>
        </w:rPr>
        <w:t xml:space="preserve"> </w:t>
      </w:r>
      <w:r w:rsidRPr="00062025">
        <w:rPr>
          <w:rFonts w:cs="Segoe UI"/>
        </w:rPr>
        <w:t>Záväzky voči daňovým úradom (F</w:t>
      </w:r>
      <w:r w:rsidR="00154F18">
        <w:rPr>
          <w:rFonts w:cs="Segoe UI"/>
        </w:rPr>
        <w:t>S</w:t>
      </w:r>
      <w:r w:rsidRPr="00062025">
        <w:rPr>
          <w:rFonts w:cs="Segoe UI"/>
        </w:rPr>
        <w:t>) a </w:t>
      </w:r>
      <w:r w:rsidR="00154F18">
        <w:rPr>
          <w:rFonts w:cs="Segoe UI"/>
        </w:rPr>
        <w:t>ZP sú oproti SP zanedbateľné, keďže</w:t>
      </w:r>
      <w:r w:rsidRPr="00062025">
        <w:rPr>
          <w:rFonts w:cs="Segoe UI"/>
        </w:rPr>
        <w:t xml:space="preserve"> </w:t>
      </w:r>
      <w:r w:rsidR="00154F18">
        <w:rPr>
          <w:rFonts w:cs="Segoe UI"/>
        </w:rPr>
        <w:t>n</w:t>
      </w:r>
      <w:r w:rsidRPr="00062025">
        <w:rPr>
          <w:rFonts w:cs="Segoe UI"/>
        </w:rPr>
        <w:t xml:space="preserve">eplatenie odvodov zamestnávateľom v systéme sociálneho poistenia </w:t>
      </w:r>
      <w:r w:rsidR="00154F18">
        <w:rPr>
          <w:rFonts w:cs="Segoe UI"/>
        </w:rPr>
        <w:t>v SR</w:t>
      </w:r>
      <w:r w:rsidRPr="00062025">
        <w:rPr>
          <w:rFonts w:cs="Segoe UI"/>
        </w:rPr>
        <w:t xml:space="preserve"> neovplyvňuje nároky poistenca na výplatu dávok</w:t>
      </w:r>
      <w:r w:rsidR="00154F18">
        <w:rPr>
          <w:rFonts w:cs="Segoe UI"/>
        </w:rPr>
        <w:t>.</w:t>
      </w:r>
      <w:r w:rsidRPr="00062025">
        <w:rPr>
          <w:rFonts w:cs="Segoe UI"/>
        </w:rPr>
        <w:t xml:space="preserve"> </w:t>
      </w:r>
      <w:r w:rsidR="00154F18">
        <w:rPr>
          <w:rFonts w:cs="Segoe UI"/>
        </w:rPr>
        <w:t>A</w:t>
      </w:r>
      <w:r w:rsidRPr="00062025">
        <w:rPr>
          <w:rFonts w:cs="Segoe UI"/>
        </w:rPr>
        <w:t xml:space="preserve">j keď zamestnávateľ neplatí odvody, zamestnanec má nárok na dávky (dôchodok), pričom nezaplatené odvody/poistné vymáha SP od zamestnávateľa. Toto predstavuje na jednej strane prvok ochrany zamestnancov, no na druhej strane pokušenie na neplatenie odvodov či úpravy vymeriavacieho základu. </w:t>
      </w:r>
    </w:p>
    <w:p w14:paraId="6FDB93D6" w14:textId="13BF2552" w:rsidR="007731C0" w:rsidRDefault="007731C0" w:rsidP="007731C0">
      <w:pPr>
        <w:rPr>
          <w:rFonts w:cs="Segoe UI"/>
        </w:rPr>
      </w:pPr>
      <w:r w:rsidRPr="00B44ADE">
        <w:rPr>
          <w:rFonts w:cs="Segoe UI"/>
          <w:b/>
        </w:rPr>
        <w:t xml:space="preserve">Z dočasného vylúčenia pohľadávok voči </w:t>
      </w:r>
      <w:r w:rsidR="00065472">
        <w:rPr>
          <w:rFonts w:cs="Segoe UI"/>
          <w:b/>
        </w:rPr>
        <w:t>ZZ</w:t>
      </w:r>
      <w:r w:rsidR="00154F18">
        <w:rPr>
          <w:rFonts w:cs="Segoe UI"/>
          <w:b/>
        </w:rPr>
        <w:t xml:space="preserve"> z exekúcií</w:t>
      </w:r>
      <w:r w:rsidRPr="00B44ADE">
        <w:rPr>
          <w:rFonts w:cs="Segoe UI"/>
          <w:b/>
        </w:rPr>
        <w:t xml:space="preserve"> sa na konci roku 2020 stalo trvalé.</w:t>
      </w:r>
      <w:r w:rsidRPr="00062025">
        <w:rPr>
          <w:rFonts w:cs="Segoe UI"/>
        </w:rPr>
        <w:t xml:space="preserve"> NKÚ SR ukončil v roku 2020 kontrolu správy poistného v SP, pričom jedno zo zistení sa týkalo práve pohľadávok SP voči ZZ. SP v správe o prijatých opatreniach </w:t>
      </w:r>
      <w:r>
        <w:rPr>
          <w:rFonts w:cs="Segoe UI"/>
        </w:rPr>
        <w:t xml:space="preserve">SP </w:t>
      </w:r>
      <w:r w:rsidRPr="00062025">
        <w:rPr>
          <w:rFonts w:cs="Segoe UI"/>
        </w:rPr>
        <w:t>uviedla, že bude vymáhať pohľadávky po odpadnutí zákonných prekážok, po uplynutí platnosti príslušného ustanovenia, čiže od 1.</w:t>
      </w:r>
      <w:r w:rsidR="00154F18">
        <w:rPr>
          <w:rFonts w:cs="Segoe UI"/>
        </w:rPr>
        <w:t xml:space="preserve"> </w:t>
      </w:r>
      <w:r w:rsidRPr="00062025">
        <w:rPr>
          <w:rFonts w:cs="Segoe UI"/>
        </w:rPr>
        <w:t>1.</w:t>
      </w:r>
      <w:r w:rsidR="00154F18">
        <w:rPr>
          <w:rFonts w:cs="Segoe UI"/>
        </w:rPr>
        <w:t xml:space="preserve"> </w:t>
      </w:r>
      <w:r w:rsidRPr="00062025">
        <w:rPr>
          <w:rFonts w:cs="Segoe UI"/>
        </w:rPr>
        <w:t xml:space="preserve">2021. Uvedené bolo v súlade s uznesením Vlády SR z 26. 8. 2020, ktorá odporučila GR SP začať vymáhať pohľadávky z úradnej moci voči ZZ. Napriek tomu bola 25. 11. 2020 schválená novela, ktorá vylúčila ZZ z exekúcií bez časového obmedzenia. </w:t>
      </w:r>
    </w:p>
    <w:p w14:paraId="55C36802" w14:textId="478C207C" w:rsidR="007731C0" w:rsidRPr="00062025" w:rsidRDefault="007731C0" w:rsidP="007731C0">
      <w:pPr>
        <w:rPr>
          <w:rFonts w:cs="Segoe UI"/>
        </w:rPr>
      </w:pPr>
      <w:r w:rsidRPr="00B44ADE">
        <w:rPr>
          <w:rFonts w:cs="Segoe UI"/>
          <w:b/>
        </w:rPr>
        <w:t xml:space="preserve">SP dostala v roku 2022 zo ŠFA za svoje pohľadávky voči ZZ 199 mil. eur. </w:t>
      </w:r>
      <w:r w:rsidRPr="00062025">
        <w:rPr>
          <w:rFonts w:cs="Segoe UI"/>
        </w:rPr>
        <w:t>Koncom roka 2020 bolo schválené po</w:t>
      </w:r>
      <w:r w:rsidR="00154F18">
        <w:rPr>
          <w:rFonts w:cs="Segoe UI"/>
        </w:rPr>
        <w:t>u</w:t>
      </w:r>
      <w:r w:rsidRPr="00062025">
        <w:rPr>
          <w:rFonts w:cs="Segoe UI"/>
        </w:rPr>
        <w:t>žitie 575 mil. eur zo ŠFA na oddlženie a finančnú stabilizáciu ZZ</w:t>
      </w:r>
      <w:r w:rsidR="00154F18">
        <w:rPr>
          <w:rFonts w:cs="Segoe UI"/>
        </w:rPr>
        <w:t>,</w:t>
      </w:r>
      <w:r w:rsidRPr="00062025">
        <w:rPr>
          <w:rFonts w:cs="Segoe UI"/>
        </w:rPr>
        <w:t xml:space="preserve"> z čoho sa v roku 2022 podarilo zadministrovať vo vzťahu k dodávateľom ZZ 118 mil. eur</w:t>
      </w:r>
      <w:r>
        <w:rPr>
          <w:rFonts w:cs="Segoe UI"/>
        </w:rPr>
        <w:t xml:space="preserve"> (</w:t>
      </w:r>
      <w:r w:rsidR="00154F18">
        <w:rPr>
          <w:rFonts w:cs="Segoe UI"/>
        </w:rPr>
        <w:t xml:space="preserve">bližšie </w:t>
      </w:r>
      <w:r>
        <w:rPr>
          <w:rFonts w:cs="Segoe UI"/>
        </w:rPr>
        <w:t>popísané v</w:t>
      </w:r>
      <w:r w:rsidR="00154F18">
        <w:rPr>
          <w:rFonts w:cs="Segoe UI"/>
        </w:rPr>
        <w:t> kapitole 4.1</w:t>
      </w:r>
      <w:r>
        <w:rPr>
          <w:rFonts w:cs="Segoe UI"/>
        </w:rPr>
        <w:t>)</w:t>
      </w:r>
      <w:r w:rsidRPr="00062025">
        <w:rPr>
          <w:rFonts w:cs="Segoe UI"/>
        </w:rPr>
        <w:t xml:space="preserve"> a k SP 199 mil. eur. Podľa zákona o sociálnom poistení môžu byť pohľadávky postúpené len právnickej osobe so 100 % majetkovou účasťou štátu, v tomto prípade </w:t>
      </w:r>
      <w:proofErr w:type="spellStart"/>
      <w:r w:rsidRPr="00062025">
        <w:rPr>
          <w:rFonts w:cs="Segoe UI"/>
        </w:rPr>
        <w:t>Debitum</w:t>
      </w:r>
      <w:proofErr w:type="spellEnd"/>
      <w:r w:rsidRPr="00062025">
        <w:rPr>
          <w:rFonts w:cs="Segoe UI"/>
        </w:rPr>
        <w:t>, a. s. SP takto postúpila 363 pohľadávok, ktoré boli k 30.</w:t>
      </w:r>
      <w:r w:rsidR="00154F18">
        <w:rPr>
          <w:rFonts w:cs="Segoe UI"/>
        </w:rPr>
        <w:t xml:space="preserve"> </w:t>
      </w:r>
      <w:r w:rsidRPr="00062025">
        <w:rPr>
          <w:rFonts w:cs="Segoe UI"/>
        </w:rPr>
        <w:t>11.</w:t>
      </w:r>
      <w:r w:rsidR="00154F18">
        <w:rPr>
          <w:rFonts w:cs="Segoe UI"/>
        </w:rPr>
        <w:t xml:space="preserve"> </w:t>
      </w:r>
      <w:r w:rsidRPr="00062025">
        <w:rPr>
          <w:rFonts w:cs="Segoe UI"/>
        </w:rPr>
        <w:t xml:space="preserve">2020 po lehote splatnosti, vo výške istiny 202 mil. eur za odplatu 199 mil. eur a penále vo výške 101 mil. eur za odplatu 0,72 eur. </w:t>
      </w:r>
    </w:p>
    <w:p w14:paraId="447A0AE3" w14:textId="0E474AD7" w:rsidR="007731C0" w:rsidRDefault="007731C0" w:rsidP="007731C0">
      <w:pPr>
        <w:rPr>
          <w:rFonts w:cs="Segoe UI"/>
        </w:rPr>
      </w:pPr>
      <w:r w:rsidRPr="00B44ADE">
        <w:rPr>
          <w:rFonts w:cs="Segoe UI"/>
          <w:b/>
        </w:rPr>
        <w:t xml:space="preserve">Ďalšie oddlženie sa už chystá, keď z celkovej alokácie 575 mil. eur po </w:t>
      </w:r>
      <w:r w:rsidR="00065472">
        <w:rPr>
          <w:rFonts w:cs="Segoe UI"/>
          <w:b/>
        </w:rPr>
        <w:t>oddlžovaní v roku 2022</w:t>
      </w:r>
      <w:r w:rsidRPr="00B44ADE">
        <w:rPr>
          <w:rFonts w:cs="Segoe UI"/>
          <w:b/>
        </w:rPr>
        <w:t xml:space="preserve"> </w:t>
      </w:r>
      <w:r w:rsidR="00154F18">
        <w:rPr>
          <w:rFonts w:cs="Segoe UI"/>
          <w:b/>
        </w:rPr>
        <w:t>z</w:t>
      </w:r>
      <w:r w:rsidRPr="00B44ADE">
        <w:rPr>
          <w:rFonts w:cs="Segoe UI"/>
          <w:b/>
        </w:rPr>
        <w:t>ostalo 258 mil. eur</w:t>
      </w:r>
      <w:r w:rsidR="00F47770">
        <w:rPr>
          <w:rFonts w:cs="Segoe UI"/>
          <w:b/>
        </w:rPr>
        <w:t xml:space="preserve"> </w:t>
      </w:r>
      <w:r w:rsidR="00F47770">
        <w:rPr>
          <w:rFonts w:cs="Segoe UI"/>
        </w:rPr>
        <w:t xml:space="preserve">(box </w:t>
      </w:r>
      <w:r w:rsidR="004C18E7">
        <w:rPr>
          <w:rFonts w:cs="Segoe UI"/>
        </w:rPr>
        <w:t>4</w:t>
      </w:r>
      <w:r w:rsidR="00F47770">
        <w:rPr>
          <w:rFonts w:cs="Segoe UI"/>
        </w:rPr>
        <w:t>).</w:t>
      </w:r>
      <w:r w:rsidRPr="00062025">
        <w:rPr>
          <w:rFonts w:cs="Segoe UI"/>
        </w:rPr>
        <w:t xml:space="preserve"> Vláda SR aj NR SR odsúhlasili v decembri 2022 použitie týchto prostriedkov zo ŠFA na následnú finančnú stabilizáciu </w:t>
      </w:r>
      <w:r w:rsidR="00065472">
        <w:rPr>
          <w:rFonts w:cs="Segoe UI"/>
        </w:rPr>
        <w:t>ZZ</w:t>
      </w:r>
      <w:r w:rsidRPr="00062025">
        <w:rPr>
          <w:rFonts w:cs="Segoe UI"/>
        </w:rPr>
        <w:t xml:space="preserve">. </w:t>
      </w:r>
      <w:r w:rsidR="00065472">
        <w:rPr>
          <w:rFonts w:cs="Segoe UI"/>
        </w:rPr>
        <w:t>Ďalšie</w:t>
      </w:r>
      <w:r w:rsidRPr="00062025">
        <w:rPr>
          <w:rFonts w:cs="Segoe UI"/>
        </w:rPr>
        <w:t xml:space="preserve"> kolo oddlžovania predpokladá odlišný prístup oproti predchádzajúcim postupom, čo môže </w:t>
      </w:r>
      <w:r w:rsidR="00F47770">
        <w:rPr>
          <w:rFonts w:cs="Segoe UI"/>
        </w:rPr>
        <w:t xml:space="preserve">v súvislosti s administratívou </w:t>
      </w:r>
      <w:r w:rsidR="00065472">
        <w:rPr>
          <w:rFonts w:cs="Segoe UI"/>
        </w:rPr>
        <w:t>klásť</w:t>
      </w:r>
      <w:r w:rsidRPr="00062025">
        <w:rPr>
          <w:rFonts w:cs="Segoe UI"/>
        </w:rPr>
        <w:t xml:space="preserve"> zvýšené požiadavky na verejné zdroje, v tomto prípade vyčlenené ŠFA.</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CellMar>
          <w:left w:w="70" w:type="dxa"/>
          <w:right w:w="70" w:type="dxa"/>
        </w:tblCellMar>
        <w:tblLook w:val="04A0" w:firstRow="1" w:lastRow="0" w:firstColumn="1" w:lastColumn="0" w:noHBand="0" w:noVBand="1"/>
      </w:tblPr>
      <w:tblGrid>
        <w:gridCol w:w="9060"/>
      </w:tblGrid>
      <w:tr w:rsidR="007731C0" w:rsidRPr="00AC3675" w14:paraId="73C64ABE" w14:textId="77777777" w:rsidTr="00900595">
        <w:tc>
          <w:tcPr>
            <w:tcW w:w="9060" w:type="dxa"/>
            <w:shd w:val="clear" w:color="auto" w:fill="EBF0FB" w:themeFill="background2" w:themeFillTint="33"/>
          </w:tcPr>
          <w:p w14:paraId="19009177" w14:textId="4BB7C9FE" w:rsidR="007731C0" w:rsidRPr="00767017" w:rsidRDefault="007731C0" w:rsidP="00900595">
            <w:pPr>
              <w:spacing w:before="120" w:line="240" w:lineRule="auto"/>
              <w:rPr>
                <w:b/>
                <w:szCs w:val="18"/>
              </w:rPr>
            </w:pPr>
            <w:r>
              <w:rPr>
                <w:b/>
                <w:szCs w:val="18"/>
              </w:rPr>
              <w:t xml:space="preserve">BOX </w:t>
            </w:r>
            <w:r w:rsidR="004C18E7">
              <w:rPr>
                <w:b/>
                <w:szCs w:val="18"/>
              </w:rPr>
              <w:t>4</w:t>
            </w:r>
            <w:r w:rsidRPr="00767017">
              <w:rPr>
                <w:b/>
                <w:szCs w:val="18"/>
              </w:rPr>
              <w:t xml:space="preserve">: </w:t>
            </w:r>
            <w:r w:rsidRPr="00B44ADE">
              <w:rPr>
                <w:b/>
              </w:rPr>
              <w:t>Systematické neplatenie odvodov a</w:t>
            </w:r>
            <w:r>
              <w:rPr>
                <w:b/>
              </w:rPr>
              <w:t> </w:t>
            </w:r>
            <w:r w:rsidRPr="00B44ADE">
              <w:rPr>
                <w:b/>
              </w:rPr>
              <w:t>pravidelné oddlžovanie ako súčasť viacročného finančného plánovania vybraných zdravotníckych zariadení</w:t>
            </w:r>
          </w:p>
          <w:p w14:paraId="45D94464" w14:textId="77777777" w:rsidR="007731C0" w:rsidRPr="00A3652D" w:rsidRDefault="007731C0" w:rsidP="00900595">
            <w:pPr>
              <w:spacing w:after="0"/>
              <w:rPr>
                <w:rFonts w:cs="Segoe UI"/>
                <w:sz w:val="6"/>
                <w:szCs w:val="6"/>
              </w:rPr>
            </w:pPr>
          </w:p>
          <w:p w14:paraId="3B219914" w14:textId="2990DF86" w:rsidR="007731C0" w:rsidRDefault="007731C0" w:rsidP="00900595">
            <w:pPr>
              <w:rPr>
                <w:sz w:val="18"/>
              </w:rPr>
            </w:pPr>
            <w:r w:rsidRPr="00B44ADE">
              <w:rPr>
                <w:b/>
                <w:sz w:val="18"/>
              </w:rPr>
              <w:t>Zdravotnícke zariadenia sú priebežne oddlžované posledných 20 rokov.</w:t>
            </w:r>
            <w:r w:rsidRPr="00B44ADE">
              <w:rPr>
                <w:sz w:val="18"/>
              </w:rPr>
              <w:t xml:space="preserve"> Prvé dve vlny oddlžovania boli spojené s transformáciou a následnou finančnou stabilizáciou ZZ a v prípade SP postupovaním pohľadávok na spoločnosť Veriteľ, a. s. (pred 2005). Tretie oddlženie bolo v prípade SP spojené s generálnym pardonom v roku 2008. Ďalšie vlny oddlžovania vychádzali z uznesení vlády zameraných na oddlženie </w:t>
            </w:r>
            <w:r w:rsidR="00F47770">
              <w:rPr>
                <w:sz w:val="18"/>
              </w:rPr>
              <w:t>ZZ</w:t>
            </w:r>
            <w:r w:rsidRPr="00B44ADE">
              <w:rPr>
                <w:sz w:val="18"/>
              </w:rPr>
              <w:t xml:space="preserve">, riešenie finančnej situácie nemocníc a následnú finančnú stabilizáciu ZZ. </w:t>
            </w:r>
            <w:r w:rsidR="004659E7">
              <w:rPr>
                <w:sz w:val="18"/>
              </w:rPr>
              <w:t>G</w:t>
            </w:r>
            <w:r w:rsidRPr="00B44ADE">
              <w:rPr>
                <w:sz w:val="18"/>
              </w:rPr>
              <w:t xml:space="preserve">raf </w:t>
            </w:r>
            <w:r w:rsidR="004659E7">
              <w:rPr>
                <w:sz w:val="18"/>
              </w:rPr>
              <w:t xml:space="preserve">11 </w:t>
            </w:r>
            <w:r w:rsidRPr="00B44ADE">
              <w:rPr>
                <w:sz w:val="18"/>
              </w:rPr>
              <w:t xml:space="preserve">ilustruje vývoj pohľadávok SP voči ZZ od januára 2006 do </w:t>
            </w:r>
            <w:r w:rsidRPr="00B44ADE">
              <w:rPr>
                <w:sz w:val="18"/>
              </w:rPr>
              <w:lastRenderedPageBreak/>
              <w:t xml:space="preserve">marca 2023, pričom jednotlivé skoky sa prekrývajú s oddlžovaním ZZ, postúpením pohľadávok SP v rokoch 2008, 2009, 2011, 2018, 2020 a 2022. </w:t>
            </w:r>
          </w:p>
          <w:p w14:paraId="12FA6B8F" w14:textId="77777777" w:rsidR="007731C0" w:rsidRDefault="007731C0" w:rsidP="00900595">
            <w:pPr>
              <w:pStyle w:val="Popis"/>
              <w:keepNext/>
              <w:rPr>
                <w:color w:val="314364"/>
                <w:sz w:val="18"/>
              </w:rPr>
            </w:pPr>
            <w:r w:rsidRPr="00B44ADE">
              <w:rPr>
                <w:color w:val="314364"/>
                <w:sz w:val="18"/>
              </w:rPr>
              <w:t>Graf</w:t>
            </w:r>
            <w:r>
              <w:rPr>
                <w:color w:val="314364"/>
                <w:sz w:val="18"/>
              </w:rPr>
              <w:t xml:space="preserve"> 11</w:t>
            </w:r>
            <w:r w:rsidRPr="00B44ADE">
              <w:rPr>
                <w:color w:val="314364"/>
                <w:sz w:val="18"/>
              </w:rPr>
              <w:t>: Stav pohľadávok SP voči ZZ ku koncu januára 2006 až marca 2023</w:t>
            </w:r>
            <w:r>
              <w:rPr>
                <w:color w:val="314364"/>
                <w:sz w:val="18"/>
              </w:rPr>
              <w:t xml:space="preserve"> (v mil. eur)</w:t>
            </w:r>
          </w:p>
          <w:tbl>
            <w:tblPr>
              <w:tblStyle w:val="Mriekatabuky"/>
              <w:tblW w:w="0" w:type="auto"/>
              <w:tblCellMar>
                <w:left w:w="70" w:type="dxa"/>
                <w:right w:w="70" w:type="dxa"/>
              </w:tblCellMar>
              <w:tblLook w:val="04A0" w:firstRow="1" w:lastRow="0" w:firstColumn="1" w:lastColumn="0" w:noHBand="0" w:noVBand="1"/>
            </w:tblPr>
            <w:tblGrid>
              <w:gridCol w:w="8910"/>
            </w:tblGrid>
            <w:tr w:rsidR="007731C0" w14:paraId="2789DECB" w14:textId="77777777" w:rsidTr="00900595">
              <w:trPr>
                <w:trHeight w:val="3402"/>
              </w:trPr>
              <w:tc>
                <w:tcPr>
                  <w:tcW w:w="8910" w:type="dxa"/>
                  <w:tcBorders>
                    <w:top w:val="single" w:sz="4" w:space="0" w:color="314364" w:themeColor="text2"/>
                    <w:left w:val="nil"/>
                    <w:bottom w:val="single" w:sz="4" w:space="0" w:color="314364" w:themeColor="text2"/>
                    <w:right w:val="nil"/>
                  </w:tcBorders>
                </w:tcPr>
                <w:p w14:paraId="2BFD17E1" w14:textId="77777777" w:rsidR="007731C0" w:rsidRDefault="007731C0" w:rsidP="00900595">
                  <w:pPr>
                    <w:spacing w:after="0"/>
                  </w:pPr>
                  <w:r>
                    <w:rPr>
                      <w:noProof/>
                      <w:lang w:eastAsia="sk-SK"/>
                    </w:rPr>
                    <w:drawing>
                      <wp:inline distT="0" distB="0" distL="0" distR="0" wp14:anchorId="6182CF00" wp14:editId="724C16BA">
                        <wp:extent cx="5554980" cy="2164080"/>
                        <wp:effectExtent l="0" t="0" r="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14:paraId="6F34D33B" w14:textId="4A185AC3" w:rsidR="007731C0" w:rsidRPr="009371F5" w:rsidRDefault="007731C0" w:rsidP="00900595">
            <w:pPr>
              <w:pStyle w:val="Zdroj"/>
            </w:pPr>
            <w:r w:rsidRPr="00CD7042">
              <w:t xml:space="preserve">Zdroj: </w:t>
            </w:r>
            <w:r>
              <w:t>SP</w:t>
            </w:r>
            <w:r w:rsidRPr="00B40242">
              <w:t xml:space="preserve">; </w:t>
            </w:r>
            <w:r>
              <w:t>spracovanie NKÚ SR</w:t>
            </w:r>
            <w:r w:rsidR="00F47770">
              <w:t>.</w:t>
            </w:r>
          </w:p>
          <w:p w14:paraId="58987532" w14:textId="16AD8AEF" w:rsidR="007731C0" w:rsidRDefault="007731C0" w:rsidP="00900595">
            <w:pPr>
              <w:rPr>
                <w:sz w:val="18"/>
              </w:rPr>
            </w:pPr>
            <w:r w:rsidRPr="00B44ADE">
              <w:rPr>
                <w:b/>
                <w:sz w:val="18"/>
              </w:rPr>
              <w:t>Samotné oddlžovanie síce skracuje priemernú dobu oneskorenia platieb ZZ a čiastočne znižuje s tým spojené náklady, nerieši však príčiny zadlžovania.</w:t>
            </w:r>
            <w:r w:rsidRPr="00B44ADE">
              <w:rPr>
                <w:sz w:val="18"/>
              </w:rPr>
              <w:t xml:space="preserve"> Pohľadávky SP voči ZZ rastú stále rýchlejšie aj napriek </w:t>
            </w:r>
            <w:r w:rsidR="00B34C91">
              <w:rPr>
                <w:sz w:val="18"/>
              </w:rPr>
              <w:t>siedmim</w:t>
            </w:r>
            <w:r w:rsidRPr="00B44ADE">
              <w:rPr>
                <w:sz w:val="18"/>
              </w:rPr>
              <w:t xml:space="preserve"> kolám oddlžovania. Začarovaný kruh neplatenia záväzkov, v príklade použitých odvodov do SP, sa stále nepodarilo preseknúť, čo potvrdzuje ďalší rast pohľadávok SP od ich posledného postúpenia a tiež pripravované </w:t>
            </w:r>
            <w:r w:rsidR="00F47770">
              <w:rPr>
                <w:sz w:val="18"/>
              </w:rPr>
              <w:t>ôsme</w:t>
            </w:r>
            <w:r w:rsidRPr="00B44ADE">
              <w:rPr>
                <w:sz w:val="18"/>
              </w:rPr>
              <w:t xml:space="preserve"> kolo oddlžovania. Z</w:t>
            </w:r>
            <w:r w:rsidR="00F47770">
              <w:rPr>
                <w:sz w:val="18"/>
              </w:rPr>
              <w:t>Z</w:t>
            </w:r>
            <w:r w:rsidRPr="00B44ADE">
              <w:rPr>
                <w:sz w:val="18"/>
              </w:rPr>
              <w:t xml:space="preserve"> tak nemajú motiváciu na efektívne fungovanie a môžu pokojne tvoriť ďalšie nedoplatky </w:t>
            </w:r>
            <w:r w:rsidR="004659E7">
              <w:rPr>
                <w:sz w:val="18"/>
              </w:rPr>
              <w:t>(u</w:t>
            </w:r>
            <w:r w:rsidRPr="00B44ADE">
              <w:rPr>
                <w:sz w:val="18"/>
              </w:rPr>
              <w:t>vedené sa netýka všetkých ZZ</w:t>
            </w:r>
            <w:r w:rsidR="004659E7">
              <w:rPr>
                <w:sz w:val="18"/>
              </w:rPr>
              <w:t>)</w:t>
            </w:r>
            <w:r w:rsidRPr="00B44ADE">
              <w:rPr>
                <w:sz w:val="18"/>
              </w:rPr>
              <w:t xml:space="preserve">. </w:t>
            </w:r>
            <w:r w:rsidR="00F47770">
              <w:rPr>
                <w:sz w:val="18"/>
              </w:rPr>
              <w:t xml:space="preserve">SP evidovala </w:t>
            </w:r>
            <w:r w:rsidR="00F47770" w:rsidRPr="00B44ADE">
              <w:rPr>
                <w:sz w:val="18"/>
              </w:rPr>
              <w:t>pohľadávky ku koncu februára 2023</w:t>
            </w:r>
            <w:r w:rsidR="00F47770">
              <w:rPr>
                <w:sz w:val="18"/>
              </w:rPr>
              <w:t xml:space="preserve"> voči 20 ZZ (t</w:t>
            </w:r>
            <w:r w:rsidRPr="00B44ADE">
              <w:rPr>
                <w:sz w:val="18"/>
              </w:rPr>
              <w:t xml:space="preserve">abuľka </w:t>
            </w:r>
            <w:r>
              <w:rPr>
                <w:sz w:val="18"/>
              </w:rPr>
              <w:t>11</w:t>
            </w:r>
            <w:r w:rsidR="00F47770">
              <w:rPr>
                <w:sz w:val="18"/>
              </w:rPr>
              <w:t>)</w:t>
            </w:r>
            <w:r w:rsidRPr="00B44ADE">
              <w:rPr>
                <w:sz w:val="18"/>
              </w:rPr>
              <w:t>. Kumulatívne pohľadávky vo výške 258 mil. eur stúpli od posledného oddlžovania v auguste 2022 o 76 mil. eur</w:t>
            </w:r>
            <w:r w:rsidR="00F47770">
              <w:rPr>
                <w:sz w:val="18"/>
              </w:rPr>
              <w:t>, čiže o 12,6 mil. eur mesačne.</w:t>
            </w:r>
          </w:p>
          <w:p w14:paraId="08C8CF88" w14:textId="77777777" w:rsidR="000A00A3" w:rsidRPr="00B44ADE" w:rsidRDefault="000A00A3" w:rsidP="000A00A3">
            <w:pPr>
              <w:pStyle w:val="Popis"/>
              <w:keepNext/>
              <w:rPr>
                <w:color w:val="314364"/>
                <w:sz w:val="18"/>
              </w:rPr>
            </w:pPr>
            <w:r w:rsidRPr="00B44ADE">
              <w:rPr>
                <w:color w:val="314364"/>
                <w:sz w:val="18"/>
              </w:rPr>
              <w:t xml:space="preserve">Tabuľka </w:t>
            </w:r>
            <w:r>
              <w:rPr>
                <w:color w:val="314364"/>
                <w:sz w:val="18"/>
              </w:rPr>
              <w:t>11</w:t>
            </w:r>
            <w:r w:rsidRPr="00B44ADE">
              <w:rPr>
                <w:color w:val="314364"/>
                <w:sz w:val="18"/>
              </w:rPr>
              <w:t>: Výška pohľadávok SP na poistnom voči ZZ k 28.</w:t>
            </w:r>
            <w:r>
              <w:rPr>
                <w:color w:val="314364"/>
                <w:sz w:val="18"/>
              </w:rPr>
              <w:t xml:space="preserve"> </w:t>
            </w:r>
            <w:r w:rsidRPr="00B44ADE">
              <w:rPr>
                <w:color w:val="314364"/>
                <w:sz w:val="18"/>
              </w:rPr>
              <w:t>2.</w:t>
            </w:r>
            <w:r>
              <w:rPr>
                <w:color w:val="314364"/>
                <w:sz w:val="18"/>
              </w:rPr>
              <w:t xml:space="preserve"> </w:t>
            </w:r>
            <w:r w:rsidRPr="00B44ADE">
              <w:rPr>
                <w:color w:val="314364"/>
                <w:sz w:val="18"/>
              </w:rPr>
              <w:t>2023</w:t>
            </w:r>
          </w:p>
          <w:tbl>
            <w:tblPr>
              <w:tblW w:w="5000" w:type="pct"/>
              <w:tblCellMar>
                <w:left w:w="70" w:type="dxa"/>
                <w:right w:w="70" w:type="dxa"/>
              </w:tblCellMar>
              <w:tblLook w:val="04A0" w:firstRow="1" w:lastRow="0" w:firstColumn="1" w:lastColumn="0" w:noHBand="0" w:noVBand="1"/>
            </w:tblPr>
            <w:tblGrid>
              <w:gridCol w:w="6874"/>
              <w:gridCol w:w="2046"/>
            </w:tblGrid>
            <w:tr w:rsidR="000A00A3" w:rsidRPr="00B44ADE" w14:paraId="6B444127" w14:textId="77777777" w:rsidTr="00A930C7">
              <w:trPr>
                <w:trHeight w:val="20"/>
                <w:tblHeader/>
              </w:trPr>
              <w:tc>
                <w:tcPr>
                  <w:tcW w:w="3853" w:type="pct"/>
                  <w:tcBorders>
                    <w:top w:val="nil"/>
                    <w:left w:val="nil"/>
                    <w:bottom w:val="nil"/>
                    <w:right w:val="nil"/>
                  </w:tcBorders>
                  <w:shd w:val="clear" w:color="000000" w:fill="314364"/>
                  <w:vAlign w:val="center"/>
                  <w:hideMark/>
                </w:tcPr>
                <w:p w14:paraId="1ACE5872" w14:textId="77777777" w:rsidR="000A00A3" w:rsidRPr="00B44ADE" w:rsidRDefault="000A00A3" w:rsidP="000A00A3">
                  <w:pPr>
                    <w:spacing w:after="0" w:line="240" w:lineRule="auto"/>
                    <w:jc w:val="left"/>
                    <w:rPr>
                      <w:rFonts w:eastAsia="Times New Roman" w:cs="Segoe UI"/>
                      <w:b/>
                      <w:bCs/>
                      <w:color w:val="FFFFFF"/>
                      <w:sz w:val="16"/>
                      <w:szCs w:val="16"/>
                      <w:lang w:eastAsia="sk-SK"/>
                    </w:rPr>
                  </w:pPr>
                  <w:r w:rsidRPr="00B44ADE">
                    <w:rPr>
                      <w:rFonts w:eastAsia="Times New Roman" w:cs="Segoe UI"/>
                      <w:b/>
                      <w:bCs/>
                      <w:color w:val="FFFFFF"/>
                      <w:sz w:val="16"/>
                      <w:szCs w:val="16"/>
                      <w:lang w:eastAsia="sk-SK"/>
                    </w:rPr>
                    <w:t>Názov zdravotníckeho zariadenia, sídlo</w:t>
                  </w:r>
                </w:p>
              </w:tc>
              <w:tc>
                <w:tcPr>
                  <w:tcW w:w="1147" w:type="pct"/>
                  <w:tcBorders>
                    <w:top w:val="nil"/>
                    <w:left w:val="nil"/>
                    <w:bottom w:val="nil"/>
                    <w:right w:val="nil"/>
                  </w:tcBorders>
                  <w:shd w:val="clear" w:color="000000" w:fill="314364"/>
                  <w:vAlign w:val="center"/>
                  <w:hideMark/>
                </w:tcPr>
                <w:p w14:paraId="7923BE30" w14:textId="77777777" w:rsidR="000A00A3" w:rsidRPr="00B44ADE" w:rsidRDefault="000A00A3" w:rsidP="000A00A3">
                  <w:pPr>
                    <w:spacing w:after="0" w:line="240" w:lineRule="auto"/>
                    <w:jc w:val="right"/>
                    <w:rPr>
                      <w:rFonts w:eastAsia="Times New Roman" w:cs="Segoe UI"/>
                      <w:b/>
                      <w:bCs/>
                      <w:color w:val="FFFFFF"/>
                      <w:sz w:val="16"/>
                      <w:szCs w:val="16"/>
                      <w:lang w:eastAsia="sk-SK"/>
                    </w:rPr>
                  </w:pPr>
                  <w:r w:rsidRPr="00B44ADE">
                    <w:rPr>
                      <w:rFonts w:eastAsia="Times New Roman" w:cs="Segoe UI"/>
                      <w:b/>
                      <w:bCs/>
                      <w:color w:val="FFFFFF"/>
                      <w:sz w:val="16"/>
                      <w:szCs w:val="16"/>
                      <w:lang w:eastAsia="sk-SK"/>
                    </w:rPr>
                    <w:t>Pohľadávka na poistnom k 28. februáru 2023</w:t>
                  </w:r>
                </w:p>
              </w:tc>
            </w:tr>
            <w:tr w:rsidR="000A00A3" w:rsidRPr="00B44ADE" w14:paraId="4591EF35" w14:textId="77777777" w:rsidTr="00A930C7">
              <w:trPr>
                <w:trHeight w:val="20"/>
              </w:trPr>
              <w:tc>
                <w:tcPr>
                  <w:tcW w:w="3853" w:type="pct"/>
                  <w:tcBorders>
                    <w:top w:val="nil"/>
                    <w:left w:val="nil"/>
                    <w:bottom w:val="nil"/>
                    <w:right w:val="nil"/>
                  </w:tcBorders>
                  <w:shd w:val="clear" w:color="auto" w:fill="auto"/>
                  <w:noWrap/>
                  <w:vAlign w:val="bottom"/>
                  <w:hideMark/>
                </w:tcPr>
                <w:p w14:paraId="34846FFA"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Univerzitná nemocnica Bratislava</w:t>
                  </w:r>
                </w:p>
              </w:tc>
              <w:tc>
                <w:tcPr>
                  <w:tcW w:w="1147" w:type="pct"/>
                  <w:tcBorders>
                    <w:top w:val="nil"/>
                    <w:left w:val="nil"/>
                    <w:bottom w:val="nil"/>
                    <w:right w:val="nil"/>
                  </w:tcBorders>
                  <w:shd w:val="clear" w:color="auto" w:fill="auto"/>
                  <w:noWrap/>
                  <w:vAlign w:val="bottom"/>
                  <w:hideMark/>
                </w:tcPr>
                <w:p w14:paraId="57C89892"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75 900 118 </w:t>
                  </w:r>
                </w:p>
              </w:tc>
            </w:tr>
            <w:tr w:rsidR="000A00A3" w:rsidRPr="00B44ADE" w14:paraId="519E680F" w14:textId="77777777" w:rsidTr="00A930C7">
              <w:trPr>
                <w:trHeight w:val="20"/>
              </w:trPr>
              <w:tc>
                <w:tcPr>
                  <w:tcW w:w="3853" w:type="pct"/>
                  <w:tcBorders>
                    <w:top w:val="nil"/>
                    <w:left w:val="nil"/>
                    <w:bottom w:val="nil"/>
                    <w:right w:val="nil"/>
                  </w:tcBorders>
                  <w:shd w:val="clear" w:color="auto" w:fill="auto"/>
                  <w:noWrap/>
                  <w:vAlign w:val="bottom"/>
                  <w:hideMark/>
                </w:tcPr>
                <w:p w14:paraId="0A9299C0"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 xml:space="preserve">Univerzitná nemocnica L. </w:t>
                  </w:r>
                  <w:proofErr w:type="spellStart"/>
                  <w:r>
                    <w:rPr>
                      <w:rFonts w:cs="Segoe UI"/>
                      <w:color w:val="000000"/>
                      <w:sz w:val="18"/>
                      <w:szCs w:val="18"/>
                    </w:rPr>
                    <w:t>Pasteura</w:t>
                  </w:r>
                  <w:proofErr w:type="spellEnd"/>
                  <w:r>
                    <w:rPr>
                      <w:rFonts w:cs="Segoe UI"/>
                      <w:color w:val="000000"/>
                      <w:sz w:val="18"/>
                      <w:szCs w:val="18"/>
                    </w:rPr>
                    <w:t xml:space="preserve"> Košice</w:t>
                  </w:r>
                </w:p>
              </w:tc>
              <w:tc>
                <w:tcPr>
                  <w:tcW w:w="1147" w:type="pct"/>
                  <w:tcBorders>
                    <w:top w:val="nil"/>
                    <w:left w:val="nil"/>
                    <w:bottom w:val="nil"/>
                    <w:right w:val="nil"/>
                  </w:tcBorders>
                  <w:shd w:val="clear" w:color="auto" w:fill="auto"/>
                  <w:noWrap/>
                  <w:vAlign w:val="bottom"/>
                  <w:hideMark/>
                </w:tcPr>
                <w:p w14:paraId="352117E4"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36 492 872 </w:t>
                  </w:r>
                </w:p>
              </w:tc>
            </w:tr>
            <w:tr w:rsidR="000A00A3" w:rsidRPr="00B44ADE" w14:paraId="7856C8A6" w14:textId="77777777" w:rsidTr="00A930C7">
              <w:trPr>
                <w:trHeight w:val="20"/>
              </w:trPr>
              <w:tc>
                <w:tcPr>
                  <w:tcW w:w="3853" w:type="pct"/>
                  <w:tcBorders>
                    <w:top w:val="nil"/>
                    <w:left w:val="nil"/>
                    <w:bottom w:val="nil"/>
                    <w:right w:val="nil"/>
                  </w:tcBorders>
                  <w:shd w:val="clear" w:color="auto" w:fill="auto"/>
                  <w:noWrap/>
                  <w:vAlign w:val="bottom"/>
                  <w:hideMark/>
                </w:tcPr>
                <w:p w14:paraId="450AE64F"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Univerzitná nemocnica Martin</w:t>
                  </w:r>
                </w:p>
              </w:tc>
              <w:tc>
                <w:tcPr>
                  <w:tcW w:w="1147" w:type="pct"/>
                  <w:tcBorders>
                    <w:top w:val="nil"/>
                    <w:left w:val="nil"/>
                    <w:bottom w:val="nil"/>
                    <w:right w:val="nil"/>
                  </w:tcBorders>
                  <w:shd w:val="clear" w:color="auto" w:fill="auto"/>
                  <w:noWrap/>
                  <w:vAlign w:val="bottom"/>
                  <w:hideMark/>
                </w:tcPr>
                <w:p w14:paraId="4E323CE4"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29 091 259 </w:t>
                  </w:r>
                </w:p>
              </w:tc>
            </w:tr>
            <w:tr w:rsidR="000A00A3" w:rsidRPr="00B44ADE" w14:paraId="22F3411E" w14:textId="77777777" w:rsidTr="00A930C7">
              <w:trPr>
                <w:trHeight w:val="20"/>
              </w:trPr>
              <w:tc>
                <w:tcPr>
                  <w:tcW w:w="3853" w:type="pct"/>
                  <w:tcBorders>
                    <w:top w:val="nil"/>
                    <w:left w:val="nil"/>
                    <w:bottom w:val="nil"/>
                    <w:right w:val="nil"/>
                  </w:tcBorders>
                  <w:shd w:val="clear" w:color="auto" w:fill="auto"/>
                  <w:noWrap/>
                  <w:vAlign w:val="bottom"/>
                  <w:hideMark/>
                </w:tcPr>
                <w:p w14:paraId="345C6FA2"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Fakultná nemocnica s poliklinikou F. D. Roosevelta Banská Bystrica</w:t>
                  </w:r>
                </w:p>
              </w:tc>
              <w:tc>
                <w:tcPr>
                  <w:tcW w:w="1147" w:type="pct"/>
                  <w:tcBorders>
                    <w:top w:val="nil"/>
                    <w:left w:val="nil"/>
                    <w:bottom w:val="nil"/>
                    <w:right w:val="nil"/>
                  </w:tcBorders>
                  <w:shd w:val="clear" w:color="auto" w:fill="auto"/>
                  <w:noWrap/>
                  <w:vAlign w:val="bottom"/>
                  <w:hideMark/>
                </w:tcPr>
                <w:p w14:paraId="59335FE9"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23 727 237 </w:t>
                  </w:r>
                </w:p>
              </w:tc>
            </w:tr>
            <w:tr w:rsidR="000A00A3" w:rsidRPr="00B44ADE" w14:paraId="37A3DFCA" w14:textId="77777777" w:rsidTr="00A930C7">
              <w:trPr>
                <w:trHeight w:val="20"/>
              </w:trPr>
              <w:tc>
                <w:tcPr>
                  <w:tcW w:w="3853" w:type="pct"/>
                  <w:tcBorders>
                    <w:top w:val="nil"/>
                    <w:left w:val="nil"/>
                    <w:bottom w:val="nil"/>
                    <w:right w:val="nil"/>
                  </w:tcBorders>
                  <w:shd w:val="clear" w:color="auto" w:fill="auto"/>
                  <w:noWrap/>
                  <w:vAlign w:val="bottom"/>
                  <w:hideMark/>
                </w:tcPr>
                <w:p w14:paraId="6915DCB6"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Národný ústav detských chorôb Bratislava</w:t>
                  </w:r>
                </w:p>
              </w:tc>
              <w:tc>
                <w:tcPr>
                  <w:tcW w:w="1147" w:type="pct"/>
                  <w:tcBorders>
                    <w:top w:val="nil"/>
                    <w:left w:val="nil"/>
                    <w:bottom w:val="nil"/>
                    <w:right w:val="nil"/>
                  </w:tcBorders>
                  <w:shd w:val="clear" w:color="auto" w:fill="auto"/>
                  <w:noWrap/>
                  <w:vAlign w:val="bottom"/>
                  <w:hideMark/>
                </w:tcPr>
                <w:p w14:paraId="06C11088"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17 984 616 </w:t>
                  </w:r>
                </w:p>
              </w:tc>
            </w:tr>
            <w:tr w:rsidR="000A00A3" w:rsidRPr="00B44ADE" w14:paraId="5531F63A" w14:textId="77777777" w:rsidTr="00A930C7">
              <w:trPr>
                <w:trHeight w:val="20"/>
              </w:trPr>
              <w:tc>
                <w:tcPr>
                  <w:tcW w:w="3853" w:type="pct"/>
                  <w:tcBorders>
                    <w:top w:val="nil"/>
                    <w:left w:val="nil"/>
                    <w:bottom w:val="nil"/>
                    <w:right w:val="nil"/>
                  </w:tcBorders>
                  <w:shd w:val="clear" w:color="auto" w:fill="auto"/>
                  <w:noWrap/>
                  <w:vAlign w:val="bottom"/>
                  <w:hideMark/>
                </w:tcPr>
                <w:p w14:paraId="24CD0C92"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 xml:space="preserve">Ústredná vojenská nemocnica SNP Ružomberok </w:t>
                  </w:r>
                </w:p>
              </w:tc>
              <w:tc>
                <w:tcPr>
                  <w:tcW w:w="1147" w:type="pct"/>
                  <w:tcBorders>
                    <w:top w:val="nil"/>
                    <w:left w:val="nil"/>
                    <w:bottom w:val="nil"/>
                    <w:right w:val="nil"/>
                  </w:tcBorders>
                  <w:shd w:val="clear" w:color="auto" w:fill="auto"/>
                  <w:noWrap/>
                  <w:vAlign w:val="bottom"/>
                  <w:hideMark/>
                </w:tcPr>
                <w:p w14:paraId="6967FBC0"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15 300 466 </w:t>
                  </w:r>
                </w:p>
              </w:tc>
            </w:tr>
            <w:tr w:rsidR="000A00A3" w:rsidRPr="00B44ADE" w14:paraId="14B2F7F7" w14:textId="77777777" w:rsidTr="00A930C7">
              <w:trPr>
                <w:trHeight w:val="20"/>
              </w:trPr>
              <w:tc>
                <w:tcPr>
                  <w:tcW w:w="3853" w:type="pct"/>
                  <w:tcBorders>
                    <w:top w:val="nil"/>
                    <w:left w:val="nil"/>
                    <w:bottom w:val="nil"/>
                    <w:right w:val="nil"/>
                  </w:tcBorders>
                  <w:shd w:val="clear" w:color="auto" w:fill="auto"/>
                  <w:noWrap/>
                  <w:vAlign w:val="bottom"/>
                  <w:hideMark/>
                </w:tcPr>
                <w:p w14:paraId="78BFE41C"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Fakultná nemocnica Trnava</w:t>
                  </w:r>
                </w:p>
              </w:tc>
              <w:tc>
                <w:tcPr>
                  <w:tcW w:w="1147" w:type="pct"/>
                  <w:tcBorders>
                    <w:top w:val="nil"/>
                    <w:left w:val="nil"/>
                    <w:bottom w:val="nil"/>
                    <w:right w:val="nil"/>
                  </w:tcBorders>
                  <w:shd w:val="clear" w:color="auto" w:fill="auto"/>
                  <w:noWrap/>
                  <w:vAlign w:val="bottom"/>
                  <w:hideMark/>
                </w:tcPr>
                <w:p w14:paraId="749F0C97"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12 025 984 </w:t>
                  </w:r>
                </w:p>
              </w:tc>
            </w:tr>
            <w:tr w:rsidR="000A00A3" w:rsidRPr="00B44ADE" w14:paraId="68BE00FE" w14:textId="77777777" w:rsidTr="00A930C7">
              <w:trPr>
                <w:trHeight w:val="20"/>
              </w:trPr>
              <w:tc>
                <w:tcPr>
                  <w:tcW w:w="3853" w:type="pct"/>
                  <w:tcBorders>
                    <w:top w:val="nil"/>
                    <w:left w:val="nil"/>
                    <w:bottom w:val="nil"/>
                    <w:right w:val="nil"/>
                  </w:tcBorders>
                  <w:shd w:val="clear" w:color="auto" w:fill="auto"/>
                  <w:noWrap/>
                  <w:vAlign w:val="bottom"/>
                  <w:hideMark/>
                </w:tcPr>
                <w:p w14:paraId="30DF82FE"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Nemocnica s poliklinikou Prievidza so sídlom v Bojniciach</w:t>
                  </w:r>
                </w:p>
              </w:tc>
              <w:tc>
                <w:tcPr>
                  <w:tcW w:w="1147" w:type="pct"/>
                  <w:tcBorders>
                    <w:top w:val="nil"/>
                    <w:left w:val="nil"/>
                    <w:bottom w:val="nil"/>
                    <w:right w:val="nil"/>
                  </w:tcBorders>
                  <w:shd w:val="clear" w:color="auto" w:fill="auto"/>
                  <w:noWrap/>
                  <w:vAlign w:val="bottom"/>
                  <w:hideMark/>
                </w:tcPr>
                <w:p w14:paraId="09B10FF6"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11 346 986 </w:t>
                  </w:r>
                </w:p>
              </w:tc>
            </w:tr>
            <w:tr w:rsidR="000A00A3" w:rsidRPr="00B44ADE" w14:paraId="2298271E" w14:textId="77777777" w:rsidTr="00A930C7">
              <w:trPr>
                <w:trHeight w:val="20"/>
              </w:trPr>
              <w:tc>
                <w:tcPr>
                  <w:tcW w:w="3853" w:type="pct"/>
                  <w:tcBorders>
                    <w:top w:val="nil"/>
                    <w:left w:val="nil"/>
                    <w:bottom w:val="nil"/>
                    <w:right w:val="nil"/>
                  </w:tcBorders>
                  <w:shd w:val="clear" w:color="auto" w:fill="auto"/>
                  <w:noWrap/>
                  <w:vAlign w:val="bottom"/>
                  <w:hideMark/>
                </w:tcPr>
                <w:p w14:paraId="5C390C0E"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Nemocnica s poliklinikou v Považskej Bystrici</w:t>
                  </w:r>
                </w:p>
              </w:tc>
              <w:tc>
                <w:tcPr>
                  <w:tcW w:w="1147" w:type="pct"/>
                  <w:tcBorders>
                    <w:top w:val="nil"/>
                    <w:left w:val="nil"/>
                    <w:bottom w:val="nil"/>
                    <w:right w:val="nil"/>
                  </w:tcBorders>
                  <w:shd w:val="clear" w:color="auto" w:fill="auto"/>
                  <w:noWrap/>
                  <w:vAlign w:val="bottom"/>
                  <w:hideMark/>
                </w:tcPr>
                <w:p w14:paraId="139051A0"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9 170 217 </w:t>
                  </w:r>
                </w:p>
              </w:tc>
            </w:tr>
            <w:tr w:rsidR="000A00A3" w:rsidRPr="00B44ADE" w14:paraId="23A46279" w14:textId="77777777" w:rsidTr="00A930C7">
              <w:trPr>
                <w:trHeight w:val="20"/>
              </w:trPr>
              <w:tc>
                <w:tcPr>
                  <w:tcW w:w="3853" w:type="pct"/>
                  <w:tcBorders>
                    <w:top w:val="nil"/>
                    <w:left w:val="nil"/>
                    <w:bottom w:val="nil"/>
                    <w:right w:val="nil"/>
                  </w:tcBorders>
                  <w:shd w:val="clear" w:color="auto" w:fill="auto"/>
                  <w:noWrap/>
                  <w:vAlign w:val="bottom"/>
                  <w:hideMark/>
                </w:tcPr>
                <w:p w14:paraId="42216205"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Národná transfúzna služba SR, Bratislava</w:t>
                  </w:r>
                </w:p>
              </w:tc>
              <w:tc>
                <w:tcPr>
                  <w:tcW w:w="1147" w:type="pct"/>
                  <w:tcBorders>
                    <w:top w:val="nil"/>
                    <w:left w:val="nil"/>
                    <w:bottom w:val="nil"/>
                    <w:right w:val="nil"/>
                  </w:tcBorders>
                  <w:shd w:val="clear" w:color="auto" w:fill="auto"/>
                  <w:noWrap/>
                  <w:vAlign w:val="bottom"/>
                  <w:hideMark/>
                </w:tcPr>
                <w:p w14:paraId="15BA3588"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8 942 108 </w:t>
                  </w:r>
                </w:p>
              </w:tc>
            </w:tr>
            <w:tr w:rsidR="000A00A3" w:rsidRPr="00B44ADE" w14:paraId="76D61B27" w14:textId="77777777" w:rsidTr="00A930C7">
              <w:trPr>
                <w:trHeight w:val="20"/>
              </w:trPr>
              <w:tc>
                <w:tcPr>
                  <w:tcW w:w="3853" w:type="pct"/>
                  <w:tcBorders>
                    <w:top w:val="nil"/>
                    <w:left w:val="nil"/>
                    <w:bottom w:val="nil"/>
                    <w:right w:val="nil"/>
                  </w:tcBorders>
                  <w:shd w:val="clear" w:color="auto" w:fill="auto"/>
                  <w:noWrap/>
                  <w:vAlign w:val="bottom"/>
                  <w:hideMark/>
                </w:tcPr>
                <w:p w14:paraId="74627B0B"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Fakultná nemocnica s poliklinikou Žilina</w:t>
                  </w:r>
                </w:p>
              </w:tc>
              <w:tc>
                <w:tcPr>
                  <w:tcW w:w="1147" w:type="pct"/>
                  <w:tcBorders>
                    <w:top w:val="nil"/>
                    <w:left w:val="nil"/>
                    <w:bottom w:val="nil"/>
                    <w:right w:val="nil"/>
                  </w:tcBorders>
                  <w:shd w:val="clear" w:color="auto" w:fill="auto"/>
                  <w:noWrap/>
                  <w:vAlign w:val="bottom"/>
                  <w:hideMark/>
                </w:tcPr>
                <w:p w14:paraId="011752F4"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6 144 774 </w:t>
                  </w:r>
                </w:p>
              </w:tc>
            </w:tr>
            <w:tr w:rsidR="000A00A3" w:rsidRPr="00B44ADE" w14:paraId="2DB6218D" w14:textId="77777777" w:rsidTr="00A930C7">
              <w:trPr>
                <w:trHeight w:val="20"/>
              </w:trPr>
              <w:tc>
                <w:tcPr>
                  <w:tcW w:w="3853" w:type="pct"/>
                  <w:tcBorders>
                    <w:top w:val="nil"/>
                    <w:left w:val="nil"/>
                    <w:bottom w:val="nil"/>
                    <w:right w:val="nil"/>
                  </w:tcBorders>
                  <w:shd w:val="clear" w:color="auto" w:fill="auto"/>
                  <w:noWrap/>
                  <w:vAlign w:val="bottom"/>
                  <w:hideMark/>
                </w:tcPr>
                <w:p w14:paraId="0EDC9012"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 xml:space="preserve">Fakultná nemocnica J. A. </w:t>
                  </w:r>
                  <w:proofErr w:type="spellStart"/>
                  <w:r>
                    <w:rPr>
                      <w:rFonts w:cs="Segoe UI"/>
                      <w:color w:val="000000"/>
                      <w:sz w:val="18"/>
                      <w:szCs w:val="18"/>
                    </w:rPr>
                    <w:t>Reimana</w:t>
                  </w:r>
                  <w:proofErr w:type="spellEnd"/>
                  <w:r>
                    <w:rPr>
                      <w:rFonts w:cs="Segoe UI"/>
                      <w:color w:val="000000"/>
                      <w:sz w:val="18"/>
                      <w:szCs w:val="18"/>
                    </w:rPr>
                    <w:t xml:space="preserve"> Prešov</w:t>
                  </w:r>
                </w:p>
              </w:tc>
              <w:tc>
                <w:tcPr>
                  <w:tcW w:w="1147" w:type="pct"/>
                  <w:tcBorders>
                    <w:top w:val="nil"/>
                    <w:left w:val="nil"/>
                    <w:bottom w:val="nil"/>
                    <w:right w:val="nil"/>
                  </w:tcBorders>
                  <w:shd w:val="clear" w:color="auto" w:fill="auto"/>
                  <w:noWrap/>
                  <w:vAlign w:val="bottom"/>
                  <w:hideMark/>
                </w:tcPr>
                <w:p w14:paraId="3E8FCCF1"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3 566 379 </w:t>
                  </w:r>
                </w:p>
              </w:tc>
            </w:tr>
            <w:tr w:rsidR="000A00A3" w:rsidRPr="00B44ADE" w14:paraId="14A4F2E1" w14:textId="77777777" w:rsidTr="00A930C7">
              <w:trPr>
                <w:trHeight w:val="20"/>
              </w:trPr>
              <w:tc>
                <w:tcPr>
                  <w:tcW w:w="3853" w:type="pct"/>
                  <w:tcBorders>
                    <w:top w:val="nil"/>
                    <w:left w:val="nil"/>
                    <w:bottom w:val="nil"/>
                    <w:right w:val="nil"/>
                  </w:tcBorders>
                  <w:shd w:val="clear" w:color="auto" w:fill="auto"/>
                  <w:noWrap/>
                  <w:vAlign w:val="bottom"/>
                  <w:hideMark/>
                </w:tcPr>
                <w:p w14:paraId="3F31FC8F"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 xml:space="preserve">Nemocnica s poliklinikou Nové Mesto nad Váhom, </w:t>
                  </w:r>
                  <w:proofErr w:type="spellStart"/>
                  <w:r>
                    <w:rPr>
                      <w:rFonts w:cs="Segoe UI"/>
                      <w:color w:val="000000"/>
                      <w:sz w:val="18"/>
                      <w:szCs w:val="18"/>
                    </w:rPr>
                    <w:t>n.o</w:t>
                  </w:r>
                  <w:proofErr w:type="spellEnd"/>
                  <w:r>
                    <w:rPr>
                      <w:rFonts w:cs="Segoe UI"/>
                      <w:color w:val="000000"/>
                      <w:sz w:val="18"/>
                      <w:szCs w:val="18"/>
                    </w:rPr>
                    <w:t>.</w:t>
                  </w:r>
                </w:p>
              </w:tc>
              <w:tc>
                <w:tcPr>
                  <w:tcW w:w="1147" w:type="pct"/>
                  <w:tcBorders>
                    <w:top w:val="nil"/>
                    <w:left w:val="nil"/>
                    <w:bottom w:val="nil"/>
                    <w:right w:val="nil"/>
                  </w:tcBorders>
                  <w:shd w:val="clear" w:color="auto" w:fill="auto"/>
                  <w:noWrap/>
                  <w:vAlign w:val="bottom"/>
                  <w:hideMark/>
                </w:tcPr>
                <w:p w14:paraId="7BB2C7B9"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2 501 142 </w:t>
                  </w:r>
                </w:p>
              </w:tc>
            </w:tr>
            <w:tr w:rsidR="000A00A3" w:rsidRPr="00B44ADE" w14:paraId="21E87419" w14:textId="77777777" w:rsidTr="00A930C7">
              <w:trPr>
                <w:trHeight w:val="20"/>
              </w:trPr>
              <w:tc>
                <w:tcPr>
                  <w:tcW w:w="3853" w:type="pct"/>
                  <w:tcBorders>
                    <w:top w:val="nil"/>
                    <w:left w:val="nil"/>
                    <w:bottom w:val="nil"/>
                    <w:right w:val="nil"/>
                  </w:tcBorders>
                  <w:shd w:val="clear" w:color="auto" w:fill="auto"/>
                  <w:noWrap/>
                  <w:vAlign w:val="bottom"/>
                  <w:hideMark/>
                </w:tcPr>
                <w:p w14:paraId="17066028"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Fakultná nemocnica s poliklinikou Nové Zámky</w:t>
                  </w:r>
                </w:p>
              </w:tc>
              <w:tc>
                <w:tcPr>
                  <w:tcW w:w="1147" w:type="pct"/>
                  <w:tcBorders>
                    <w:top w:val="nil"/>
                    <w:left w:val="nil"/>
                    <w:bottom w:val="nil"/>
                    <w:right w:val="nil"/>
                  </w:tcBorders>
                  <w:shd w:val="clear" w:color="auto" w:fill="auto"/>
                  <w:noWrap/>
                  <w:vAlign w:val="bottom"/>
                  <w:hideMark/>
                </w:tcPr>
                <w:p w14:paraId="6AA39DC5"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1 975 525 </w:t>
                  </w:r>
                </w:p>
              </w:tc>
            </w:tr>
            <w:tr w:rsidR="000A00A3" w:rsidRPr="00B44ADE" w14:paraId="01816558" w14:textId="77777777" w:rsidTr="00A930C7">
              <w:trPr>
                <w:trHeight w:val="20"/>
              </w:trPr>
              <w:tc>
                <w:tcPr>
                  <w:tcW w:w="3853" w:type="pct"/>
                  <w:tcBorders>
                    <w:top w:val="nil"/>
                    <w:left w:val="nil"/>
                    <w:bottom w:val="nil"/>
                    <w:right w:val="nil"/>
                  </w:tcBorders>
                  <w:shd w:val="clear" w:color="auto" w:fill="auto"/>
                  <w:noWrap/>
                  <w:vAlign w:val="bottom"/>
                  <w:hideMark/>
                </w:tcPr>
                <w:p w14:paraId="6DBA9B47"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Záchranná zdravotná služba Bratislava</w:t>
                  </w:r>
                </w:p>
              </w:tc>
              <w:tc>
                <w:tcPr>
                  <w:tcW w:w="1147" w:type="pct"/>
                  <w:tcBorders>
                    <w:top w:val="nil"/>
                    <w:left w:val="nil"/>
                    <w:bottom w:val="nil"/>
                    <w:right w:val="nil"/>
                  </w:tcBorders>
                  <w:shd w:val="clear" w:color="auto" w:fill="auto"/>
                  <w:noWrap/>
                  <w:vAlign w:val="bottom"/>
                  <w:hideMark/>
                </w:tcPr>
                <w:p w14:paraId="2AE3D57A"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1 580 998 </w:t>
                  </w:r>
                </w:p>
              </w:tc>
            </w:tr>
            <w:tr w:rsidR="000A00A3" w:rsidRPr="00B44ADE" w14:paraId="72532E29" w14:textId="77777777" w:rsidTr="00A930C7">
              <w:trPr>
                <w:trHeight w:val="20"/>
              </w:trPr>
              <w:tc>
                <w:tcPr>
                  <w:tcW w:w="3853" w:type="pct"/>
                  <w:tcBorders>
                    <w:top w:val="nil"/>
                    <w:left w:val="nil"/>
                    <w:bottom w:val="nil"/>
                    <w:right w:val="nil"/>
                  </w:tcBorders>
                  <w:shd w:val="clear" w:color="auto" w:fill="auto"/>
                  <w:noWrap/>
                  <w:vAlign w:val="bottom"/>
                  <w:hideMark/>
                </w:tcPr>
                <w:p w14:paraId="5C198109"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Fakultná nemocnica Nitra</w:t>
                  </w:r>
                </w:p>
              </w:tc>
              <w:tc>
                <w:tcPr>
                  <w:tcW w:w="1147" w:type="pct"/>
                  <w:tcBorders>
                    <w:top w:val="nil"/>
                    <w:left w:val="nil"/>
                    <w:bottom w:val="nil"/>
                    <w:right w:val="nil"/>
                  </w:tcBorders>
                  <w:shd w:val="clear" w:color="auto" w:fill="auto"/>
                  <w:noWrap/>
                  <w:vAlign w:val="bottom"/>
                  <w:hideMark/>
                </w:tcPr>
                <w:p w14:paraId="59782C95"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817 487 </w:t>
                  </w:r>
                </w:p>
              </w:tc>
            </w:tr>
            <w:tr w:rsidR="000A00A3" w:rsidRPr="00B44ADE" w14:paraId="7AB6189D" w14:textId="77777777" w:rsidTr="00A930C7">
              <w:trPr>
                <w:trHeight w:val="20"/>
              </w:trPr>
              <w:tc>
                <w:tcPr>
                  <w:tcW w:w="3853" w:type="pct"/>
                  <w:tcBorders>
                    <w:top w:val="nil"/>
                    <w:left w:val="nil"/>
                    <w:bottom w:val="nil"/>
                    <w:right w:val="nil"/>
                  </w:tcBorders>
                  <w:shd w:val="clear" w:color="auto" w:fill="auto"/>
                  <w:noWrap/>
                  <w:vAlign w:val="bottom"/>
                  <w:hideMark/>
                </w:tcPr>
                <w:p w14:paraId="7C1ED985"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Detská fakultná nemocnica Košice</w:t>
                  </w:r>
                </w:p>
              </w:tc>
              <w:tc>
                <w:tcPr>
                  <w:tcW w:w="1147" w:type="pct"/>
                  <w:tcBorders>
                    <w:top w:val="nil"/>
                    <w:left w:val="nil"/>
                    <w:bottom w:val="nil"/>
                    <w:right w:val="nil"/>
                  </w:tcBorders>
                  <w:shd w:val="clear" w:color="auto" w:fill="auto"/>
                  <w:noWrap/>
                  <w:vAlign w:val="bottom"/>
                  <w:hideMark/>
                </w:tcPr>
                <w:p w14:paraId="468BC29F"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665 966 </w:t>
                  </w:r>
                </w:p>
              </w:tc>
            </w:tr>
            <w:tr w:rsidR="000A00A3" w:rsidRPr="00B44ADE" w14:paraId="530168CC" w14:textId="77777777" w:rsidTr="00A930C7">
              <w:trPr>
                <w:trHeight w:val="20"/>
              </w:trPr>
              <w:tc>
                <w:tcPr>
                  <w:tcW w:w="3853" w:type="pct"/>
                  <w:tcBorders>
                    <w:top w:val="nil"/>
                    <w:left w:val="nil"/>
                    <w:bottom w:val="nil"/>
                    <w:right w:val="nil"/>
                  </w:tcBorders>
                  <w:shd w:val="clear" w:color="auto" w:fill="auto"/>
                  <w:noWrap/>
                  <w:vAlign w:val="bottom"/>
                  <w:hideMark/>
                </w:tcPr>
                <w:p w14:paraId="36DB2A7C"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 xml:space="preserve">Nemocnica s poliklinikou Ilava, </w:t>
                  </w:r>
                  <w:proofErr w:type="spellStart"/>
                  <w:r>
                    <w:rPr>
                      <w:rFonts w:cs="Segoe UI"/>
                      <w:color w:val="000000"/>
                      <w:sz w:val="18"/>
                      <w:szCs w:val="18"/>
                    </w:rPr>
                    <w:t>n.o</w:t>
                  </w:r>
                  <w:proofErr w:type="spellEnd"/>
                  <w:r>
                    <w:rPr>
                      <w:rFonts w:cs="Segoe UI"/>
                      <w:color w:val="000000"/>
                      <w:sz w:val="18"/>
                      <w:szCs w:val="18"/>
                    </w:rPr>
                    <w:t>.</w:t>
                  </w:r>
                </w:p>
              </w:tc>
              <w:tc>
                <w:tcPr>
                  <w:tcW w:w="1147" w:type="pct"/>
                  <w:tcBorders>
                    <w:top w:val="nil"/>
                    <w:left w:val="nil"/>
                    <w:bottom w:val="nil"/>
                    <w:right w:val="nil"/>
                  </w:tcBorders>
                  <w:shd w:val="clear" w:color="auto" w:fill="auto"/>
                  <w:noWrap/>
                  <w:vAlign w:val="bottom"/>
                  <w:hideMark/>
                </w:tcPr>
                <w:p w14:paraId="10F99CCF"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465 222 </w:t>
                  </w:r>
                </w:p>
              </w:tc>
            </w:tr>
            <w:tr w:rsidR="000A00A3" w:rsidRPr="00B44ADE" w14:paraId="57D79621" w14:textId="77777777" w:rsidTr="00A930C7">
              <w:trPr>
                <w:trHeight w:val="20"/>
              </w:trPr>
              <w:tc>
                <w:tcPr>
                  <w:tcW w:w="3853" w:type="pct"/>
                  <w:tcBorders>
                    <w:top w:val="nil"/>
                    <w:left w:val="nil"/>
                    <w:bottom w:val="nil"/>
                    <w:right w:val="nil"/>
                  </w:tcBorders>
                  <w:shd w:val="clear" w:color="auto" w:fill="auto"/>
                  <w:noWrap/>
                  <w:vAlign w:val="bottom"/>
                  <w:hideMark/>
                </w:tcPr>
                <w:p w14:paraId="781E2B67"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Nemocnica s poliklinikou Myjava</w:t>
                  </w:r>
                </w:p>
              </w:tc>
              <w:tc>
                <w:tcPr>
                  <w:tcW w:w="1147" w:type="pct"/>
                  <w:tcBorders>
                    <w:top w:val="nil"/>
                    <w:left w:val="nil"/>
                    <w:bottom w:val="nil"/>
                    <w:right w:val="nil"/>
                  </w:tcBorders>
                  <w:shd w:val="clear" w:color="auto" w:fill="auto"/>
                  <w:noWrap/>
                  <w:vAlign w:val="bottom"/>
                  <w:hideMark/>
                </w:tcPr>
                <w:p w14:paraId="387411B1"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109 593 </w:t>
                  </w:r>
                </w:p>
              </w:tc>
            </w:tr>
            <w:tr w:rsidR="000A00A3" w:rsidRPr="00B44ADE" w14:paraId="0418B5A4" w14:textId="77777777" w:rsidTr="00A930C7">
              <w:trPr>
                <w:trHeight w:val="20"/>
              </w:trPr>
              <w:tc>
                <w:tcPr>
                  <w:tcW w:w="3853" w:type="pct"/>
                  <w:tcBorders>
                    <w:top w:val="nil"/>
                    <w:left w:val="nil"/>
                    <w:bottom w:val="nil"/>
                    <w:right w:val="nil"/>
                  </w:tcBorders>
                  <w:shd w:val="clear" w:color="auto" w:fill="auto"/>
                  <w:noWrap/>
                  <w:vAlign w:val="bottom"/>
                  <w:hideMark/>
                </w:tcPr>
                <w:p w14:paraId="04A7603C" w14:textId="77777777" w:rsidR="000A00A3" w:rsidRPr="00B44ADE" w:rsidRDefault="000A00A3" w:rsidP="000A00A3">
                  <w:pPr>
                    <w:spacing w:after="0" w:line="240" w:lineRule="auto"/>
                    <w:jc w:val="left"/>
                    <w:rPr>
                      <w:rFonts w:eastAsia="Times New Roman" w:cs="Segoe UI"/>
                      <w:color w:val="000000"/>
                      <w:sz w:val="16"/>
                      <w:szCs w:val="16"/>
                      <w:lang w:eastAsia="sk-SK"/>
                    </w:rPr>
                  </w:pPr>
                  <w:r>
                    <w:rPr>
                      <w:rFonts w:cs="Segoe UI"/>
                      <w:color w:val="000000"/>
                      <w:sz w:val="18"/>
                      <w:szCs w:val="18"/>
                    </w:rPr>
                    <w:t>Liečebňa pre dlhodobo chorých Štiavnička</w:t>
                  </w:r>
                </w:p>
              </w:tc>
              <w:tc>
                <w:tcPr>
                  <w:tcW w:w="1147" w:type="pct"/>
                  <w:tcBorders>
                    <w:top w:val="nil"/>
                    <w:left w:val="nil"/>
                    <w:bottom w:val="nil"/>
                    <w:right w:val="nil"/>
                  </w:tcBorders>
                  <w:shd w:val="clear" w:color="auto" w:fill="auto"/>
                  <w:noWrap/>
                  <w:vAlign w:val="bottom"/>
                  <w:hideMark/>
                </w:tcPr>
                <w:p w14:paraId="24239505" w14:textId="77777777" w:rsidR="000A00A3" w:rsidRPr="00B44ADE" w:rsidRDefault="000A00A3" w:rsidP="000A00A3">
                  <w:pPr>
                    <w:spacing w:after="0" w:line="240" w:lineRule="auto"/>
                    <w:jc w:val="right"/>
                    <w:rPr>
                      <w:rFonts w:eastAsia="Times New Roman" w:cs="Segoe UI"/>
                      <w:color w:val="000000"/>
                      <w:sz w:val="16"/>
                      <w:szCs w:val="16"/>
                      <w:lang w:eastAsia="sk-SK"/>
                    </w:rPr>
                  </w:pPr>
                  <w:r>
                    <w:rPr>
                      <w:rFonts w:cs="Segoe UI"/>
                      <w:color w:val="000000"/>
                      <w:sz w:val="18"/>
                      <w:szCs w:val="18"/>
                    </w:rPr>
                    <w:t xml:space="preserve">53 938 </w:t>
                  </w:r>
                </w:p>
              </w:tc>
            </w:tr>
            <w:tr w:rsidR="000A00A3" w:rsidRPr="00B44ADE" w14:paraId="17FB234C" w14:textId="77777777" w:rsidTr="00A930C7">
              <w:trPr>
                <w:trHeight w:val="20"/>
              </w:trPr>
              <w:tc>
                <w:tcPr>
                  <w:tcW w:w="3853" w:type="pct"/>
                  <w:tcBorders>
                    <w:top w:val="nil"/>
                    <w:left w:val="nil"/>
                    <w:bottom w:val="single" w:sz="4" w:space="0" w:color="auto"/>
                    <w:right w:val="nil"/>
                  </w:tcBorders>
                  <w:shd w:val="clear" w:color="auto" w:fill="auto"/>
                  <w:noWrap/>
                  <w:vAlign w:val="bottom"/>
                  <w:hideMark/>
                </w:tcPr>
                <w:p w14:paraId="42FCF95E" w14:textId="77777777" w:rsidR="000A00A3" w:rsidRPr="00B44ADE" w:rsidRDefault="000A00A3" w:rsidP="000A00A3">
                  <w:pPr>
                    <w:spacing w:after="0" w:line="240" w:lineRule="auto"/>
                    <w:jc w:val="left"/>
                    <w:rPr>
                      <w:rFonts w:eastAsia="Times New Roman" w:cs="Segoe UI"/>
                      <w:b/>
                      <w:bCs/>
                      <w:color w:val="000000"/>
                      <w:sz w:val="16"/>
                      <w:szCs w:val="16"/>
                      <w:lang w:eastAsia="sk-SK"/>
                    </w:rPr>
                  </w:pPr>
                  <w:r>
                    <w:rPr>
                      <w:rFonts w:cs="Segoe UI"/>
                      <w:b/>
                      <w:bCs/>
                      <w:color w:val="000000"/>
                      <w:sz w:val="18"/>
                      <w:szCs w:val="18"/>
                    </w:rPr>
                    <w:t>SPOLU</w:t>
                  </w:r>
                </w:p>
              </w:tc>
              <w:tc>
                <w:tcPr>
                  <w:tcW w:w="1147" w:type="pct"/>
                  <w:tcBorders>
                    <w:top w:val="nil"/>
                    <w:left w:val="nil"/>
                    <w:bottom w:val="single" w:sz="4" w:space="0" w:color="auto"/>
                    <w:right w:val="nil"/>
                  </w:tcBorders>
                  <w:shd w:val="clear" w:color="auto" w:fill="auto"/>
                  <w:noWrap/>
                  <w:vAlign w:val="bottom"/>
                  <w:hideMark/>
                </w:tcPr>
                <w:p w14:paraId="7DF76C1A" w14:textId="77777777" w:rsidR="000A00A3" w:rsidRPr="00B44ADE" w:rsidRDefault="000A00A3" w:rsidP="000A00A3">
                  <w:pPr>
                    <w:spacing w:after="0" w:line="240" w:lineRule="auto"/>
                    <w:jc w:val="right"/>
                    <w:rPr>
                      <w:rFonts w:eastAsia="Times New Roman" w:cs="Segoe UI"/>
                      <w:b/>
                      <w:bCs/>
                      <w:color w:val="000000"/>
                      <w:sz w:val="16"/>
                      <w:szCs w:val="16"/>
                      <w:lang w:eastAsia="sk-SK"/>
                    </w:rPr>
                  </w:pPr>
                  <w:r>
                    <w:rPr>
                      <w:rFonts w:cs="Segoe UI"/>
                      <w:b/>
                      <w:bCs/>
                      <w:color w:val="000000"/>
                      <w:sz w:val="18"/>
                      <w:szCs w:val="18"/>
                    </w:rPr>
                    <w:t xml:space="preserve">257 862 885 </w:t>
                  </w:r>
                </w:p>
              </w:tc>
            </w:tr>
            <w:tr w:rsidR="000A00A3" w:rsidRPr="00B44ADE" w14:paraId="3B05E232" w14:textId="77777777" w:rsidTr="00A930C7">
              <w:trPr>
                <w:trHeight w:val="20"/>
              </w:trPr>
              <w:tc>
                <w:tcPr>
                  <w:tcW w:w="3853" w:type="pct"/>
                  <w:tcBorders>
                    <w:top w:val="nil"/>
                    <w:left w:val="nil"/>
                    <w:bottom w:val="nil"/>
                    <w:right w:val="nil"/>
                  </w:tcBorders>
                  <w:shd w:val="clear" w:color="auto" w:fill="auto"/>
                  <w:noWrap/>
                  <w:vAlign w:val="bottom"/>
                  <w:hideMark/>
                </w:tcPr>
                <w:p w14:paraId="1885EC36" w14:textId="3EF6196E" w:rsidR="000A00A3" w:rsidRPr="00B44ADE" w:rsidRDefault="000A00A3" w:rsidP="000A00A3">
                  <w:pPr>
                    <w:pStyle w:val="Zdroj"/>
                    <w:rPr>
                      <w:lang w:eastAsia="sk-SK"/>
                    </w:rPr>
                  </w:pPr>
                  <w:r w:rsidRPr="00B44ADE">
                    <w:rPr>
                      <w:lang w:eastAsia="sk-SK"/>
                    </w:rPr>
                    <w:t>Zdroj: SP</w:t>
                  </w:r>
                  <w:r>
                    <w:rPr>
                      <w:lang w:eastAsia="sk-SK"/>
                    </w:rPr>
                    <w:t>.</w:t>
                  </w:r>
                </w:p>
              </w:tc>
              <w:tc>
                <w:tcPr>
                  <w:tcW w:w="1147" w:type="pct"/>
                  <w:tcBorders>
                    <w:top w:val="nil"/>
                    <w:left w:val="nil"/>
                    <w:bottom w:val="nil"/>
                    <w:right w:val="nil"/>
                  </w:tcBorders>
                  <w:shd w:val="clear" w:color="auto" w:fill="auto"/>
                  <w:noWrap/>
                  <w:vAlign w:val="bottom"/>
                  <w:hideMark/>
                </w:tcPr>
                <w:p w14:paraId="64C37FAC" w14:textId="77777777" w:rsidR="000A00A3" w:rsidRPr="00B44ADE" w:rsidRDefault="000A00A3" w:rsidP="000A00A3">
                  <w:pPr>
                    <w:spacing w:after="0" w:line="240" w:lineRule="auto"/>
                    <w:jc w:val="left"/>
                    <w:rPr>
                      <w:rFonts w:eastAsia="Times New Roman" w:cs="Segoe UI"/>
                      <w:i/>
                      <w:iCs/>
                      <w:color w:val="000000"/>
                      <w:sz w:val="16"/>
                      <w:szCs w:val="16"/>
                      <w:lang w:eastAsia="sk-SK"/>
                    </w:rPr>
                  </w:pPr>
                </w:p>
              </w:tc>
            </w:tr>
          </w:tbl>
          <w:p w14:paraId="4122EC0B" w14:textId="77777777" w:rsidR="007731C0" w:rsidRPr="0090004B" w:rsidRDefault="007731C0" w:rsidP="00900595">
            <w:pPr>
              <w:rPr>
                <w:rFonts w:cs="Segoe UI"/>
                <w:i/>
                <w:sz w:val="16"/>
                <w:szCs w:val="16"/>
              </w:rPr>
            </w:pPr>
          </w:p>
        </w:tc>
      </w:tr>
    </w:tbl>
    <w:p w14:paraId="192E58AE" w14:textId="647A8FAC" w:rsidR="007731C0" w:rsidRPr="00062025" w:rsidRDefault="0035229D" w:rsidP="007731C0">
      <w:pPr>
        <w:spacing w:before="120"/>
      </w:pPr>
      <w:r>
        <w:lastRenderedPageBreak/>
        <w:t xml:space="preserve">NKÚ SR identifikoval riziko pre ŠFA </w:t>
      </w:r>
      <w:r w:rsidR="00F47770">
        <w:t xml:space="preserve">aj </w:t>
      </w:r>
      <w:r>
        <w:t xml:space="preserve">v nadväznosti na konflikt na Ukrajine spojený s členstvom Slovenska v dvoch medzinárodných bankách. </w:t>
      </w:r>
      <w:r w:rsidR="007731C0" w:rsidRPr="00062025">
        <w:rPr>
          <w:b/>
        </w:rPr>
        <w:t>S</w:t>
      </w:r>
      <w:r w:rsidR="007731C0">
        <w:rPr>
          <w:b/>
        </w:rPr>
        <w:t>R</w:t>
      </w:r>
      <w:r w:rsidR="007731C0" w:rsidRPr="00062025">
        <w:rPr>
          <w:b/>
        </w:rPr>
        <w:t xml:space="preserve"> v priebehu </w:t>
      </w:r>
      <w:r w:rsidR="00F47770">
        <w:rPr>
          <w:b/>
        </w:rPr>
        <w:t xml:space="preserve">roka </w:t>
      </w:r>
      <w:r w:rsidR="007731C0" w:rsidRPr="00062025">
        <w:rPr>
          <w:b/>
        </w:rPr>
        <w:t>2022 začal</w:t>
      </w:r>
      <w:r w:rsidR="007731C0">
        <w:rPr>
          <w:b/>
        </w:rPr>
        <w:t>a</w:t>
      </w:r>
      <w:r w:rsidR="007731C0" w:rsidRPr="00062025">
        <w:rPr>
          <w:b/>
        </w:rPr>
        <w:t xml:space="preserve"> s krokmi, ktorých </w:t>
      </w:r>
      <w:r w:rsidR="007731C0" w:rsidRPr="00062025">
        <w:rPr>
          <w:b/>
        </w:rPr>
        <w:lastRenderedPageBreak/>
        <w:t>cieľom bolo ukončenie členstva v Medzinárodnej investičnej banke (MIB) a Medzinárodnej banke hospodárskej spolupráce (MBHS).</w:t>
      </w:r>
      <w:r w:rsidR="007731C0" w:rsidRPr="00062025">
        <w:t xml:space="preserve"> MIB bola založená v roku 1970 a v roku 2022 boli členskými štátmi Bulharsko, Česká republika, Kuba, Maďarsko, Mongolsko, Rumunsko, Ruská federácia, Slovensko a Vietnam. MBHS bola založená 22. októbra 1963 a v roku 2022 patrili medzi členské krajiny Bulharsko, Česká republika, Mongolsko, Poľsko, Rumunsko, Ruská federácia, Slovensko a Vietnam. Počas rokov 2022 a 2023 koordinujú prostredníctvom svojich ministerstiev financií ukončenie svojho pôsobenia Bulharsko, Česko, Poľsko, Rumunsko a Slovensko. </w:t>
      </w:r>
    </w:p>
    <w:p w14:paraId="220CD637" w14:textId="435AC6FB" w:rsidR="007731C0" w:rsidRPr="00062025" w:rsidRDefault="007731C0" w:rsidP="007731C0">
      <w:r w:rsidRPr="00062025">
        <w:rPr>
          <w:b/>
        </w:rPr>
        <w:t xml:space="preserve">Ukončenie členstva SR v oboch bankách, vzhľadom na aktuálnu situáciu, zakladá riziko pre vznik nedobytných pohľadávok vo výške celkového podielu na splatenom kapitále vo výške 37,8 mil. eur. </w:t>
      </w:r>
      <w:r w:rsidRPr="00062025">
        <w:t>Podiel SR na základnom imaní MIB je vo výške 62,8 mil. eur, pričom splatený kapitál je vo výške 28,9 mil. eur, vrátane splátky splatnej v</w:t>
      </w:r>
      <w:r w:rsidR="00F47770">
        <w:t xml:space="preserve"> roku </w:t>
      </w:r>
      <w:r w:rsidRPr="00062025">
        <w:t xml:space="preserve">2022 vo výške 4,4 mil. eur. Podiel SR na základnom imaní MBHS je vo výške 26,7 mil. eur, pričom splatený kapitál je vo výške 13,3 mil. eur. </w:t>
      </w:r>
    </w:p>
    <w:p w14:paraId="18D818E6" w14:textId="760B3BF8" w:rsidR="000D05F7" w:rsidRDefault="00730F50" w:rsidP="002C027A">
      <w:pPr>
        <w:pStyle w:val="Nadpis1"/>
      </w:pPr>
      <w:bookmarkStart w:id="21" w:name="_Toc136418398"/>
      <w:r>
        <w:lastRenderedPageBreak/>
        <w:t>Stanovisko k</w:t>
      </w:r>
      <w:r w:rsidR="001629C7">
        <w:t> vybraným verejným politikám</w:t>
      </w:r>
      <w:r w:rsidR="001F22A4">
        <w:t xml:space="preserve"> </w:t>
      </w:r>
      <w:r>
        <w:t>ŠR</w:t>
      </w:r>
      <w:bookmarkEnd w:id="21"/>
    </w:p>
    <w:p w14:paraId="5FE8589D" w14:textId="5287ED47" w:rsidR="00A22AD6" w:rsidRPr="003A4204" w:rsidRDefault="00A22AD6" w:rsidP="00A22AD6">
      <w:pPr>
        <w:spacing w:before="120"/>
        <w:rPr>
          <w:rFonts w:eastAsia="Calibri" w:cs="Times New Roman"/>
        </w:rPr>
      </w:pPr>
      <w:r w:rsidRPr="00AE60F3">
        <w:rPr>
          <w:rFonts w:eastAsia="Calibri" w:cs="Times New Roman"/>
          <w:b/>
        </w:rPr>
        <w:t>Celkové príjmy kapitol sa v roku 2022 zvýšili medziročne o 9,6 % na 19 mld. eur</w:t>
      </w:r>
      <w:r w:rsidRPr="00BF208C">
        <w:rPr>
          <w:rFonts w:eastAsia="Calibri" w:cs="Times New Roman"/>
          <w:b/>
        </w:rPr>
        <w:t>.</w:t>
      </w:r>
      <w:r>
        <w:rPr>
          <w:rFonts w:eastAsia="Calibri" w:cs="Times New Roman"/>
        </w:rPr>
        <w:t xml:space="preserve"> </w:t>
      </w:r>
      <w:r w:rsidR="00FA3875">
        <w:rPr>
          <w:rFonts w:eastAsia="Calibri" w:cs="Times New Roman"/>
        </w:rPr>
        <w:t xml:space="preserve">Viac príjmov smerovalo do kapitoly VPS, medziročne viac </w:t>
      </w:r>
      <w:r w:rsidRPr="003A4204">
        <w:rPr>
          <w:rFonts w:eastAsia="Calibri" w:cs="Times New Roman"/>
        </w:rPr>
        <w:t>o 1,9 mld. eur a</w:t>
      </w:r>
      <w:r w:rsidR="00FA3875">
        <w:rPr>
          <w:rFonts w:eastAsia="Calibri" w:cs="Times New Roman"/>
        </w:rPr>
        <w:t xml:space="preserve"> na </w:t>
      </w:r>
      <w:r w:rsidRPr="003A4204">
        <w:rPr>
          <w:rFonts w:eastAsia="Calibri" w:cs="Times New Roman"/>
        </w:rPr>
        <w:t>MD</w:t>
      </w:r>
      <w:r>
        <w:rPr>
          <w:rFonts w:eastAsia="Calibri" w:cs="Times New Roman"/>
        </w:rPr>
        <w:t>V</w:t>
      </w:r>
      <w:r w:rsidRPr="003A4204">
        <w:rPr>
          <w:rFonts w:eastAsia="Calibri" w:cs="Times New Roman"/>
        </w:rPr>
        <w:t xml:space="preserve"> SR</w:t>
      </w:r>
      <w:r>
        <w:rPr>
          <w:rFonts w:eastAsia="Calibri" w:cs="Times New Roman"/>
        </w:rPr>
        <w:t xml:space="preserve"> (o 297</w:t>
      </w:r>
      <w:r w:rsidRPr="003A4204">
        <w:rPr>
          <w:rFonts w:eastAsia="Calibri" w:cs="Times New Roman"/>
        </w:rPr>
        <w:t xml:space="preserve"> mil. eur). Naopak </w:t>
      </w:r>
      <w:r w:rsidR="00FA3875">
        <w:rPr>
          <w:rFonts w:eastAsia="Calibri" w:cs="Times New Roman"/>
        </w:rPr>
        <w:t>menej príjmov  v medziročnom porovnaní získalo</w:t>
      </w:r>
      <w:r w:rsidRPr="003A4204">
        <w:rPr>
          <w:rFonts w:eastAsia="Calibri" w:cs="Times New Roman"/>
        </w:rPr>
        <w:t xml:space="preserve"> </w:t>
      </w:r>
      <w:r w:rsidRPr="000B47A7">
        <w:rPr>
          <w:rFonts w:eastAsia="Calibri" w:cs="Times New Roman"/>
        </w:rPr>
        <w:t>M</w:t>
      </w:r>
      <w:r w:rsidR="000B47A7" w:rsidRPr="000B47A7">
        <w:rPr>
          <w:rFonts w:eastAsia="Calibri" w:cs="Times New Roman"/>
        </w:rPr>
        <w:t>P</w:t>
      </w:r>
      <w:r w:rsidRPr="000B47A7">
        <w:rPr>
          <w:rFonts w:eastAsia="Calibri" w:cs="Times New Roman"/>
        </w:rPr>
        <w:t>SVR SR</w:t>
      </w:r>
      <w:r w:rsidRPr="003A4204">
        <w:rPr>
          <w:rFonts w:eastAsia="Calibri" w:cs="Times New Roman"/>
        </w:rPr>
        <w:t xml:space="preserve"> </w:t>
      </w:r>
      <w:r w:rsidR="00FA3875">
        <w:rPr>
          <w:rFonts w:eastAsia="Calibri" w:cs="Times New Roman"/>
        </w:rPr>
        <w:t>(</w:t>
      </w:r>
      <w:r w:rsidRPr="003A4204">
        <w:rPr>
          <w:rFonts w:eastAsia="Calibri" w:cs="Times New Roman"/>
        </w:rPr>
        <w:t>o 236 mil. eur</w:t>
      </w:r>
      <w:r w:rsidR="00FA3875">
        <w:rPr>
          <w:rFonts w:eastAsia="Calibri" w:cs="Times New Roman"/>
        </w:rPr>
        <w:t>)</w:t>
      </w:r>
      <w:r w:rsidRPr="003A4204">
        <w:rPr>
          <w:rFonts w:eastAsia="Calibri" w:cs="Times New Roman"/>
        </w:rPr>
        <w:t xml:space="preserve"> a</w:t>
      </w:r>
      <w:r w:rsidR="00DF40E7">
        <w:rPr>
          <w:rFonts w:eastAsia="Calibri" w:cs="Times New Roman"/>
        </w:rPr>
        <w:t> </w:t>
      </w:r>
      <w:r w:rsidRPr="003A4204">
        <w:rPr>
          <w:rFonts w:eastAsia="Calibri" w:cs="Times New Roman"/>
        </w:rPr>
        <w:t xml:space="preserve">MPRV </w:t>
      </w:r>
      <w:r>
        <w:rPr>
          <w:rFonts w:eastAsia="Calibri" w:cs="Times New Roman"/>
        </w:rPr>
        <w:t xml:space="preserve">SR </w:t>
      </w:r>
      <w:r w:rsidR="00FA3875">
        <w:rPr>
          <w:rFonts w:eastAsia="Calibri" w:cs="Times New Roman"/>
        </w:rPr>
        <w:t>(</w:t>
      </w:r>
      <w:r w:rsidRPr="003A4204">
        <w:rPr>
          <w:rFonts w:eastAsia="Calibri" w:cs="Times New Roman"/>
        </w:rPr>
        <w:t>o 124 mil. eur</w:t>
      </w:r>
      <w:r w:rsidR="00FA3875">
        <w:rPr>
          <w:rFonts w:eastAsia="Calibri" w:cs="Times New Roman"/>
        </w:rPr>
        <w:t>)</w:t>
      </w:r>
      <w:r w:rsidRPr="003A4204">
        <w:rPr>
          <w:rFonts w:eastAsia="Calibri" w:cs="Times New Roman"/>
        </w:rPr>
        <w:t xml:space="preserve">. Prehľad príjmov jednotlivých kapitol v roku 2022 </w:t>
      </w:r>
      <w:r w:rsidRPr="00EA4CBA">
        <w:rPr>
          <w:rFonts w:eastAsia="Calibri" w:cs="Times New Roman"/>
        </w:rPr>
        <w:t xml:space="preserve">na hotovostnej báze obsahuje tabuľka </w:t>
      </w:r>
      <w:r>
        <w:rPr>
          <w:rFonts w:eastAsia="Calibri" w:cs="Times New Roman"/>
        </w:rPr>
        <w:t>5</w:t>
      </w:r>
      <w:r w:rsidRPr="003A4204">
        <w:rPr>
          <w:rFonts w:eastAsia="Calibri" w:cs="Times New Roman"/>
        </w:rPr>
        <w:t xml:space="preserve"> v prílohe.</w:t>
      </w:r>
    </w:p>
    <w:p w14:paraId="671BD29C" w14:textId="10320F64" w:rsidR="00F4498C" w:rsidRPr="003A4204" w:rsidRDefault="00F4498C" w:rsidP="00F4498C">
      <w:pPr>
        <w:spacing w:before="120"/>
        <w:rPr>
          <w:rFonts w:eastAsia="Calibri" w:cs="Times New Roman"/>
        </w:rPr>
      </w:pPr>
      <w:r w:rsidRPr="00EA4CBA">
        <w:rPr>
          <w:rFonts w:eastAsia="Calibri" w:cs="Times New Roman"/>
          <w:b/>
        </w:rPr>
        <w:t xml:space="preserve">Celkové výdavky kapitol </w:t>
      </w:r>
      <w:r w:rsidR="003E1B64">
        <w:rPr>
          <w:rFonts w:eastAsia="Calibri" w:cs="Times New Roman"/>
          <w:b/>
        </w:rPr>
        <w:t>v roku 2022 klesli medziročne o 2,7 % na</w:t>
      </w:r>
      <w:r w:rsidRPr="00EA4CBA">
        <w:rPr>
          <w:rFonts w:eastAsia="Calibri" w:cs="Times New Roman"/>
          <w:b/>
        </w:rPr>
        <w:t xml:space="preserve"> 23,6 mld. eur</w:t>
      </w:r>
      <w:r w:rsidRPr="00BF208C">
        <w:rPr>
          <w:rFonts w:eastAsia="Calibri" w:cs="Times New Roman"/>
          <w:b/>
        </w:rPr>
        <w:t>.</w:t>
      </w:r>
      <w:r w:rsidRPr="003A4204">
        <w:rPr>
          <w:rFonts w:eastAsia="Calibri" w:cs="Times New Roman"/>
        </w:rPr>
        <w:t xml:space="preserve"> </w:t>
      </w:r>
      <w:r w:rsidR="00FA3875" w:rsidRPr="0017225C">
        <w:rPr>
          <w:rFonts w:eastAsia="Calibri" w:cs="Times New Roman"/>
        </w:rPr>
        <w:t xml:space="preserve">Dôvodom </w:t>
      </w:r>
      <w:r w:rsidR="00FA3875">
        <w:rPr>
          <w:rFonts w:eastAsia="Calibri" w:cs="Times New Roman"/>
        </w:rPr>
        <w:t xml:space="preserve">nižších výdavkov kapitol </w:t>
      </w:r>
      <w:r w:rsidR="00FA3875" w:rsidRPr="0017225C">
        <w:rPr>
          <w:rFonts w:eastAsia="Calibri" w:cs="Times New Roman"/>
        </w:rPr>
        <w:t xml:space="preserve">bolo </w:t>
      </w:r>
      <w:r w:rsidR="00FA3875">
        <w:rPr>
          <w:rFonts w:eastAsia="Calibri" w:cs="Times New Roman"/>
        </w:rPr>
        <w:t xml:space="preserve">najmä </w:t>
      </w:r>
      <w:r w:rsidR="00FA3875" w:rsidRPr="0017225C">
        <w:rPr>
          <w:rFonts w:eastAsia="Calibri" w:cs="Times New Roman"/>
        </w:rPr>
        <w:t xml:space="preserve">nižšie spolufinancovanie pri čerpaní finančných prostriedkov z EÚ a nižšie výdavky v súvislosti s </w:t>
      </w:r>
      <w:r w:rsidR="00FA3875">
        <w:rPr>
          <w:rFonts w:eastAsia="Calibri" w:cs="Times New Roman"/>
        </w:rPr>
        <w:t>pandémiou</w:t>
      </w:r>
      <w:r w:rsidR="00FA3875" w:rsidRPr="0017225C">
        <w:rPr>
          <w:rFonts w:eastAsia="Calibri" w:cs="Times New Roman"/>
        </w:rPr>
        <w:t>.</w:t>
      </w:r>
      <w:r w:rsidR="00FA3875">
        <w:rPr>
          <w:rFonts w:eastAsia="Calibri" w:cs="Times New Roman"/>
        </w:rPr>
        <w:t xml:space="preserve"> </w:t>
      </w:r>
      <w:r w:rsidRPr="003A4204">
        <w:rPr>
          <w:rFonts w:eastAsia="Calibri" w:cs="Times New Roman"/>
        </w:rPr>
        <w:t>V roku 2022 malo najvyšší medziročný rast výdavkov MŠVV</w:t>
      </w:r>
      <w:r w:rsidR="00AE60F3">
        <w:rPr>
          <w:rFonts w:eastAsia="Calibri" w:cs="Times New Roman"/>
        </w:rPr>
        <w:t>a</w:t>
      </w:r>
      <w:r w:rsidRPr="003A4204">
        <w:rPr>
          <w:rFonts w:eastAsia="Calibri" w:cs="Times New Roman"/>
        </w:rPr>
        <w:t>Š</w:t>
      </w:r>
      <w:r>
        <w:rPr>
          <w:rFonts w:eastAsia="Calibri" w:cs="Times New Roman"/>
        </w:rPr>
        <w:t xml:space="preserve"> SR (o 1,8</w:t>
      </w:r>
      <w:r w:rsidRPr="003A4204">
        <w:rPr>
          <w:rFonts w:eastAsia="Calibri" w:cs="Times New Roman"/>
        </w:rPr>
        <w:t xml:space="preserve"> mld. eur), MO SR (o 237 mil. eur) a VPS (o 210 mil. eur). Najv</w:t>
      </w:r>
      <w:r w:rsidR="00FA3875">
        <w:rPr>
          <w:rFonts w:eastAsia="Calibri" w:cs="Times New Roman"/>
        </w:rPr>
        <w:t>iac klesli výdavky medziročne na</w:t>
      </w:r>
      <w:r w:rsidRPr="003A4204">
        <w:rPr>
          <w:rFonts w:eastAsia="Calibri" w:cs="Times New Roman"/>
        </w:rPr>
        <w:t xml:space="preserve"> MV SR</w:t>
      </w:r>
      <w:r>
        <w:rPr>
          <w:rFonts w:eastAsia="Calibri" w:cs="Times New Roman"/>
        </w:rPr>
        <w:t xml:space="preserve"> (o 1,6</w:t>
      </w:r>
      <w:r w:rsidRPr="003A4204">
        <w:rPr>
          <w:rFonts w:eastAsia="Calibri" w:cs="Times New Roman"/>
        </w:rPr>
        <w:t xml:space="preserve"> mld. eur) a MPSVR SR (o 914 mil. eur). Prehľad </w:t>
      </w:r>
      <w:r w:rsidR="00FA3875">
        <w:rPr>
          <w:rFonts w:eastAsia="Calibri" w:cs="Times New Roman"/>
        </w:rPr>
        <w:t xml:space="preserve">hotovostných </w:t>
      </w:r>
      <w:r w:rsidRPr="003A4204">
        <w:rPr>
          <w:rFonts w:eastAsia="Calibri" w:cs="Times New Roman"/>
        </w:rPr>
        <w:t xml:space="preserve">výdavkov kapitol </w:t>
      </w:r>
      <w:r w:rsidR="00FA3875">
        <w:rPr>
          <w:rFonts w:eastAsia="Calibri" w:cs="Times New Roman"/>
        </w:rPr>
        <w:t xml:space="preserve">v roku 2022 </w:t>
      </w:r>
      <w:r w:rsidRPr="003A4204">
        <w:rPr>
          <w:rFonts w:eastAsia="Calibri" w:cs="Times New Roman"/>
        </w:rPr>
        <w:t xml:space="preserve">obsahuje </w:t>
      </w:r>
      <w:r w:rsidRPr="00EA4CBA">
        <w:rPr>
          <w:rFonts w:eastAsia="Calibri" w:cs="Times New Roman"/>
        </w:rPr>
        <w:t xml:space="preserve">tabuľka </w:t>
      </w:r>
      <w:r w:rsidR="00EA4CBA">
        <w:rPr>
          <w:rFonts w:eastAsia="Calibri" w:cs="Times New Roman"/>
        </w:rPr>
        <w:t>6</w:t>
      </w:r>
      <w:r w:rsidRPr="003A4204">
        <w:rPr>
          <w:rFonts w:eastAsia="Calibri" w:cs="Times New Roman"/>
        </w:rPr>
        <w:t xml:space="preserve"> v prílohe. </w:t>
      </w:r>
    </w:p>
    <w:p w14:paraId="316BA854" w14:textId="263C1814" w:rsidR="00F4498C" w:rsidRPr="003A4204" w:rsidRDefault="00F4498C" w:rsidP="00F4498C">
      <w:pPr>
        <w:spacing w:before="120"/>
      </w:pPr>
      <w:r w:rsidRPr="003A4204">
        <w:t>V</w:t>
      </w:r>
      <w:r w:rsidR="003E1B64">
        <w:t xml:space="preserve"> nasledujúcich </w:t>
      </w:r>
      <w:r w:rsidR="00FA3875">
        <w:t>pod</w:t>
      </w:r>
      <w:r w:rsidR="003E1B64">
        <w:t xml:space="preserve">kapitolách </w:t>
      </w:r>
      <w:r w:rsidR="00883A9D">
        <w:t>hodnot</w:t>
      </w:r>
      <w:r w:rsidR="00FA3875">
        <w:t xml:space="preserve">íme </w:t>
      </w:r>
      <w:r w:rsidR="00883A9D">
        <w:t>a analyz</w:t>
      </w:r>
      <w:r w:rsidR="00FA3875">
        <w:t>ujeme</w:t>
      </w:r>
      <w:r w:rsidR="00883A9D">
        <w:t xml:space="preserve"> </w:t>
      </w:r>
      <w:r w:rsidRPr="003A4204">
        <w:t>rozpočtové hospodárenie</w:t>
      </w:r>
      <w:r w:rsidR="00757A0E">
        <w:t xml:space="preserve"> a napĺňanie cieľov rozpočtu</w:t>
      </w:r>
      <w:r w:rsidRPr="003A4204">
        <w:t xml:space="preserve"> </w:t>
      </w:r>
      <w:r w:rsidR="00757A0E">
        <w:t xml:space="preserve">v </w:t>
      </w:r>
      <w:r w:rsidR="00ED6810">
        <w:t>štyroch</w:t>
      </w:r>
      <w:r w:rsidRPr="003A4204">
        <w:t xml:space="preserve"> </w:t>
      </w:r>
      <w:r w:rsidR="00757A0E">
        <w:t>oblastiach verejných politík</w:t>
      </w:r>
      <w:r w:rsidRPr="003A4204">
        <w:t>,</w:t>
      </w:r>
      <w:r w:rsidR="00757A0E">
        <w:t xml:space="preserve"> v</w:t>
      </w:r>
      <w:r w:rsidRPr="003A4204">
        <w:t xml:space="preserve"> </w:t>
      </w:r>
      <w:r w:rsidRPr="003A4204">
        <w:rPr>
          <w:b/>
        </w:rPr>
        <w:t>zdravotníctv</w:t>
      </w:r>
      <w:r w:rsidR="00757A0E">
        <w:rPr>
          <w:b/>
        </w:rPr>
        <w:t>e</w:t>
      </w:r>
      <w:r w:rsidRPr="003A4204">
        <w:rPr>
          <w:b/>
        </w:rPr>
        <w:t xml:space="preserve">, </w:t>
      </w:r>
      <w:r w:rsidR="00757A0E">
        <w:rPr>
          <w:b/>
        </w:rPr>
        <w:t>vzdelávaní, výskume a vývoji</w:t>
      </w:r>
      <w:r w:rsidRPr="003A4204">
        <w:rPr>
          <w:b/>
        </w:rPr>
        <w:t>, </w:t>
      </w:r>
      <w:r w:rsidR="00757A0E">
        <w:rPr>
          <w:b/>
        </w:rPr>
        <w:t>sociálnych politikách</w:t>
      </w:r>
      <w:r w:rsidRPr="003A4204">
        <w:rPr>
          <w:b/>
        </w:rPr>
        <w:t xml:space="preserve"> a</w:t>
      </w:r>
      <w:r w:rsidR="00757A0E">
        <w:rPr>
          <w:b/>
        </w:rPr>
        <w:t xml:space="preserve"> v oblasti </w:t>
      </w:r>
      <w:r w:rsidR="00FA3875">
        <w:rPr>
          <w:b/>
        </w:rPr>
        <w:t xml:space="preserve">obrany a </w:t>
      </w:r>
      <w:r w:rsidR="00757A0E">
        <w:rPr>
          <w:b/>
        </w:rPr>
        <w:t>bezpečnosti</w:t>
      </w:r>
      <w:r w:rsidRPr="003A4204">
        <w:t xml:space="preserve">. Práve tieto oblasti verejných politík </w:t>
      </w:r>
      <w:r w:rsidR="003E1B64">
        <w:t xml:space="preserve">patrili aj </w:t>
      </w:r>
      <w:r w:rsidRPr="003A4204">
        <w:t xml:space="preserve"> medzi priorit</w:t>
      </w:r>
      <w:r w:rsidR="003E1B64">
        <w:t>y</w:t>
      </w:r>
      <w:r w:rsidRPr="003A4204">
        <w:t xml:space="preserve"> činnosti NKÚ SR v roku 2022. Nasledujúce podkapitoly sumarizujú aj </w:t>
      </w:r>
      <w:r w:rsidR="00A74DAE">
        <w:t xml:space="preserve">niektoré </w:t>
      </w:r>
      <w:r w:rsidRPr="003A4204">
        <w:t xml:space="preserve">výsledky kontrolnej </w:t>
      </w:r>
      <w:r w:rsidR="003E1B64">
        <w:t xml:space="preserve">a analytickej </w:t>
      </w:r>
      <w:r w:rsidRPr="003A4204">
        <w:t>činnosti v týchto oblastiach</w:t>
      </w:r>
      <w:r w:rsidR="00152CF0">
        <w:t>, a to najmä so zameraním na plnenie programových rozpočtov jednotlivých kapitol</w:t>
      </w:r>
      <w:r w:rsidR="00DF40E7">
        <w:t xml:space="preserve"> a</w:t>
      </w:r>
      <w:r w:rsidR="0069052A">
        <w:t xml:space="preserve"> plnenie úsporných opatrení </w:t>
      </w:r>
      <w:r w:rsidR="00DF40E7">
        <w:t>identifikovaných v revíziách výdavkov. Analyzova</w:t>
      </w:r>
      <w:r w:rsidR="00757A0E">
        <w:t>li</w:t>
      </w:r>
      <w:r w:rsidR="00DF40E7">
        <w:t xml:space="preserve"> </w:t>
      </w:r>
      <w:r w:rsidR="00757A0E">
        <w:t>sme</w:t>
      </w:r>
      <w:r w:rsidR="00DF40E7">
        <w:t xml:space="preserve"> aj to, ako sa pri hospodárení vyrovnali </w:t>
      </w:r>
      <w:r w:rsidR="004A0209">
        <w:t xml:space="preserve">niektoré </w:t>
      </w:r>
      <w:r w:rsidR="00DF40E7">
        <w:t>kapitoly so zvýšenými nákladmi v súvislosti s</w:t>
      </w:r>
      <w:r w:rsidR="0069052A">
        <w:t xml:space="preserve"> mimoriadn</w:t>
      </w:r>
      <w:r w:rsidR="00DF40E7">
        <w:t>o</w:t>
      </w:r>
      <w:r w:rsidR="0069052A">
        <w:t>u situáci</w:t>
      </w:r>
      <w:r w:rsidR="00DF40E7">
        <w:t>o</w:t>
      </w:r>
      <w:r w:rsidR="0069052A">
        <w:t>u (Ukrajina).</w:t>
      </w:r>
    </w:p>
    <w:p w14:paraId="7042EC93" w14:textId="7D6ED912" w:rsidR="000D05F7" w:rsidRPr="002C027A" w:rsidRDefault="002C027A" w:rsidP="002C027A">
      <w:pPr>
        <w:pStyle w:val="Nadpis2"/>
      </w:pPr>
      <w:bookmarkStart w:id="22" w:name="_Toc136418399"/>
      <w:r>
        <w:t xml:space="preserve">4.1 </w:t>
      </w:r>
      <w:r w:rsidR="001629C7">
        <w:t>Z</w:t>
      </w:r>
      <w:r w:rsidR="00E274E0" w:rsidRPr="002C027A">
        <w:t>dravotníctv</w:t>
      </w:r>
      <w:r w:rsidR="001629C7">
        <w:t>o</w:t>
      </w:r>
      <w:bookmarkEnd w:id="22"/>
    </w:p>
    <w:p w14:paraId="411330AF" w14:textId="0D4475B0" w:rsidR="00757189" w:rsidRDefault="00757189" w:rsidP="00757189">
      <w:r w:rsidRPr="003304CC">
        <w:t>Zdroje do zdravotníctva plynú cez rozpočet kapitoly MZ SR, systém VZP a cez prostriedky</w:t>
      </w:r>
      <w:r w:rsidR="006813B5">
        <w:t xml:space="preserve"> </w:t>
      </w:r>
      <w:r w:rsidR="006813B5" w:rsidRPr="003304CC">
        <w:t>EÚ</w:t>
      </w:r>
      <w:r w:rsidRPr="003304CC">
        <w:t>. NKÚ SR sa zameral na využitie týchto zdrojov</w:t>
      </w:r>
      <w:r w:rsidR="00A74DAE">
        <w:t>, ktoré bolo</w:t>
      </w:r>
      <w:r w:rsidRPr="003304CC">
        <w:t xml:space="preserve"> poznamenan</w:t>
      </w:r>
      <w:r w:rsidR="00A74DAE">
        <w:t>é</w:t>
      </w:r>
      <w:r w:rsidRPr="003304CC">
        <w:t xml:space="preserve"> končiacou pandémiou, na šetrenie zdrojov v rámci plnenia úsporných opatrení a na dostatok zdrojov v zdravotníckych zariadeniach</w:t>
      </w:r>
      <w:r w:rsidR="009354AA">
        <w:t xml:space="preserve"> (ZZ)</w:t>
      </w:r>
      <w:r w:rsidRPr="003304CC">
        <w:t>.</w:t>
      </w:r>
    </w:p>
    <w:p w14:paraId="0DDE5E8B" w14:textId="77777777" w:rsidR="00C76AB7" w:rsidRPr="00BC3CA3" w:rsidRDefault="00C76AB7" w:rsidP="00C76AB7">
      <w:pPr>
        <w:pStyle w:val="Popis"/>
        <w:keepNext/>
        <w:rPr>
          <w:color w:val="314364"/>
        </w:rPr>
      </w:pPr>
      <w:r w:rsidRPr="00307C4F">
        <w:rPr>
          <w:color w:val="314364"/>
        </w:rPr>
        <w:t xml:space="preserve">Graf </w:t>
      </w:r>
      <w:r w:rsidRPr="00C60492">
        <w:rPr>
          <w:color w:val="314364"/>
        </w:rPr>
        <w:t>1</w:t>
      </w:r>
      <w:r>
        <w:rPr>
          <w:color w:val="314364"/>
        </w:rPr>
        <w:t>2</w:t>
      </w:r>
      <w:r w:rsidRPr="00307C4F">
        <w:rPr>
          <w:color w:val="314364"/>
        </w:rPr>
        <w:t>: Výdavky</w:t>
      </w:r>
      <w:r>
        <w:rPr>
          <w:color w:val="314364"/>
        </w:rPr>
        <w:t xml:space="preserve"> kapitoly MZ SR na vybrané programy v roku 2022(v mil. eur)</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C76AB7" w:rsidRPr="00C75134" w14:paraId="243C5A8A" w14:textId="77777777" w:rsidTr="0008598B">
        <w:trPr>
          <w:trHeight w:val="2835"/>
        </w:trPr>
        <w:tc>
          <w:tcPr>
            <w:tcW w:w="9070" w:type="dxa"/>
            <w:tcBorders>
              <w:top w:val="single" w:sz="4" w:space="0" w:color="314364"/>
              <w:bottom w:val="single" w:sz="4" w:space="0" w:color="314364"/>
            </w:tcBorders>
            <w:vAlign w:val="center"/>
          </w:tcPr>
          <w:p w14:paraId="26DDC0DB" w14:textId="77777777" w:rsidR="00C76AB7" w:rsidRPr="00C75134" w:rsidRDefault="00C76AB7" w:rsidP="0008598B">
            <w:pPr>
              <w:spacing w:after="0"/>
              <w:rPr>
                <w:b/>
                <w:color w:val="576431"/>
              </w:rPr>
            </w:pPr>
            <w:r>
              <w:rPr>
                <w:noProof/>
                <w:lang w:eastAsia="sk-SK"/>
              </w:rPr>
              <w:drawing>
                <wp:inline distT="0" distB="0" distL="0" distR="0" wp14:anchorId="17C61C90" wp14:editId="264286F9">
                  <wp:extent cx="5645785" cy="1933575"/>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3A6A36D3" w14:textId="77777777" w:rsidR="00C76AB7" w:rsidRDefault="00C76AB7" w:rsidP="00C76AB7">
      <w:pPr>
        <w:pStyle w:val="Zdroj"/>
      </w:pPr>
      <w:r>
        <w:t xml:space="preserve">Zdroj: RIS; výpočty a </w:t>
      </w:r>
      <w:r w:rsidRPr="00E6404F">
        <w:t>spracovanie NKÚ SR</w:t>
      </w:r>
      <w:r>
        <w:t>.</w:t>
      </w:r>
    </w:p>
    <w:p w14:paraId="183F7EFF" w14:textId="5AD4E9A3" w:rsidR="00757189" w:rsidRDefault="00757189" w:rsidP="00757189">
      <w:pPr>
        <w:rPr>
          <w:b/>
        </w:rPr>
      </w:pPr>
      <w:r>
        <w:t>Z hľadiska objemu výdavkov sú v programovej štruktúre rozpočtu MZ SR najdôležitejšie dva programy, cez ktoré bolo v roku 2022 vyčerpaných 92 % rozpočtu tejto kapitoly (</w:t>
      </w:r>
      <w:r w:rsidRPr="00152CF0">
        <w:t xml:space="preserve">graf </w:t>
      </w:r>
      <w:r w:rsidR="00152CF0">
        <w:t>12</w:t>
      </w:r>
      <w:r>
        <w:t>)</w:t>
      </w:r>
      <w:r>
        <w:rPr>
          <w:rStyle w:val="Odkaznapoznmkupodiarou"/>
        </w:rPr>
        <w:footnoteReference w:id="23"/>
      </w:r>
      <w:r>
        <w:t xml:space="preserve">. </w:t>
      </w:r>
      <w:r w:rsidR="00C03977">
        <w:t xml:space="preserve">Najviac prostriedkov sa čerpalo na </w:t>
      </w:r>
      <w:r w:rsidR="00C03977" w:rsidRPr="00C03977">
        <w:t>z</w:t>
      </w:r>
      <w:r w:rsidRPr="00C03977">
        <w:t>dravotn</w:t>
      </w:r>
      <w:r w:rsidR="00C03977" w:rsidRPr="00C03977">
        <w:t>ú</w:t>
      </w:r>
      <w:r w:rsidRPr="00C03977">
        <w:t xml:space="preserve"> starostlivosť</w:t>
      </w:r>
      <w:r>
        <w:t xml:space="preserve">, </w:t>
      </w:r>
      <w:r w:rsidR="00C03977">
        <w:t>a to najmä na</w:t>
      </w:r>
      <w:r>
        <w:t xml:space="preserve"> poistné za poistencov štátu. Objem tejto platby bol v roku 2022 vo výške takmer 1,3 mld. eur. Táto suma bola v priebehu roka oproti rozpočtu navýšená o 186 mil. eur, no a</w:t>
      </w:r>
      <w:r w:rsidR="00F00B0B">
        <w:t>ni</w:t>
      </w:r>
      <w:r>
        <w:t xml:space="preserve"> po</w:t>
      </w:r>
      <w:r w:rsidR="00153B7B">
        <w:t>tom</w:t>
      </w:r>
      <w:r>
        <w:t xml:space="preserve"> nedosiahla výšku z roku 2021</w:t>
      </w:r>
      <w:r w:rsidR="00D4166B">
        <w:t xml:space="preserve">, čo v kontexte vysokej inflácie znamenalo </w:t>
      </w:r>
      <w:r w:rsidR="00D4166B">
        <w:lastRenderedPageBreak/>
        <w:t>reálne zníženie týchto zdrojov.</w:t>
      </w:r>
      <w:r>
        <w:t xml:space="preserve"> V rámci zdravotnej starostlivosti boli pre rok 2022 rozpočtované aj prostriedky z P</w:t>
      </w:r>
      <w:r w:rsidR="00C03977">
        <w:t>OO</w:t>
      </w:r>
      <w:r>
        <w:t xml:space="preserve">, a to vo výške takmer 220 mil. eur. V skutočnosti </w:t>
      </w:r>
      <w:r w:rsidR="006F4D81">
        <w:t>však z toho boli</w:t>
      </w:r>
      <w:r>
        <w:t xml:space="preserve"> vyčerpan</w:t>
      </w:r>
      <w:r w:rsidR="006F4D81">
        <w:t>é</w:t>
      </w:r>
      <w:r>
        <w:t xml:space="preserve"> 3 mil. eur. </w:t>
      </w:r>
      <w:r w:rsidRPr="0023525F">
        <w:rPr>
          <w:b/>
        </w:rPr>
        <w:t>Úspešnosť MZ</w:t>
      </w:r>
      <w:r w:rsidR="006F4D81">
        <w:rPr>
          <w:b/>
        </w:rPr>
        <w:t xml:space="preserve"> </w:t>
      </w:r>
      <w:r w:rsidRPr="0023525F">
        <w:rPr>
          <w:b/>
        </w:rPr>
        <w:t xml:space="preserve">SR pri čerpaní prostriedkov z POO bola </w:t>
      </w:r>
      <w:r w:rsidR="00AB4503" w:rsidRPr="0023525F">
        <w:rPr>
          <w:b/>
        </w:rPr>
        <w:t xml:space="preserve">v roku 2022 </w:t>
      </w:r>
      <w:r w:rsidR="006F4D81">
        <w:rPr>
          <w:b/>
        </w:rPr>
        <w:t>na úrovni 1,5</w:t>
      </w:r>
      <w:r w:rsidR="00EA0990">
        <w:rPr>
          <w:b/>
        </w:rPr>
        <w:t xml:space="preserve"> </w:t>
      </w:r>
      <w:r w:rsidR="006F4D81">
        <w:rPr>
          <w:b/>
        </w:rPr>
        <w:t>%</w:t>
      </w:r>
      <w:r w:rsidR="005603E6">
        <w:rPr>
          <w:b/>
        </w:rPr>
        <w:t>.</w:t>
      </w:r>
    </w:p>
    <w:p w14:paraId="0127EA9B" w14:textId="7B52993F" w:rsidR="00757189" w:rsidRDefault="006F4D81" w:rsidP="00757189">
      <w:r>
        <w:t xml:space="preserve">Na </w:t>
      </w:r>
      <w:r w:rsidRPr="006F4D81">
        <w:t>t</w:t>
      </w:r>
      <w:r w:rsidR="00757189" w:rsidRPr="006F4D81">
        <w:t>vorb</w:t>
      </w:r>
      <w:r w:rsidRPr="006F4D81">
        <w:t>u</w:t>
      </w:r>
      <w:r w:rsidR="00757189" w:rsidRPr="006F4D81">
        <w:t xml:space="preserve"> a implementác</w:t>
      </w:r>
      <w:r w:rsidRPr="006F4D81">
        <w:t>iu</w:t>
      </w:r>
      <w:r w:rsidR="00757189" w:rsidRPr="006F4D81">
        <w:t xml:space="preserve"> politík</w:t>
      </w:r>
      <w:r w:rsidRPr="006F4D81">
        <w:t xml:space="preserve"> sa</w:t>
      </w:r>
      <w:r w:rsidR="00757189">
        <w:t xml:space="preserve"> v roku 2022 vyčerpa</w:t>
      </w:r>
      <w:r>
        <w:t>lo</w:t>
      </w:r>
      <w:r w:rsidR="00757189">
        <w:t xml:space="preserve"> 705,8 mil. eur, pričom </w:t>
      </w:r>
      <w:r w:rsidR="008E2D16">
        <w:t xml:space="preserve">išlo </w:t>
      </w:r>
      <w:r w:rsidR="00757189">
        <w:t>predovšetkým</w:t>
      </w:r>
      <w:r w:rsidR="000652A9">
        <w:t xml:space="preserve"> o  </w:t>
      </w:r>
      <w:r w:rsidR="00757189">
        <w:t>podporné aktivity v zdravotníctve. Kým v</w:t>
      </w:r>
      <w:r w:rsidR="0061650D">
        <w:t> </w:t>
      </w:r>
      <w:r w:rsidR="00757189">
        <w:t>období</w:t>
      </w:r>
      <w:r w:rsidR="0061650D">
        <w:t xml:space="preserve"> pred pandémiou</w:t>
      </w:r>
      <w:r w:rsidR="00757189">
        <w:t xml:space="preserve"> bol podiel </w:t>
      </w:r>
      <w:r w:rsidR="008E2D16">
        <w:t xml:space="preserve">tejto oblasti </w:t>
      </w:r>
      <w:r w:rsidR="00757189">
        <w:t>na celkových výdavkoch kapitoly na úrovni okolo 4 %, v roku 2022 predstavoval takmer 32 % výdavkov</w:t>
      </w:r>
      <w:r w:rsidR="008E2D16">
        <w:t xml:space="preserve"> (graf 13).</w:t>
      </w:r>
      <w:r w:rsidR="00757189">
        <w:t xml:space="preserve"> Tento nárast bol </w:t>
      </w:r>
      <w:r w:rsidR="00902BD9">
        <w:t>s</w:t>
      </w:r>
      <w:r w:rsidR="00757189">
        <w:t>pojený s</w:t>
      </w:r>
      <w:r w:rsidR="008E2D16">
        <w:t>o</w:t>
      </w:r>
      <w:r w:rsidR="00757189">
        <w:t> zdroj</w:t>
      </w:r>
      <w:r w:rsidR="008E2D16">
        <w:t>mi použitými na boj s pandémiou, ale premietol</w:t>
      </w:r>
      <w:r w:rsidR="00757189">
        <w:t xml:space="preserve"> </w:t>
      </w:r>
      <w:r w:rsidR="008E2D16">
        <w:t>sa</w:t>
      </w:r>
      <w:r w:rsidR="00FC01BD">
        <w:t xml:space="preserve"> v ňom</w:t>
      </w:r>
      <w:r w:rsidR="008E2D16">
        <w:t xml:space="preserve"> </w:t>
      </w:r>
      <w:r w:rsidR="00757189">
        <w:t>aj stabilizačný príspevok pre zdravotníckych pracovníkov vo výške 200 mil. eur.</w:t>
      </w:r>
    </w:p>
    <w:p w14:paraId="59DB00F7" w14:textId="4DFD6082" w:rsidR="005603E6" w:rsidRPr="00BC3CA3" w:rsidRDefault="005603E6" w:rsidP="005603E6">
      <w:pPr>
        <w:pStyle w:val="Popis"/>
        <w:keepNext/>
        <w:rPr>
          <w:color w:val="314364"/>
        </w:rPr>
      </w:pPr>
      <w:r w:rsidRPr="00307C4F">
        <w:rPr>
          <w:color w:val="314364"/>
        </w:rPr>
        <w:t xml:space="preserve">Graf </w:t>
      </w:r>
      <w:r w:rsidRPr="00C60492">
        <w:rPr>
          <w:color w:val="314364"/>
        </w:rPr>
        <w:t>1</w:t>
      </w:r>
      <w:r>
        <w:rPr>
          <w:color w:val="314364"/>
        </w:rPr>
        <w:t>3</w:t>
      </w:r>
      <w:r w:rsidRPr="00307C4F">
        <w:rPr>
          <w:color w:val="314364"/>
        </w:rPr>
        <w:t>: Vývoj</w:t>
      </w:r>
      <w:r>
        <w:rPr>
          <w:color w:val="314364"/>
        </w:rPr>
        <w:t xml:space="preserve"> programovej štruktúry rozpočtu MZ</w:t>
      </w:r>
      <w:r w:rsidR="0069052A">
        <w:rPr>
          <w:color w:val="314364"/>
        </w:rPr>
        <w:t xml:space="preserve"> </w:t>
      </w:r>
      <w:r>
        <w:rPr>
          <w:color w:val="314364"/>
        </w:rPr>
        <w:t>SR (v mil. eur)</w:t>
      </w:r>
    </w:p>
    <w:tbl>
      <w:tblPr>
        <w:tblStyle w:val="Mriekatabuky"/>
        <w:tblW w:w="50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32"/>
      </w:tblGrid>
      <w:tr w:rsidR="005603E6" w:rsidRPr="00C75134" w14:paraId="1E74220D" w14:textId="77777777" w:rsidTr="00153B7B">
        <w:trPr>
          <w:trHeight w:val="3042"/>
        </w:trPr>
        <w:tc>
          <w:tcPr>
            <w:tcW w:w="9175" w:type="dxa"/>
            <w:tcBorders>
              <w:top w:val="single" w:sz="4" w:space="0" w:color="314364"/>
              <w:bottom w:val="single" w:sz="4" w:space="0" w:color="314364"/>
            </w:tcBorders>
            <w:vAlign w:val="center"/>
          </w:tcPr>
          <w:p w14:paraId="41C0D9E6" w14:textId="77777777" w:rsidR="005603E6" w:rsidRPr="00C75134" w:rsidRDefault="005603E6" w:rsidP="00C119D8">
            <w:pPr>
              <w:spacing w:after="0"/>
              <w:rPr>
                <w:b/>
                <w:color w:val="576431"/>
              </w:rPr>
            </w:pPr>
            <w:r>
              <w:rPr>
                <w:noProof/>
                <w:lang w:eastAsia="sk-SK"/>
              </w:rPr>
              <w:drawing>
                <wp:inline distT="0" distB="0" distL="0" distR="0" wp14:anchorId="21C64585" wp14:editId="769F446C">
                  <wp:extent cx="5773420" cy="1838325"/>
                  <wp:effectExtent l="0" t="0" r="0" b="0"/>
                  <wp:docPr id="43" name="Graf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14:paraId="684B09DD" w14:textId="77777777" w:rsidR="005603E6" w:rsidRDefault="005603E6" w:rsidP="005603E6">
      <w:pPr>
        <w:pStyle w:val="Zdroj"/>
      </w:pPr>
      <w:r>
        <w:t xml:space="preserve">Zdroj: RIS; </w:t>
      </w:r>
      <w:r w:rsidRPr="00E6404F">
        <w:t>spracovanie NKÚ SR</w:t>
      </w:r>
      <w:r>
        <w:t>.</w:t>
      </w:r>
    </w:p>
    <w:p w14:paraId="392F8E76" w14:textId="0C03D6AF" w:rsidR="00757189" w:rsidRPr="00A27797" w:rsidRDefault="002C027A" w:rsidP="005603E6">
      <w:pPr>
        <w:pStyle w:val="Nadpis3"/>
      </w:pPr>
      <w:bookmarkStart w:id="23" w:name="_Toc104991347"/>
      <w:bookmarkStart w:id="24" w:name="_Toc135130796"/>
      <w:bookmarkStart w:id="25" w:name="_Toc136418400"/>
      <w:r>
        <w:t xml:space="preserve">4.1.1 </w:t>
      </w:r>
      <w:r w:rsidR="00757189" w:rsidRPr="00A27797">
        <w:t>Výsledky vynakladania zdrojov na zdravotníctvo</w:t>
      </w:r>
      <w:bookmarkEnd w:id="23"/>
      <w:bookmarkEnd w:id="24"/>
      <w:bookmarkEnd w:id="25"/>
    </w:p>
    <w:p w14:paraId="707906E0" w14:textId="289C9586" w:rsidR="00757189" w:rsidRDefault="00C119D8" w:rsidP="00757189">
      <w:pPr>
        <w:pStyle w:val="Zdroj"/>
        <w:spacing w:line="276" w:lineRule="auto"/>
        <w:jc w:val="both"/>
        <w:rPr>
          <w:i w:val="0"/>
          <w:color w:val="auto"/>
          <w:sz w:val="20"/>
        </w:rPr>
      </w:pPr>
      <w:r>
        <w:rPr>
          <w:i w:val="0"/>
          <w:color w:val="auto"/>
          <w:sz w:val="20"/>
        </w:rPr>
        <w:t>R</w:t>
      </w:r>
      <w:r w:rsidR="00757189">
        <w:rPr>
          <w:i w:val="0"/>
          <w:color w:val="auto"/>
          <w:sz w:val="20"/>
        </w:rPr>
        <w:t xml:space="preserve">ozpočet kapitoly MZ SR tvorí menšiu časť verejných výdavkov na zdravotníctvo. Podstatný objem prostriedkov preteká cez systém </w:t>
      </w:r>
      <w:r>
        <w:rPr>
          <w:i w:val="0"/>
          <w:color w:val="auto"/>
          <w:sz w:val="20"/>
        </w:rPr>
        <w:t>VZP</w:t>
      </w:r>
      <w:r w:rsidR="00757189">
        <w:rPr>
          <w:i w:val="0"/>
          <w:color w:val="auto"/>
          <w:sz w:val="20"/>
        </w:rPr>
        <w:t>, ktorého skutočné výdavky boli v roku 2022 na úrovni 6</w:t>
      </w:r>
      <w:r>
        <w:rPr>
          <w:i w:val="0"/>
          <w:color w:val="auto"/>
          <w:sz w:val="20"/>
        </w:rPr>
        <w:t>,2 mld</w:t>
      </w:r>
      <w:r w:rsidR="00757189">
        <w:rPr>
          <w:i w:val="0"/>
          <w:color w:val="auto"/>
          <w:sz w:val="20"/>
        </w:rPr>
        <w:t>. eur. Spolu bolo v roku 2022 na zdravotníctvo vynaložených z verejných zdrojov 7</w:t>
      </w:r>
      <w:r>
        <w:rPr>
          <w:i w:val="0"/>
          <w:color w:val="auto"/>
          <w:sz w:val="20"/>
        </w:rPr>
        <w:t>,</w:t>
      </w:r>
      <w:r w:rsidR="00757189">
        <w:rPr>
          <w:i w:val="0"/>
          <w:color w:val="auto"/>
          <w:sz w:val="20"/>
        </w:rPr>
        <w:t>1 ml</w:t>
      </w:r>
      <w:r>
        <w:rPr>
          <w:i w:val="0"/>
          <w:color w:val="auto"/>
          <w:sz w:val="20"/>
        </w:rPr>
        <w:t>d</w:t>
      </w:r>
      <w:r w:rsidR="00757189">
        <w:rPr>
          <w:i w:val="0"/>
          <w:color w:val="auto"/>
          <w:sz w:val="20"/>
        </w:rPr>
        <w:t>. eur</w:t>
      </w:r>
      <w:r w:rsidR="00757189">
        <w:rPr>
          <w:rStyle w:val="Odkaznapoznmkupodiarou"/>
          <w:i w:val="0"/>
          <w:color w:val="auto"/>
          <w:sz w:val="20"/>
        </w:rPr>
        <w:footnoteReference w:id="24"/>
      </w:r>
      <w:r w:rsidR="00757189">
        <w:rPr>
          <w:i w:val="0"/>
          <w:color w:val="auto"/>
          <w:sz w:val="20"/>
        </w:rPr>
        <w:t>, čo je po sociálnej oblasti druhá najväčšia položka</w:t>
      </w:r>
      <w:r>
        <w:rPr>
          <w:i w:val="0"/>
          <w:color w:val="auto"/>
          <w:sz w:val="20"/>
        </w:rPr>
        <w:t xml:space="preserve"> RVS</w:t>
      </w:r>
      <w:r w:rsidR="00153B7B">
        <w:rPr>
          <w:i w:val="0"/>
          <w:color w:val="auto"/>
          <w:sz w:val="20"/>
        </w:rPr>
        <w:t>.</w:t>
      </w:r>
    </w:p>
    <w:p w14:paraId="42E93926" w14:textId="77777777" w:rsidR="00C4202A" w:rsidRDefault="00C4202A" w:rsidP="00C4202A">
      <w:pPr>
        <w:pStyle w:val="Popis"/>
        <w:keepNext/>
        <w:rPr>
          <w:color w:val="314364"/>
        </w:rPr>
      </w:pPr>
      <w:r w:rsidRPr="008F7DD4">
        <w:rPr>
          <w:color w:val="314364"/>
        </w:rPr>
        <w:t xml:space="preserve">Graf </w:t>
      </w:r>
      <w:r>
        <w:rPr>
          <w:color w:val="314364"/>
        </w:rPr>
        <w:t>14</w:t>
      </w:r>
      <w:r w:rsidRPr="008F7DD4">
        <w:rPr>
          <w:color w:val="314364"/>
        </w:rPr>
        <w:t xml:space="preserve">: </w:t>
      </w:r>
      <w:r>
        <w:rPr>
          <w:color w:val="314364"/>
        </w:rPr>
        <w:t>Priemerná mesačná nadúmrtnosť za rok 2022 v krajinách EÚ</w:t>
      </w:r>
      <w:r w:rsidRPr="008F7DD4">
        <w:rPr>
          <w:color w:val="314364"/>
        </w:rPr>
        <w:t xml:space="preserve"> </w:t>
      </w:r>
      <w:r>
        <w:rPr>
          <w:color w:val="314364"/>
        </w:rPr>
        <w:t>(%)</w:t>
      </w:r>
    </w:p>
    <w:tbl>
      <w:tblPr>
        <w:tblStyle w:val="Mriekatabuky"/>
        <w:tblW w:w="0" w:type="auto"/>
        <w:tblCellMar>
          <w:left w:w="70" w:type="dxa"/>
          <w:right w:w="70" w:type="dxa"/>
        </w:tblCellMar>
        <w:tblLook w:val="04A0" w:firstRow="1" w:lastRow="0" w:firstColumn="1" w:lastColumn="0" w:noHBand="0" w:noVBand="1"/>
      </w:tblPr>
      <w:tblGrid>
        <w:gridCol w:w="9070"/>
      </w:tblGrid>
      <w:tr w:rsidR="00C4202A" w14:paraId="6DA8EECA" w14:textId="77777777" w:rsidTr="00846EB5">
        <w:trPr>
          <w:trHeight w:val="3402"/>
        </w:trPr>
        <w:tc>
          <w:tcPr>
            <w:tcW w:w="9060" w:type="dxa"/>
            <w:tcBorders>
              <w:top w:val="single" w:sz="4" w:space="0" w:color="314364" w:themeColor="text2"/>
              <w:left w:val="nil"/>
              <w:bottom w:val="single" w:sz="4" w:space="0" w:color="314364" w:themeColor="text2"/>
              <w:right w:val="nil"/>
            </w:tcBorders>
          </w:tcPr>
          <w:p w14:paraId="08422C44" w14:textId="77777777" w:rsidR="00C4202A" w:rsidRDefault="00C4202A" w:rsidP="00846EB5">
            <w:pPr>
              <w:spacing w:after="0"/>
            </w:pPr>
            <w:r>
              <w:rPr>
                <w:noProof/>
                <w:lang w:eastAsia="sk-SK"/>
              </w:rPr>
              <w:drawing>
                <wp:inline distT="0" distB="0" distL="0" distR="0" wp14:anchorId="44E32FBF" wp14:editId="5AAB83E8">
                  <wp:extent cx="5684520" cy="2133600"/>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04DD9D2B" w14:textId="77777777" w:rsidR="00C4202A" w:rsidRDefault="00C4202A" w:rsidP="00C4202A">
      <w:pPr>
        <w:pStyle w:val="Zdroj"/>
      </w:pPr>
      <w:r w:rsidRPr="008F7DD4">
        <w:t xml:space="preserve">Zdroj: </w:t>
      </w:r>
      <w:r>
        <w:t>Eurostat; databáza:</w:t>
      </w:r>
      <w:r w:rsidRPr="008F7DD4">
        <w:t xml:space="preserve"> DEMO_MEXRT; spracovanie </w:t>
      </w:r>
      <w:r>
        <w:t>NKÚ SR.</w:t>
      </w:r>
    </w:p>
    <w:p w14:paraId="6413CC45" w14:textId="7E3C552D" w:rsidR="00153B7B" w:rsidRDefault="00153B7B" w:rsidP="00757189">
      <w:pPr>
        <w:pStyle w:val="Zdroj"/>
        <w:spacing w:line="276" w:lineRule="auto"/>
        <w:jc w:val="both"/>
        <w:rPr>
          <w:i w:val="0"/>
          <w:color w:val="auto"/>
          <w:sz w:val="20"/>
        </w:rPr>
      </w:pPr>
      <w:r>
        <w:rPr>
          <w:i w:val="0"/>
          <w:color w:val="auto"/>
          <w:sz w:val="20"/>
        </w:rPr>
        <w:t xml:space="preserve">O účinnosti a efektívnosti vynakladania týchto zdrojov vypovedajú výsledkové ukazovatele za zdravotníctvo. Tie sú </w:t>
      </w:r>
      <w:r w:rsidR="00BF208C">
        <w:rPr>
          <w:i w:val="0"/>
          <w:color w:val="auto"/>
          <w:sz w:val="20"/>
        </w:rPr>
        <w:t xml:space="preserve">však </w:t>
      </w:r>
      <w:r>
        <w:rPr>
          <w:i w:val="0"/>
          <w:color w:val="auto"/>
          <w:sz w:val="20"/>
        </w:rPr>
        <w:t xml:space="preserve">spravidla vykazované s väčším časovým odstupom, preto dostupnosť ich </w:t>
      </w:r>
      <w:r>
        <w:rPr>
          <w:i w:val="0"/>
          <w:color w:val="auto"/>
          <w:sz w:val="20"/>
        </w:rPr>
        <w:lastRenderedPageBreak/>
        <w:t>hodnôt za rok 2022 je výrazne limitovaná. Dostupný je napríklad ukazovateľ nadúmrtnosti</w:t>
      </w:r>
      <w:r>
        <w:rPr>
          <w:rStyle w:val="Odkaznapoznmkupodiarou"/>
          <w:i w:val="0"/>
          <w:color w:val="auto"/>
          <w:sz w:val="20"/>
        </w:rPr>
        <w:footnoteReference w:id="25"/>
      </w:r>
      <w:r>
        <w:rPr>
          <w:i w:val="0"/>
          <w:color w:val="auto"/>
          <w:sz w:val="20"/>
        </w:rPr>
        <w:t xml:space="preserve">, čo  má ako výsledkový ukazovateľ značnú výpovednú schopnosť o výkone zdravotníctva. Podľa tohto ukazovateľa bol na Slovensku počet úmrtí vyšší ako očakávaná hodnota vo všetkých mesiacoch roka 2022. Najvyššia nadúmrtnosť bola zaznamenaná v marci (24,8 %) a v decembri (21,2 %), pričom priemerná hodnota za všetkých 12 mesiacov minulého roka bola na Slovensku na úrovni 13,6 %. V porovnaní s ostatnými krajinami EÚ dosahovalo Slovensko nadpriemerne vysoké hodnoty </w:t>
      </w:r>
      <w:r w:rsidRPr="005C20CA">
        <w:rPr>
          <w:i w:val="0"/>
          <w:color w:val="auto"/>
          <w:sz w:val="20"/>
        </w:rPr>
        <w:t>(graf 1</w:t>
      </w:r>
      <w:r>
        <w:rPr>
          <w:i w:val="0"/>
          <w:color w:val="auto"/>
          <w:sz w:val="20"/>
        </w:rPr>
        <w:t>4</w:t>
      </w:r>
      <w:r w:rsidRPr="005C20CA">
        <w:rPr>
          <w:i w:val="0"/>
          <w:color w:val="auto"/>
          <w:sz w:val="20"/>
        </w:rPr>
        <w:t>)</w:t>
      </w:r>
      <w:r>
        <w:rPr>
          <w:i w:val="0"/>
          <w:color w:val="auto"/>
          <w:sz w:val="20"/>
        </w:rPr>
        <w:t>.</w:t>
      </w:r>
    </w:p>
    <w:p w14:paraId="3C89D9FC" w14:textId="7815E96A" w:rsidR="00757189" w:rsidRDefault="002C027A" w:rsidP="005603E6">
      <w:pPr>
        <w:pStyle w:val="Nadpis3"/>
      </w:pPr>
      <w:bookmarkStart w:id="26" w:name="_Toc135130797"/>
      <w:bookmarkStart w:id="27" w:name="_Toc136418401"/>
      <w:r>
        <w:t xml:space="preserve">4.1.2 </w:t>
      </w:r>
      <w:r w:rsidR="005024CC">
        <w:t>Výdavky v súvislosti s</w:t>
      </w:r>
      <w:r w:rsidR="004A4FA5">
        <w:t> ochorením</w:t>
      </w:r>
      <w:bookmarkEnd w:id="26"/>
      <w:r w:rsidR="004A4FA5">
        <w:t xml:space="preserve"> COVID-19</w:t>
      </w:r>
      <w:bookmarkEnd w:id="27"/>
    </w:p>
    <w:p w14:paraId="0F7C7397" w14:textId="6BE2F404" w:rsidR="00757189" w:rsidRDefault="00757189" w:rsidP="00757189">
      <w:r>
        <w:t>Aj keď pandémia odznela už na jar 2022, významné výdavky v priamej súvislosti s ňou boli vynakladané počas celého</w:t>
      </w:r>
      <w:r w:rsidR="005024CC">
        <w:t xml:space="preserve"> </w:t>
      </w:r>
      <w:r>
        <w:t xml:space="preserve">roku. Celkovo bolo v 2022 </w:t>
      </w:r>
      <w:r w:rsidR="005024CC">
        <w:t>cez RO</w:t>
      </w:r>
      <w:r>
        <w:t xml:space="preserve"> súvisiac</w:t>
      </w:r>
      <w:r w:rsidR="001123B5">
        <w:t>e</w:t>
      </w:r>
      <w:r>
        <w:t xml:space="preserve"> priamo s COVID-19</w:t>
      </w:r>
      <w:r w:rsidR="00BF208C">
        <w:t>,</w:t>
      </w:r>
      <w:r>
        <w:t xml:space="preserve"> uvoľnených 418,1 mil. eur, z toho </w:t>
      </w:r>
      <w:r w:rsidR="001123B5">
        <w:t>najväčšia časť n</w:t>
      </w:r>
      <w:r>
        <w:t xml:space="preserve">a </w:t>
      </w:r>
      <w:r w:rsidR="00270F8D">
        <w:t xml:space="preserve">nákup </w:t>
      </w:r>
      <w:r>
        <w:t xml:space="preserve">vakcín (graf </w:t>
      </w:r>
      <w:r w:rsidR="004A4FA5">
        <w:t>1</w:t>
      </w:r>
      <w:r w:rsidR="00153B7B">
        <w:t>5</w:t>
      </w:r>
      <w:r>
        <w:t>).</w:t>
      </w:r>
    </w:p>
    <w:tbl>
      <w:tblPr>
        <w:tblStyle w:val="Mriekatabuky"/>
        <w:tblW w:w="5000" w:type="pct"/>
        <w:tblBorders>
          <w:top w:val="none" w:sz="0" w:space="0" w:color="auto"/>
          <w:left w:val="none" w:sz="0" w:space="0" w:color="auto"/>
          <w:bottom w:val="single" w:sz="4" w:space="0" w:color="314364"/>
          <w:right w:val="none" w:sz="0" w:space="0" w:color="auto"/>
          <w:insideH w:val="single" w:sz="4" w:space="0" w:color="314364"/>
        </w:tblBorders>
        <w:tblCellMar>
          <w:left w:w="70" w:type="dxa"/>
          <w:right w:w="70" w:type="dxa"/>
        </w:tblCellMar>
        <w:tblLook w:val="04A0" w:firstRow="1" w:lastRow="0" w:firstColumn="1" w:lastColumn="0" w:noHBand="0" w:noVBand="1"/>
      </w:tblPr>
      <w:tblGrid>
        <w:gridCol w:w="4209"/>
        <w:gridCol w:w="4861"/>
      </w:tblGrid>
      <w:tr w:rsidR="004A4FA5" w:rsidRPr="00C75134" w14:paraId="6D6A3435" w14:textId="77777777" w:rsidTr="00C119D8">
        <w:trPr>
          <w:trHeight w:val="384"/>
        </w:trPr>
        <w:tc>
          <w:tcPr>
            <w:tcW w:w="4678" w:type="dxa"/>
            <w:vAlign w:val="center"/>
          </w:tcPr>
          <w:p w14:paraId="0AAB89D9" w14:textId="19E37E90" w:rsidR="004A4FA5" w:rsidRPr="00C75134" w:rsidRDefault="004A4FA5" w:rsidP="00153B7B">
            <w:pPr>
              <w:spacing w:after="0"/>
              <w:rPr>
                <w:b/>
                <w:color w:val="576431"/>
              </w:rPr>
            </w:pPr>
            <w:r w:rsidRPr="000F0BA6">
              <w:rPr>
                <w:b/>
                <w:iCs/>
                <w:color w:val="314364"/>
                <w:szCs w:val="18"/>
              </w:rPr>
              <w:t xml:space="preserve">Graf </w:t>
            </w:r>
            <w:r>
              <w:rPr>
                <w:b/>
                <w:iCs/>
                <w:color w:val="314364"/>
                <w:szCs w:val="18"/>
              </w:rPr>
              <w:t>1</w:t>
            </w:r>
            <w:r w:rsidR="00153B7B">
              <w:rPr>
                <w:b/>
                <w:iCs/>
                <w:color w:val="314364"/>
                <w:szCs w:val="18"/>
              </w:rPr>
              <w:t>5</w:t>
            </w:r>
            <w:r w:rsidRPr="000F0BA6">
              <w:rPr>
                <w:b/>
                <w:iCs/>
                <w:color w:val="314364"/>
                <w:szCs w:val="18"/>
              </w:rPr>
              <w:t xml:space="preserve">: Objem </w:t>
            </w:r>
            <w:r w:rsidR="00270F8D">
              <w:rPr>
                <w:b/>
                <w:iCs/>
                <w:color w:val="314364"/>
                <w:szCs w:val="18"/>
              </w:rPr>
              <w:t>RO</w:t>
            </w:r>
            <w:r w:rsidRPr="000F0BA6">
              <w:rPr>
                <w:b/>
                <w:iCs/>
                <w:color w:val="314364"/>
                <w:szCs w:val="18"/>
              </w:rPr>
              <w:t xml:space="preserve"> kapitoly MZ SR na </w:t>
            </w:r>
            <w:r w:rsidR="00270F8D">
              <w:rPr>
                <w:b/>
                <w:iCs/>
                <w:color w:val="314364"/>
                <w:szCs w:val="18"/>
              </w:rPr>
              <w:t>covid</w:t>
            </w:r>
            <w:r w:rsidRPr="000F0BA6">
              <w:rPr>
                <w:b/>
                <w:iCs/>
                <w:color w:val="314364"/>
                <w:szCs w:val="18"/>
              </w:rPr>
              <w:t xml:space="preserve"> výdavky v roku 2022 (v mil. eur)</w:t>
            </w:r>
          </w:p>
        </w:tc>
        <w:tc>
          <w:tcPr>
            <w:tcW w:w="4392" w:type="dxa"/>
            <w:tcBorders>
              <w:top w:val="nil"/>
            </w:tcBorders>
          </w:tcPr>
          <w:p w14:paraId="71D40254" w14:textId="2E28A397" w:rsidR="004A4FA5" w:rsidRDefault="004A4FA5" w:rsidP="00153B7B">
            <w:pPr>
              <w:spacing w:after="0"/>
              <w:rPr>
                <w:noProof/>
                <w:lang w:eastAsia="sk-SK"/>
              </w:rPr>
            </w:pPr>
            <w:r w:rsidRPr="000F0BA6">
              <w:rPr>
                <w:b/>
                <w:iCs/>
                <w:color w:val="314364"/>
                <w:szCs w:val="18"/>
              </w:rPr>
              <w:t xml:space="preserve">Graf </w:t>
            </w:r>
            <w:r>
              <w:rPr>
                <w:b/>
                <w:iCs/>
                <w:color w:val="314364"/>
                <w:szCs w:val="18"/>
              </w:rPr>
              <w:t>1</w:t>
            </w:r>
            <w:r w:rsidR="00153B7B">
              <w:rPr>
                <w:b/>
                <w:iCs/>
                <w:color w:val="314364"/>
                <w:szCs w:val="18"/>
              </w:rPr>
              <w:t>6</w:t>
            </w:r>
            <w:r w:rsidRPr="000F0BA6">
              <w:rPr>
                <w:b/>
                <w:iCs/>
                <w:color w:val="314364"/>
                <w:szCs w:val="18"/>
              </w:rPr>
              <w:t>: Vývoj počtu podaných dávok vakcín proti C</w:t>
            </w:r>
            <w:r w:rsidR="00C119D8">
              <w:rPr>
                <w:b/>
                <w:iCs/>
                <w:color w:val="314364"/>
                <w:szCs w:val="18"/>
              </w:rPr>
              <w:t>OVID</w:t>
            </w:r>
            <w:r w:rsidRPr="000F0BA6">
              <w:rPr>
                <w:b/>
                <w:iCs/>
                <w:color w:val="314364"/>
                <w:szCs w:val="18"/>
              </w:rPr>
              <w:t>-19</w:t>
            </w:r>
            <w:r>
              <w:rPr>
                <w:b/>
                <w:iCs/>
                <w:color w:val="314364"/>
                <w:szCs w:val="18"/>
              </w:rPr>
              <w:t xml:space="preserve"> (mil. dávok)</w:t>
            </w:r>
          </w:p>
        </w:tc>
      </w:tr>
      <w:tr w:rsidR="004A4FA5" w:rsidRPr="00C75134" w14:paraId="2E77D8C0" w14:textId="77777777" w:rsidTr="00C119D8">
        <w:trPr>
          <w:trHeight w:val="2948"/>
        </w:trPr>
        <w:tc>
          <w:tcPr>
            <w:tcW w:w="4678" w:type="dxa"/>
            <w:tcBorders>
              <w:bottom w:val="single" w:sz="4" w:space="0" w:color="314364"/>
            </w:tcBorders>
            <w:vAlign w:val="center"/>
          </w:tcPr>
          <w:p w14:paraId="1E61B5D7" w14:textId="77777777" w:rsidR="004A4FA5" w:rsidRDefault="004A4FA5" w:rsidP="00C119D8">
            <w:pPr>
              <w:spacing w:after="0"/>
              <w:rPr>
                <w:noProof/>
                <w:lang w:eastAsia="sk-SK"/>
              </w:rPr>
            </w:pPr>
            <w:r>
              <w:rPr>
                <w:noProof/>
                <w:lang w:eastAsia="sk-SK"/>
              </w:rPr>
              <w:drawing>
                <wp:inline distT="0" distB="0" distL="0" distR="0" wp14:anchorId="3F937D9C" wp14:editId="18469940">
                  <wp:extent cx="2530475" cy="1973580"/>
                  <wp:effectExtent l="0" t="0" r="3175" b="7620"/>
                  <wp:docPr id="46" name="Graf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392" w:type="dxa"/>
            <w:tcBorders>
              <w:top w:val="single" w:sz="4" w:space="0" w:color="314364"/>
              <w:bottom w:val="single" w:sz="4" w:space="0" w:color="314364"/>
            </w:tcBorders>
          </w:tcPr>
          <w:p w14:paraId="2589B1D4" w14:textId="77777777" w:rsidR="004A4FA5" w:rsidRDefault="004A4FA5" w:rsidP="00C119D8">
            <w:pPr>
              <w:spacing w:after="0"/>
              <w:rPr>
                <w:noProof/>
                <w:lang w:eastAsia="sk-SK"/>
              </w:rPr>
            </w:pPr>
            <w:r>
              <w:rPr>
                <w:noProof/>
                <w:lang w:eastAsia="sk-SK"/>
              </w:rPr>
              <w:drawing>
                <wp:inline distT="0" distB="0" distL="0" distR="0" wp14:anchorId="6771DBFA" wp14:editId="1610FAB6">
                  <wp:extent cx="2997835" cy="1969135"/>
                  <wp:effectExtent l="0" t="0" r="0" b="0"/>
                  <wp:docPr id="47" name="Graf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4A4FA5" w:rsidRPr="00C75134" w14:paraId="4F450B2C" w14:textId="77777777" w:rsidTr="00C119D8">
        <w:trPr>
          <w:trHeight w:val="339"/>
        </w:trPr>
        <w:tc>
          <w:tcPr>
            <w:tcW w:w="4678" w:type="dxa"/>
            <w:tcBorders>
              <w:top w:val="single" w:sz="4" w:space="0" w:color="314364"/>
              <w:bottom w:val="nil"/>
            </w:tcBorders>
            <w:vAlign w:val="center"/>
          </w:tcPr>
          <w:p w14:paraId="46C30335" w14:textId="1695D70F" w:rsidR="004A4FA5" w:rsidRDefault="004A4FA5" w:rsidP="00C119D8">
            <w:pPr>
              <w:pStyle w:val="Zdroj"/>
            </w:pPr>
            <w:r>
              <w:t xml:space="preserve">Zdroj: Návrh </w:t>
            </w:r>
            <w:r w:rsidR="00C119D8">
              <w:t>ZÚ</w:t>
            </w:r>
            <w:r>
              <w:t xml:space="preserve"> MZ</w:t>
            </w:r>
            <w:r w:rsidR="00C119D8">
              <w:t xml:space="preserve"> </w:t>
            </w:r>
            <w:r>
              <w:t xml:space="preserve">SR za rok 2022; </w:t>
            </w:r>
            <w:r w:rsidRPr="00E6404F">
              <w:t>spracovanie NKÚ SR</w:t>
            </w:r>
            <w:r>
              <w:t>.</w:t>
            </w:r>
          </w:p>
        </w:tc>
        <w:tc>
          <w:tcPr>
            <w:tcW w:w="4392" w:type="dxa"/>
            <w:tcBorders>
              <w:top w:val="single" w:sz="4" w:space="0" w:color="314364"/>
              <w:bottom w:val="nil"/>
            </w:tcBorders>
          </w:tcPr>
          <w:p w14:paraId="425EF0B4" w14:textId="77777777" w:rsidR="004A4FA5" w:rsidRDefault="004A4FA5" w:rsidP="00C119D8">
            <w:pPr>
              <w:spacing w:after="0"/>
              <w:rPr>
                <w:noProof/>
                <w:lang w:eastAsia="sk-SK"/>
              </w:rPr>
            </w:pPr>
            <w:r w:rsidRPr="00C11098">
              <w:rPr>
                <w:i/>
                <w:color w:val="314364" w:themeColor="text2"/>
                <w:sz w:val="16"/>
              </w:rPr>
              <w:t>Zdroj: NCZI; spracovanie NKÚ SR.</w:t>
            </w:r>
          </w:p>
        </w:tc>
      </w:tr>
    </w:tbl>
    <w:p w14:paraId="717744A2" w14:textId="35D5D462" w:rsidR="00757189" w:rsidRPr="00ED5BF4" w:rsidRDefault="00757189" w:rsidP="00757189">
      <w:pPr>
        <w:pStyle w:val="Zdroj"/>
        <w:spacing w:line="276" w:lineRule="auto"/>
        <w:jc w:val="both"/>
        <w:rPr>
          <w:rFonts w:cs="Segoe UI"/>
          <w:b/>
          <w:i w:val="0"/>
          <w:color w:val="auto"/>
          <w:sz w:val="20"/>
          <w:szCs w:val="20"/>
        </w:rPr>
      </w:pPr>
      <w:r w:rsidRPr="005F01C1">
        <w:rPr>
          <w:rFonts w:cs="Segoe UI"/>
          <w:i w:val="0"/>
          <w:color w:val="auto"/>
          <w:sz w:val="20"/>
          <w:szCs w:val="20"/>
        </w:rPr>
        <w:t>V</w:t>
      </w:r>
      <w:r>
        <w:rPr>
          <w:rFonts w:cs="Segoe UI"/>
          <w:i w:val="0"/>
          <w:color w:val="auto"/>
          <w:sz w:val="20"/>
          <w:szCs w:val="20"/>
        </w:rPr>
        <w:t xml:space="preserve"> období od decembra 2020 do februára 2023 bolo </w:t>
      </w:r>
      <w:r w:rsidR="00AB4503">
        <w:rPr>
          <w:rFonts w:cs="Segoe UI"/>
          <w:i w:val="0"/>
          <w:color w:val="auto"/>
          <w:sz w:val="20"/>
          <w:szCs w:val="20"/>
        </w:rPr>
        <w:t>do SR</w:t>
      </w:r>
      <w:r>
        <w:rPr>
          <w:rFonts w:cs="Segoe UI"/>
          <w:i w:val="0"/>
          <w:color w:val="auto"/>
          <w:sz w:val="20"/>
          <w:szCs w:val="20"/>
        </w:rPr>
        <w:t xml:space="preserve"> dodaných takmer 14,7 mil. dávok vakcín proti ochoreniu C</w:t>
      </w:r>
      <w:r w:rsidR="00C119D8">
        <w:rPr>
          <w:rFonts w:cs="Segoe UI"/>
          <w:i w:val="0"/>
          <w:color w:val="auto"/>
          <w:sz w:val="20"/>
          <w:szCs w:val="20"/>
        </w:rPr>
        <w:t>OVID</w:t>
      </w:r>
      <w:r>
        <w:rPr>
          <w:rFonts w:cs="Segoe UI"/>
          <w:i w:val="0"/>
          <w:color w:val="auto"/>
          <w:sz w:val="20"/>
          <w:szCs w:val="20"/>
        </w:rPr>
        <w:t>-19 (tab</w:t>
      </w:r>
      <w:r w:rsidR="00C119D8">
        <w:rPr>
          <w:rFonts w:cs="Segoe UI"/>
          <w:i w:val="0"/>
          <w:color w:val="auto"/>
          <w:sz w:val="20"/>
          <w:szCs w:val="20"/>
        </w:rPr>
        <w:t>uľka 12</w:t>
      </w:r>
      <w:r>
        <w:rPr>
          <w:rFonts w:cs="Segoe UI"/>
          <w:i w:val="0"/>
          <w:color w:val="auto"/>
          <w:sz w:val="20"/>
          <w:szCs w:val="20"/>
        </w:rPr>
        <w:t>). Celkové náklady na obstaranie vakcín za toto obdobie dosiahli 264 mil. eur. Podaných bola približne polovica z dodaných dávok. Milióny dávok boli darované</w:t>
      </w:r>
      <w:r>
        <w:rPr>
          <w:rStyle w:val="Odkaznapoznmkupodiarou"/>
          <w:rFonts w:cs="Segoe UI"/>
          <w:i w:val="0"/>
          <w:color w:val="auto"/>
          <w:sz w:val="20"/>
          <w:szCs w:val="20"/>
        </w:rPr>
        <w:footnoteReference w:id="26"/>
      </w:r>
      <w:r>
        <w:rPr>
          <w:rFonts w:cs="Segoe UI"/>
          <w:i w:val="0"/>
          <w:color w:val="auto"/>
          <w:sz w:val="20"/>
          <w:szCs w:val="20"/>
        </w:rPr>
        <w:t xml:space="preserve"> a veľká časť zostáva uskladnených. </w:t>
      </w:r>
      <w:r w:rsidR="00270F8D">
        <w:rPr>
          <w:rFonts w:cs="Segoe UI"/>
          <w:i w:val="0"/>
          <w:color w:val="auto"/>
          <w:sz w:val="20"/>
          <w:szCs w:val="20"/>
        </w:rPr>
        <w:t>R</w:t>
      </w:r>
      <w:r>
        <w:rPr>
          <w:rFonts w:cs="Segoe UI"/>
          <w:i w:val="0"/>
          <w:color w:val="auto"/>
          <w:sz w:val="20"/>
          <w:szCs w:val="20"/>
        </w:rPr>
        <w:t xml:space="preserve">eálna potreba vakcín od jari 2022 </w:t>
      </w:r>
      <w:r w:rsidR="00270F8D">
        <w:rPr>
          <w:rFonts w:cs="Segoe UI"/>
          <w:i w:val="0"/>
          <w:color w:val="auto"/>
          <w:sz w:val="20"/>
          <w:szCs w:val="20"/>
        </w:rPr>
        <w:t xml:space="preserve">však </w:t>
      </w:r>
      <w:r>
        <w:rPr>
          <w:rFonts w:cs="Segoe UI"/>
          <w:i w:val="0"/>
          <w:color w:val="auto"/>
          <w:sz w:val="20"/>
          <w:szCs w:val="20"/>
        </w:rPr>
        <w:t xml:space="preserve">bola minimálna (graf </w:t>
      </w:r>
      <w:r w:rsidR="004A4FA5">
        <w:rPr>
          <w:rFonts w:cs="Segoe UI"/>
          <w:i w:val="0"/>
          <w:color w:val="auto"/>
          <w:sz w:val="20"/>
          <w:szCs w:val="20"/>
        </w:rPr>
        <w:t>1</w:t>
      </w:r>
      <w:r w:rsidR="00153B7B">
        <w:rPr>
          <w:rFonts w:cs="Segoe UI"/>
          <w:i w:val="0"/>
          <w:color w:val="auto"/>
          <w:sz w:val="20"/>
          <w:szCs w:val="20"/>
        </w:rPr>
        <w:t>6</w:t>
      </w:r>
      <w:r>
        <w:rPr>
          <w:rFonts w:cs="Segoe UI"/>
          <w:i w:val="0"/>
          <w:color w:val="auto"/>
          <w:sz w:val="20"/>
          <w:szCs w:val="20"/>
        </w:rPr>
        <w:t xml:space="preserve">). Napriek tomu smerovali na Slovensko ďalšie dodávky. </w:t>
      </w:r>
      <w:r w:rsidR="00270F8D">
        <w:rPr>
          <w:rFonts w:cs="Segoe UI"/>
          <w:i w:val="0"/>
          <w:color w:val="auto"/>
          <w:sz w:val="20"/>
          <w:szCs w:val="20"/>
        </w:rPr>
        <w:t>N</w:t>
      </w:r>
      <w:r w:rsidRPr="00C11098">
        <w:rPr>
          <w:rFonts w:cs="Segoe UI"/>
          <w:i w:val="0"/>
          <w:color w:val="auto"/>
          <w:sz w:val="20"/>
          <w:szCs w:val="20"/>
        </w:rPr>
        <w:t xml:space="preserve">a </w:t>
      </w:r>
      <w:r w:rsidR="00270F8D">
        <w:rPr>
          <w:rFonts w:cs="Segoe UI"/>
          <w:i w:val="0"/>
          <w:color w:val="auto"/>
          <w:sz w:val="20"/>
          <w:szCs w:val="20"/>
        </w:rPr>
        <w:t xml:space="preserve">nákup </w:t>
      </w:r>
      <w:r w:rsidRPr="00C11098">
        <w:rPr>
          <w:rFonts w:cs="Segoe UI"/>
          <w:i w:val="0"/>
          <w:color w:val="auto"/>
          <w:sz w:val="20"/>
          <w:szCs w:val="20"/>
        </w:rPr>
        <w:t>vakcín bolo v druhom polroku</w:t>
      </w:r>
      <w:r>
        <w:rPr>
          <w:rFonts w:cs="Segoe UI"/>
          <w:i w:val="0"/>
          <w:color w:val="auto"/>
          <w:sz w:val="20"/>
          <w:szCs w:val="20"/>
        </w:rPr>
        <w:t xml:space="preserve"> 2022 </w:t>
      </w:r>
      <w:r w:rsidR="00BF208C">
        <w:rPr>
          <w:rFonts w:cs="Segoe UI"/>
          <w:i w:val="0"/>
          <w:color w:val="auto"/>
          <w:sz w:val="20"/>
          <w:szCs w:val="20"/>
        </w:rPr>
        <w:t xml:space="preserve">– </w:t>
      </w:r>
      <w:r>
        <w:rPr>
          <w:rFonts w:cs="Segoe UI"/>
          <w:i w:val="0"/>
          <w:color w:val="auto"/>
          <w:sz w:val="20"/>
          <w:szCs w:val="20"/>
        </w:rPr>
        <w:t xml:space="preserve">teda po odznení pandémie </w:t>
      </w:r>
      <w:r w:rsidR="00BF208C">
        <w:rPr>
          <w:rFonts w:cs="Segoe UI"/>
          <w:i w:val="0"/>
          <w:color w:val="auto"/>
          <w:sz w:val="20"/>
          <w:szCs w:val="20"/>
        </w:rPr>
        <w:t>–</w:t>
      </w:r>
      <w:r>
        <w:rPr>
          <w:rFonts w:cs="Segoe UI"/>
          <w:i w:val="0"/>
          <w:color w:val="auto"/>
          <w:sz w:val="20"/>
          <w:szCs w:val="20"/>
        </w:rPr>
        <w:t xml:space="preserve"> </w:t>
      </w:r>
      <w:r w:rsidRPr="00C11098">
        <w:rPr>
          <w:rFonts w:cs="Segoe UI"/>
          <w:i w:val="0"/>
          <w:color w:val="auto"/>
          <w:sz w:val="20"/>
          <w:szCs w:val="20"/>
        </w:rPr>
        <w:t>uvoľnených takmer 57 mil. eur</w:t>
      </w:r>
      <w:r>
        <w:rPr>
          <w:rStyle w:val="Odkaznapoznmkupodiarou"/>
          <w:rFonts w:cs="Segoe UI"/>
          <w:i w:val="0"/>
          <w:color w:val="auto"/>
          <w:sz w:val="20"/>
          <w:szCs w:val="20"/>
        </w:rPr>
        <w:footnoteReference w:id="27"/>
      </w:r>
      <w:r>
        <w:rPr>
          <w:rFonts w:cs="Segoe UI"/>
          <w:i w:val="0"/>
          <w:color w:val="auto"/>
          <w:sz w:val="20"/>
          <w:szCs w:val="20"/>
        </w:rPr>
        <w:t xml:space="preserve">. Podľa dát MZ SR bolo na sklade k začiatku roka 2022 vyše 1,1 mil. dávok vakcín a za celý rok bolo podaných 0,9 mil. vakcín. Teda </w:t>
      </w:r>
      <w:r w:rsidRPr="00F254EB">
        <w:rPr>
          <w:rFonts w:cs="Segoe UI"/>
          <w:b/>
          <w:i w:val="0"/>
          <w:color w:val="auto"/>
          <w:sz w:val="20"/>
          <w:szCs w:val="20"/>
        </w:rPr>
        <w:t>aj keď Slov</w:t>
      </w:r>
      <w:r>
        <w:rPr>
          <w:rFonts w:cs="Segoe UI"/>
          <w:b/>
          <w:i w:val="0"/>
          <w:color w:val="auto"/>
          <w:sz w:val="20"/>
          <w:szCs w:val="20"/>
        </w:rPr>
        <w:t>e</w:t>
      </w:r>
      <w:r w:rsidRPr="00F254EB">
        <w:rPr>
          <w:rFonts w:cs="Segoe UI"/>
          <w:b/>
          <w:i w:val="0"/>
          <w:color w:val="auto"/>
          <w:sz w:val="20"/>
          <w:szCs w:val="20"/>
        </w:rPr>
        <w:t>nsko v roku 2022 reálne nepotrebovalo nakúpiť ani jednu dávku vakcíny, v</w:t>
      </w:r>
      <w:r>
        <w:rPr>
          <w:rFonts w:cs="Segoe UI"/>
          <w:b/>
          <w:i w:val="0"/>
          <w:color w:val="auto"/>
          <w:sz w:val="20"/>
          <w:szCs w:val="20"/>
        </w:rPr>
        <w:t> </w:t>
      </w:r>
      <w:r w:rsidRPr="00F254EB">
        <w:rPr>
          <w:rFonts w:cs="Segoe UI"/>
          <w:b/>
          <w:i w:val="0"/>
          <w:color w:val="auto"/>
          <w:sz w:val="20"/>
          <w:szCs w:val="20"/>
        </w:rPr>
        <w:t>skutočnosti</w:t>
      </w:r>
      <w:r>
        <w:rPr>
          <w:rFonts w:cs="Segoe UI"/>
          <w:b/>
          <w:i w:val="0"/>
          <w:color w:val="auto"/>
          <w:sz w:val="20"/>
          <w:szCs w:val="20"/>
        </w:rPr>
        <w:t xml:space="preserve"> </w:t>
      </w:r>
      <w:r w:rsidR="00270F8D">
        <w:rPr>
          <w:rFonts w:cs="Segoe UI"/>
          <w:b/>
          <w:i w:val="0"/>
          <w:color w:val="auto"/>
          <w:sz w:val="20"/>
          <w:szCs w:val="20"/>
        </w:rPr>
        <w:t>mu</w:t>
      </w:r>
      <w:r w:rsidRPr="00F254EB">
        <w:rPr>
          <w:rFonts w:cs="Segoe UI"/>
          <w:b/>
          <w:i w:val="0"/>
          <w:color w:val="auto"/>
          <w:sz w:val="20"/>
          <w:szCs w:val="20"/>
        </w:rPr>
        <w:t xml:space="preserve"> bolo dodaných ďalších 5,8 mil. dávok</w:t>
      </w:r>
      <w:r>
        <w:rPr>
          <w:rFonts w:cs="Segoe UI"/>
          <w:i w:val="0"/>
          <w:color w:val="auto"/>
          <w:sz w:val="20"/>
          <w:szCs w:val="20"/>
        </w:rPr>
        <w:t xml:space="preserve"> a na obstaranie nepotrebných vakcín pre rok 2022 </w:t>
      </w:r>
      <w:r w:rsidR="00F36FC3">
        <w:rPr>
          <w:rFonts w:cs="Segoe UI"/>
          <w:i w:val="0"/>
          <w:color w:val="auto"/>
          <w:sz w:val="20"/>
          <w:szCs w:val="20"/>
        </w:rPr>
        <w:t xml:space="preserve">bolo </w:t>
      </w:r>
      <w:r>
        <w:rPr>
          <w:rFonts w:cs="Segoe UI"/>
          <w:i w:val="0"/>
          <w:color w:val="auto"/>
          <w:sz w:val="20"/>
          <w:szCs w:val="20"/>
        </w:rPr>
        <w:t>z verejných zdrojov vynalož</w:t>
      </w:r>
      <w:r w:rsidR="00F36FC3">
        <w:rPr>
          <w:rFonts w:cs="Segoe UI"/>
          <w:i w:val="0"/>
          <w:color w:val="auto"/>
          <w:sz w:val="20"/>
          <w:szCs w:val="20"/>
        </w:rPr>
        <w:t>ených</w:t>
      </w:r>
      <w:r>
        <w:rPr>
          <w:rFonts w:cs="Segoe UI"/>
          <w:i w:val="0"/>
          <w:color w:val="auto"/>
          <w:sz w:val="20"/>
          <w:szCs w:val="20"/>
        </w:rPr>
        <w:t xml:space="preserve"> 151 mil. eur</w:t>
      </w:r>
      <w:r>
        <w:rPr>
          <w:rStyle w:val="Odkaznapoznmkupodiarou"/>
          <w:rFonts w:cs="Segoe UI"/>
          <w:i w:val="0"/>
          <w:color w:val="auto"/>
          <w:sz w:val="20"/>
          <w:szCs w:val="20"/>
        </w:rPr>
        <w:footnoteReference w:id="28"/>
      </w:r>
      <w:r>
        <w:rPr>
          <w:rFonts w:cs="Segoe UI"/>
          <w:i w:val="0"/>
          <w:color w:val="auto"/>
          <w:sz w:val="20"/>
          <w:szCs w:val="20"/>
        </w:rPr>
        <w:t xml:space="preserve">. Jedným z indikátorov neúčinnosti takéhoto vynakladania rozpočtových prostriedkov je skutočnosť, že </w:t>
      </w:r>
      <w:r w:rsidRPr="00AB4503">
        <w:rPr>
          <w:rFonts w:cs="Segoe UI"/>
          <w:b/>
          <w:i w:val="0"/>
          <w:color w:val="auto"/>
          <w:sz w:val="20"/>
          <w:szCs w:val="20"/>
        </w:rPr>
        <w:t>ku koncu roku 2022 malo Slovensko</w:t>
      </w:r>
      <w:r>
        <w:rPr>
          <w:rFonts w:cs="Segoe UI"/>
          <w:i w:val="0"/>
          <w:color w:val="auto"/>
          <w:sz w:val="20"/>
          <w:szCs w:val="20"/>
        </w:rPr>
        <w:t xml:space="preserve"> </w:t>
      </w:r>
      <w:r w:rsidRPr="006F3575">
        <w:rPr>
          <w:rFonts w:cs="Segoe UI"/>
          <w:b/>
          <w:i w:val="0"/>
          <w:color w:val="auto"/>
          <w:sz w:val="20"/>
          <w:szCs w:val="20"/>
        </w:rPr>
        <w:t>na sklade viac ako 6,1 mil. dávok vakcín</w:t>
      </w:r>
      <w:r>
        <w:rPr>
          <w:rFonts w:cs="Segoe UI"/>
          <w:i w:val="0"/>
          <w:color w:val="auto"/>
          <w:sz w:val="20"/>
          <w:szCs w:val="20"/>
        </w:rPr>
        <w:t xml:space="preserve">. Nutnosť odoberania vakcín súvisí so zmluvnými podmienkami, ktoré s výrobcami vakcín </w:t>
      </w:r>
      <w:proofErr w:type="spellStart"/>
      <w:r>
        <w:rPr>
          <w:rFonts w:cs="Segoe UI"/>
          <w:i w:val="0"/>
          <w:color w:val="auto"/>
          <w:sz w:val="20"/>
          <w:szCs w:val="20"/>
        </w:rPr>
        <w:t>vyrokovala</w:t>
      </w:r>
      <w:proofErr w:type="spellEnd"/>
      <w:r>
        <w:rPr>
          <w:rFonts w:cs="Segoe UI"/>
          <w:i w:val="0"/>
          <w:color w:val="auto"/>
          <w:sz w:val="20"/>
          <w:szCs w:val="20"/>
        </w:rPr>
        <w:t xml:space="preserve"> za členské štáty E</w:t>
      </w:r>
      <w:r w:rsidR="001648A0">
        <w:rPr>
          <w:rFonts w:cs="Segoe UI"/>
          <w:i w:val="0"/>
          <w:color w:val="auto"/>
          <w:sz w:val="20"/>
          <w:szCs w:val="20"/>
        </w:rPr>
        <w:t>K</w:t>
      </w:r>
      <w:r>
        <w:rPr>
          <w:rFonts w:cs="Segoe UI"/>
          <w:i w:val="0"/>
          <w:color w:val="auto"/>
          <w:sz w:val="20"/>
          <w:szCs w:val="20"/>
        </w:rPr>
        <w:t xml:space="preserve">. </w:t>
      </w:r>
      <w:r w:rsidR="000C05D2">
        <w:rPr>
          <w:rFonts w:cs="Segoe UI"/>
          <w:i w:val="0"/>
          <w:color w:val="auto"/>
          <w:sz w:val="20"/>
          <w:szCs w:val="20"/>
        </w:rPr>
        <w:t>V</w:t>
      </w:r>
      <w:r>
        <w:rPr>
          <w:rFonts w:cs="Segoe UI"/>
          <w:i w:val="0"/>
          <w:color w:val="auto"/>
          <w:sz w:val="20"/>
          <w:szCs w:val="20"/>
        </w:rPr>
        <w:t> júni 2022 skupina členských štátov žiadala</w:t>
      </w:r>
      <w:r w:rsidR="00B745FB">
        <w:rPr>
          <w:rFonts w:cs="Segoe UI"/>
          <w:i w:val="0"/>
          <w:color w:val="auto"/>
          <w:sz w:val="20"/>
          <w:szCs w:val="20"/>
        </w:rPr>
        <w:t xml:space="preserve"> </w:t>
      </w:r>
      <w:r>
        <w:rPr>
          <w:rFonts w:cs="Segoe UI"/>
          <w:i w:val="0"/>
          <w:color w:val="auto"/>
          <w:sz w:val="20"/>
          <w:szCs w:val="20"/>
        </w:rPr>
        <w:t>EK o </w:t>
      </w:r>
      <w:proofErr w:type="spellStart"/>
      <w:r>
        <w:rPr>
          <w:rFonts w:cs="Segoe UI"/>
          <w:i w:val="0"/>
          <w:color w:val="auto"/>
          <w:sz w:val="20"/>
          <w:szCs w:val="20"/>
        </w:rPr>
        <w:t>renegociáciu</w:t>
      </w:r>
      <w:proofErr w:type="spellEnd"/>
      <w:r>
        <w:rPr>
          <w:rFonts w:cs="Segoe UI"/>
          <w:i w:val="0"/>
          <w:color w:val="auto"/>
          <w:sz w:val="20"/>
          <w:szCs w:val="20"/>
        </w:rPr>
        <w:t xml:space="preserve"> týchto nevýhodných </w:t>
      </w:r>
      <w:r>
        <w:rPr>
          <w:rFonts w:cs="Segoe UI"/>
          <w:i w:val="0"/>
          <w:color w:val="auto"/>
          <w:sz w:val="20"/>
          <w:szCs w:val="20"/>
        </w:rPr>
        <w:lastRenderedPageBreak/>
        <w:t>podmienok</w:t>
      </w:r>
      <w:r w:rsidR="00270F8D">
        <w:rPr>
          <w:rFonts w:cs="Segoe UI"/>
          <w:i w:val="0"/>
          <w:color w:val="auto"/>
          <w:sz w:val="20"/>
          <w:szCs w:val="20"/>
        </w:rPr>
        <w:t>.</w:t>
      </w:r>
      <w:r w:rsidR="000C05D2" w:rsidRPr="00FC01BD">
        <w:rPr>
          <w:i w:val="0"/>
          <w:sz w:val="20"/>
          <w:szCs w:val="20"/>
          <w:vertAlign w:val="superscript"/>
        </w:rPr>
        <w:footnoteReference w:id="29"/>
      </w:r>
      <w:r w:rsidR="00ED5BF4" w:rsidRPr="00FC01BD">
        <w:rPr>
          <w:rFonts w:cs="Segoe UI"/>
          <w:i w:val="0"/>
          <w:color w:val="auto"/>
          <w:sz w:val="20"/>
          <w:szCs w:val="20"/>
        </w:rPr>
        <w:t xml:space="preserve"> </w:t>
      </w:r>
      <w:r w:rsidR="00ED5BF4" w:rsidRPr="00ED5BF4">
        <w:rPr>
          <w:rFonts w:cs="Segoe UI"/>
          <w:b/>
          <w:i w:val="0"/>
          <w:color w:val="auto"/>
          <w:sz w:val="20"/>
          <w:szCs w:val="20"/>
        </w:rPr>
        <w:t>Keďže ide o európsky problém</w:t>
      </w:r>
      <w:r w:rsidR="00ED5BF4" w:rsidRPr="00ED5BF4">
        <w:rPr>
          <w:b/>
        </w:rPr>
        <w:t xml:space="preserve">, </w:t>
      </w:r>
      <w:r w:rsidR="00ED5BF4" w:rsidRPr="00ED5BF4">
        <w:rPr>
          <w:rFonts w:cs="Segoe UI"/>
          <w:b/>
          <w:i w:val="0"/>
          <w:color w:val="auto"/>
          <w:sz w:val="20"/>
          <w:szCs w:val="20"/>
        </w:rPr>
        <w:t>NKÚ SR sa v tejto súvislosti obráti na EDA s</w:t>
      </w:r>
      <w:r w:rsidR="00FC01BD">
        <w:rPr>
          <w:rFonts w:cs="Segoe UI"/>
          <w:b/>
          <w:i w:val="0"/>
          <w:color w:val="auto"/>
          <w:sz w:val="20"/>
          <w:szCs w:val="20"/>
        </w:rPr>
        <w:t> podnetom na</w:t>
      </w:r>
      <w:r w:rsidR="00ED5BF4" w:rsidRPr="00ED5BF4">
        <w:rPr>
          <w:rFonts w:cs="Segoe UI"/>
          <w:b/>
          <w:i w:val="0"/>
          <w:color w:val="auto"/>
          <w:sz w:val="20"/>
          <w:szCs w:val="20"/>
        </w:rPr>
        <w:t xml:space="preserve"> audit </w:t>
      </w:r>
      <w:r w:rsidR="007E0283" w:rsidRPr="007E0283">
        <w:rPr>
          <w:rFonts w:cs="Segoe UI"/>
          <w:b/>
          <w:i w:val="0"/>
          <w:color w:val="auto"/>
          <w:sz w:val="20"/>
          <w:szCs w:val="20"/>
        </w:rPr>
        <w:t>zmlúv uzatvorených na úrovni EÚ za účelom nákupu vakcín</w:t>
      </w:r>
      <w:r w:rsidR="007E0283">
        <w:rPr>
          <w:rFonts w:cs="Segoe UI"/>
          <w:b/>
          <w:i w:val="0"/>
          <w:color w:val="auto"/>
          <w:sz w:val="20"/>
          <w:szCs w:val="20"/>
        </w:rPr>
        <w:t>.</w:t>
      </w:r>
    </w:p>
    <w:p w14:paraId="52F5AB47" w14:textId="5D360F7D" w:rsidR="00E23B94" w:rsidRPr="00C60492" w:rsidRDefault="00E23B94" w:rsidP="00E23B94">
      <w:pPr>
        <w:spacing w:after="0"/>
        <w:rPr>
          <w:color w:val="314364"/>
        </w:rPr>
      </w:pPr>
      <w:r w:rsidRPr="00C60492">
        <w:rPr>
          <w:b/>
          <w:iCs/>
          <w:color w:val="314364"/>
          <w:szCs w:val="18"/>
        </w:rPr>
        <w:t xml:space="preserve">Tabuľka </w:t>
      </w:r>
      <w:r>
        <w:rPr>
          <w:b/>
          <w:iCs/>
          <w:color w:val="314364"/>
          <w:szCs w:val="18"/>
        </w:rPr>
        <w:t>12</w:t>
      </w:r>
      <w:r w:rsidRPr="00C60492">
        <w:rPr>
          <w:b/>
          <w:iCs/>
          <w:color w:val="314364"/>
          <w:szCs w:val="18"/>
        </w:rPr>
        <w:t>: Vybrané ukazovatele o hospodárení s vakcínami proti C</w:t>
      </w:r>
      <w:r w:rsidR="000C05D2">
        <w:rPr>
          <w:b/>
          <w:iCs/>
          <w:color w:val="314364"/>
          <w:szCs w:val="18"/>
        </w:rPr>
        <w:t>OVID</w:t>
      </w:r>
      <w:r w:rsidRPr="00C60492">
        <w:rPr>
          <w:b/>
          <w:iCs/>
          <w:color w:val="314364"/>
          <w:szCs w:val="18"/>
        </w:rPr>
        <w:t>-19</w:t>
      </w:r>
    </w:p>
    <w:tbl>
      <w:tblPr>
        <w:tblW w:w="9140" w:type="dxa"/>
        <w:tblInd w:w="-5" w:type="dxa"/>
        <w:tblBorders>
          <w:bottom w:val="single" w:sz="4" w:space="0" w:color="314364" w:themeColor="text2"/>
        </w:tblBorders>
        <w:tblCellMar>
          <w:left w:w="70" w:type="dxa"/>
          <w:right w:w="70" w:type="dxa"/>
        </w:tblCellMar>
        <w:tblLook w:val="04A0" w:firstRow="1" w:lastRow="0" w:firstColumn="1" w:lastColumn="0" w:noHBand="0" w:noVBand="1"/>
      </w:tblPr>
      <w:tblGrid>
        <w:gridCol w:w="3252"/>
        <w:gridCol w:w="1431"/>
        <w:gridCol w:w="837"/>
        <w:gridCol w:w="1134"/>
        <w:gridCol w:w="1156"/>
        <w:gridCol w:w="1330"/>
      </w:tblGrid>
      <w:tr w:rsidR="00E23B94" w:rsidRPr="00064CA0" w14:paraId="721CDBD5" w14:textId="77777777" w:rsidTr="00BD7E54">
        <w:trPr>
          <w:trHeight w:val="283"/>
        </w:trPr>
        <w:tc>
          <w:tcPr>
            <w:tcW w:w="3252" w:type="dxa"/>
            <w:shd w:val="clear" w:color="auto" w:fill="314364" w:themeFill="text2"/>
            <w:vAlign w:val="center"/>
            <w:hideMark/>
          </w:tcPr>
          <w:p w14:paraId="35B8AFE4" w14:textId="6D1A05C4" w:rsidR="00E23B94" w:rsidRPr="00064CA0" w:rsidRDefault="00E23B94" w:rsidP="00C119D8">
            <w:pPr>
              <w:spacing w:after="0" w:line="240" w:lineRule="auto"/>
              <w:jc w:val="left"/>
              <w:rPr>
                <w:rFonts w:eastAsia="Times New Roman" w:cs="Segoe UI"/>
                <w:b/>
                <w:color w:val="FFFFFF"/>
                <w:sz w:val="16"/>
                <w:szCs w:val="16"/>
                <w:lang w:eastAsia="sk-SK"/>
              </w:rPr>
            </w:pPr>
            <w:r w:rsidRPr="00064CA0">
              <w:rPr>
                <w:rFonts w:eastAsia="Times New Roman" w:cs="Segoe UI"/>
                <w:b/>
                <w:color w:val="FFFFFF"/>
                <w:sz w:val="16"/>
                <w:szCs w:val="16"/>
                <w:lang w:eastAsia="sk-SK"/>
              </w:rPr>
              <w:t> </w:t>
            </w:r>
            <w:r w:rsidR="005B08CF" w:rsidRPr="00064CA0">
              <w:rPr>
                <w:rFonts w:eastAsia="Times New Roman" w:cs="Segoe UI"/>
                <w:b/>
                <w:color w:val="FFFFFF"/>
                <w:sz w:val="16"/>
                <w:szCs w:val="16"/>
                <w:lang w:eastAsia="sk-SK"/>
              </w:rPr>
              <w:t>Ukazovateľ</w:t>
            </w:r>
          </w:p>
        </w:tc>
        <w:tc>
          <w:tcPr>
            <w:tcW w:w="1431" w:type="dxa"/>
            <w:shd w:val="clear" w:color="auto" w:fill="314364" w:themeFill="text2"/>
            <w:vAlign w:val="center"/>
            <w:hideMark/>
          </w:tcPr>
          <w:p w14:paraId="0940834A" w14:textId="77777777" w:rsidR="00E23B94" w:rsidRPr="00064CA0" w:rsidRDefault="00E23B94" w:rsidP="00C119D8">
            <w:pPr>
              <w:spacing w:after="0" w:line="240" w:lineRule="auto"/>
              <w:jc w:val="right"/>
              <w:rPr>
                <w:rFonts w:eastAsia="Times New Roman" w:cs="Segoe UI"/>
                <w:b/>
                <w:color w:val="FFFFFF"/>
                <w:sz w:val="16"/>
                <w:szCs w:val="16"/>
                <w:lang w:eastAsia="sk-SK"/>
              </w:rPr>
            </w:pPr>
            <w:r w:rsidRPr="00064CA0">
              <w:rPr>
                <w:rFonts w:eastAsia="Times New Roman" w:cs="Segoe UI"/>
                <w:b/>
                <w:color w:val="FFFFFF"/>
                <w:sz w:val="16"/>
                <w:szCs w:val="16"/>
                <w:lang w:eastAsia="sk-SK"/>
              </w:rPr>
              <w:t xml:space="preserve">spolu </w:t>
            </w:r>
            <w:proofErr w:type="spellStart"/>
            <w:r w:rsidRPr="00064CA0">
              <w:rPr>
                <w:rFonts w:eastAsia="Times New Roman" w:cs="Segoe UI"/>
                <w:b/>
                <w:color w:val="FFFFFF"/>
                <w:sz w:val="16"/>
                <w:szCs w:val="16"/>
                <w:lang w:eastAsia="sk-SK"/>
              </w:rPr>
              <w:t>dec</w:t>
            </w:r>
            <w:proofErr w:type="spellEnd"/>
            <w:r w:rsidRPr="00064CA0">
              <w:rPr>
                <w:rFonts w:eastAsia="Times New Roman" w:cs="Segoe UI"/>
                <w:b/>
                <w:color w:val="FFFFFF"/>
                <w:sz w:val="16"/>
                <w:szCs w:val="16"/>
                <w:lang w:eastAsia="sk-SK"/>
              </w:rPr>
              <w:t xml:space="preserve"> 20 – </w:t>
            </w:r>
            <w:proofErr w:type="spellStart"/>
            <w:r w:rsidRPr="00064CA0">
              <w:rPr>
                <w:rFonts w:eastAsia="Times New Roman" w:cs="Segoe UI"/>
                <w:b/>
                <w:color w:val="FFFFFF"/>
                <w:sz w:val="16"/>
                <w:szCs w:val="16"/>
                <w:lang w:eastAsia="sk-SK"/>
              </w:rPr>
              <w:t>feb</w:t>
            </w:r>
            <w:proofErr w:type="spellEnd"/>
            <w:r w:rsidRPr="00064CA0">
              <w:rPr>
                <w:rFonts w:eastAsia="Times New Roman" w:cs="Segoe UI"/>
                <w:b/>
                <w:color w:val="FFFFFF"/>
                <w:sz w:val="16"/>
                <w:szCs w:val="16"/>
                <w:lang w:eastAsia="sk-SK"/>
              </w:rPr>
              <w:t xml:space="preserve"> 23</w:t>
            </w:r>
          </w:p>
        </w:tc>
        <w:tc>
          <w:tcPr>
            <w:tcW w:w="837" w:type="dxa"/>
            <w:shd w:val="clear" w:color="auto" w:fill="314364" w:themeFill="text2"/>
            <w:vAlign w:val="center"/>
            <w:hideMark/>
          </w:tcPr>
          <w:p w14:paraId="0AF96FF9" w14:textId="77777777" w:rsidR="00E23B94" w:rsidRPr="00064CA0" w:rsidRDefault="00E23B94" w:rsidP="00C119D8">
            <w:pPr>
              <w:spacing w:after="0" w:line="240" w:lineRule="auto"/>
              <w:jc w:val="right"/>
              <w:rPr>
                <w:rFonts w:eastAsia="Times New Roman" w:cs="Segoe UI"/>
                <w:b/>
                <w:color w:val="FFFFFF"/>
                <w:sz w:val="16"/>
                <w:szCs w:val="16"/>
                <w:lang w:eastAsia="sk-SK"/>
              </w:rPr>
            </w:pPr>
            <w:r w:rsidRPr="00064CA0">
              <w:rPr>
                <w:rFonts w:eastAsia="Times New Roman" w:cs="Segoe UI"/>
                <w:b/>
                <w:color w:val="FFFFFF"/>
                <w:sz w:val="16"/>
                <w:szCs w:val="16"/>
                <w:lang w:eastAsia="sk-SK"/>
              </w:rPr>
              <w:t>2020</w:t>
            </w:r>
          </w:p>
        </w:tc>
        <w:tc>
          <w:tcPr>
            <w:tcW w:w="1134" w:type="dxa"/>
            <w:shd w:val="clear" w:color="auto" w:fill="314364" w:themeFill="text2"/>
            <w:vAlign w:val="center"/>
            <w:hideMark/>
          </w:tcPr>
          <w:p w14:paraId="1E495EE1" w14:textId="77777777" w:rsidR="00E23B94" w:rsidRPr="00064CA0" w:rsidRDefault="00E23B94" w:rsidP="00C119D8">
            <w:pPr>
              <w:spacing w:after="0" w:line="240" w:lineRule="auto"/>
              <w:jc w:val="right"/>
              <w:rPr>
                <w:rFonts w:eastAsia="Times New Roman" w:cs="Segoe UI"/>
                <w:b/>
                <w:color w:val="FFFFFF"/>
                <w:sz w:val="16"/>
                <w:szCs w:val="16"/>
                <w:lang w:eastAsia="sk-SK"/>
              </w:rPr>
            </w:pPr>
            <w:r w:rsidRPr="00064CA0">
              <w:rPr>
                <w:rFonts w:eastAsia="Times New Roman" w:cs="Segoe UI"/>
                <w:b/>
                <w:color w:val="FFFFFF"/>
                <w:sz w:val="16"/>
                <w:szCs w:val="16"/>
                <w:lang w:eastAsia="sk-SK"/>
              </w:rPr>
              <w:t>2021</w:t>
            </w:r>
          </w:p>
        </w:tc>
        <w:tc>
          <w:tcPr>
            <w:tcW w:w="1156" w:type="dxa"/>
            <w:shd w:val="clear" w:color="auto" w:fill="314364" w:themeFill="text2"/>
            <w:vAlign w:val="center"/>
            <w:hideMark/>
          </w:tcPr>
          <w:p w14:paraId="7FC992C9" w14:textId="77777777" w:rsidR="00E23B94" w:rsidRPr="00064CA0" w:rsidRDefault="00E23B94" w:rsidP="00C119D8">
            <w:pPr>
              <w:spacing w:after="0" w:line="240" w:lineRule="auto"/>
              <w:jc w:val="right"/>
              <w:rPr>
                <w:rFonts w:eastAsia="Times New Roman" w:cs="Segoe UI"/>
                <w:b/>
                <w:color w:val="FFFFFF"/>
                <w:sz w:val="16"/>
                <w:szCs w:val="16"/>
                <w:lang w:eastAsia="sk-SK"/>
              </w:rPr>
            </w:pPr>
            <w:r w:rsidRPr="00064CA0">
              <w:rPr>
                <w:rFonts w:eastAsia="Times New Roman" w:cs="Segoe UI"/>
                <w:b/>
                <w:color w:val="FFFFFF"/>
                <w:sz w:val="16"/>
                <w:szCs w:val="16"/>
                <w:lang w:eastAsia="sk-SK"/>
              </w:rPr>
              <w:t>2022</w:t>
            </w:r>
          </w:p>
        </w:tc>
        <w:tc>
          <w:tcPr>
            <w:tcW w:w="1330" w:type="dxa"/>
            <w:shd w:val="clear" w:color="auto" w:fill="314364" w:themeFill="text2"/>
            <w:vAlign w:val="center"/>
            <w:hideMark/>
          </w:tcPr>
          <w:p w14:paraId="731119EF" w14:textId="77777777" w:rsidR="00E23B94" w:rsidRPr="00064CA0" w:rsidRDefault="00E23B94" w:rsidP="00C119D8">
            <w:pPr>
              <w:spacing w:after="0" w:line="240" w:lineRule="auto"/>
              <w:jc w:val="right"/>
              <w:rPr>
                <w:rFonts w:eastAsia="Times New Roman" w:cs="Segoe UI"/>
                <w:b/>
                <w:color w:val="FFFFFF"/>
                <w:sz w:val="16"/>
                <w:szCs w:val="16"/>
                <w:lang w:eastAsia="sk-SK"/>
              </w:rPr>
            </w:pPr>
            <w:proofErr w:type="spellStart"/>
            <w:r w:rsidRPr="00064CA0">
              <w:rPr>
                <w:rFonts w:eastAsia="Times New Roman" w:cs="Segoe UI"/>
                <w:b/>
                <w:color w:val="FFFFFF"/>
                <w:sz w:val="16"/>
                <w:szCs w:val="16"/>
                <w:lang w:eastAsia="sk-SK"/>
              </w:rPr>
              <w:t>jan</w:t>
            </w:r>
            <w:proofErr w:type="spellEnd"/>
            <w:r w:rsidRPr="00064CA0">
              <w:rPr>
                <w:rFonts w:eastAsia="Times New Roman" w:cs="Segoe UI"/>
                <w:b/>
                <w:color w:val="FFFFFF"/>
                <w:sz w:val="16"/>
                <w:szCs w:val="16"/>
                <w:lang w:eastAsia="sk-SK"/>
              </w:rPr>
              <w:t xml:space="preserve"> – </w:t>
            </w:r>
            <w:proofErr w:type="spellStart"/>
            <w:r w:rsidRPr="00064CA0">
              <w:rPr>
                <w:rFonts w:eastAsia="Times New Roman" w:cs="Segoe UI"/>
                <w:b/>
                <w:color w:val="FFFFFF"/>
                <w:sz w:val="16"/>
                <w:szCs w:val="16"/>
                <w:lang w:eastAsia="sk-SK"/>
              </w:rPr>
              <w:t>feb</w:t>
            </w:r>
            <w:proofErr w:type="spellEnd"/>
            <w:r w:rsidRPr="00064CA0">
              <w:rPr>
                <w:rFonts w:eastAsia="Times New Roman" w:cs="Segoe UI"/>
                <w:b/>
                <w:color w:val="FFFFFF"/>
                <w:sz w:val="16"/>
                <w:szCs w:val="16"/>
                <w:lang w:eastAsia="sk-SK"/>
              </w:rPr>
              <w:t xml:space="preserve"> 2023</w:t>
            </w:r>
          </w:p>
        </w:tc>
      </w:tr>
      <w:tr w:rsidR="00E23B94" w:rsidRPr="00064CA0" w14:paraId="2D8AFAFB" w14:textId="77777777" w:rsidTr="00BD7E54">
        <w:trPr>
          <w:trHeight w:val="283"/>
        </w:trPr>
        <w:tc>
          <w:tcPr>
            <w:tcW w:w="3252" w:type="dxa"/>
            <w:shd w:val="clear" w:color="auto" w:fill="auto"/>
            <w:vAlign w:val="center"/>
            <w:hideMark/>
          </w:tcPr>
          <w:p w14:paraId="582A7DE0"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dávok vakcín uskladnených k začiatku obdobia</w:t>
            </w:r>
          </w:p>
        </w:tc>
        <w:tc>
          <w:tcPr>
            <w:tcW w:w="1431" w:type="dxa"/>
            <w:shd w:val="clear" w:color="auto" w:fill="auto"/>
            <w:noWrap/>
            <w:vAlign w:val="center"/>
            <w:hideMark/>
          </w:tcPr>
          <w:p w14:paraId="712BF22F" w14:textId="798962B7" w:rsidR="00E23B94" w:rsidRPr="00064CA0" w:rsidRDefault="00A930C7" w:rsidP="00C119D8">
            <w:pPr>
              <w:spacing w:after="0" w:line="240" w:lineRule="auto"/>
              <w:jc w:val="right"/>
              <w:rPr>
                <w:rFonts w:eastAsia="Times New Roman" w:cs="Segoe UI"/>
                <w:color w:val="000000"/>
                <w:sz w:val="16"/>
                <w:szCs w:val="16"/>
                <w:lang w:eastAsia="sk-SK"/>
              </w:rPr>
            </w:pPr>
            <w:r>
              <w:rPr>
                <w:rFonts w:eastAsia="Times New Roman" w:cs="Segoe UI"/>
                <w:color w:val="000000"/>
                <w:sz w:val="16"/>
                <w:szCs w:val="16"/>
                <w:lang w:eastAsia="sk-SK"/>
              </w:rPr>
              <w:t>-</w:t>
            </w:r>
            <w:r w:rsidR="00E23B94" w:rsidRPr="00064CA0">
              <w:rPr>
                <w:rFonts w:eastAsia="Times New Roman" w:cs="Segoe UI"/>
                <w:color w:val="000000"/>
                <w:sz w:val="16"/>
                <w:szCs w:val="16"/>
                <w:lang w:eastAsia="sk-SK"/>
              </w:rPr>
              <w:t> </w:t>
            </w:r>
          </w:p>
        </w:tc>
        <w:tc>
          <w:tcPr>
            <w:tcW w:w="837" w:type="dxa"/>
            <w:shd w:val="clear" w:color="auto" w:fill="auto"/>
            <w:noWrap/>
            <w:vAlign w:val="center"/>
            <w:hideMark/>
          </w:tcPr>
          <w:p w14:paraId="3DF6DFEC"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42F93B79"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56" w:type="dxa"/>
            <w:shd w:val="clear" w:color="auto" w:fill="auto"/>
            <w:noWrap/>
            <w:vAlign w:val="center"/>
            <w:hideMark/>
          </w:tcPr>
          <w:p w14:paraId="6E6B6985"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1 121 405</w:t>
            </w:r>
          </w:p>
        </w:tc>
        <w:tc>
          <w:tcPr>
            <w:tcW w:w="1330" w:type="dxa"/>
            <w:shd w:val="clear" w:color="auto" w:fill="auto"/>
            <w:noWrap/>
            <w:vAlign w:val="center"/>
            <w:hideMark/>
          </w:tcPr>
          <w:p w14:paraId="29BC07FB"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6 118 787</w:t>
            </w:r>
          </w:p>
        </w:tc>
      </w:tr>
      <w:tr w:rsidR="00E23B94" w:rsidRPr="00064CA0" w14:paraId="6535B333" w14:textId="77777777" w:rsidTr="00BD7E54">
        <w:trPr>
          <w:trHeight w:val="283"/>
        </w:trPr>
        <w:tc>
          <w:tcPr>
            <w:tcW w:w="3252" w:type="dxa"/>
            <w:shd w:val="clear" w:color="auto" w:fill="auto"/>
            <w:vAlign w:val="center"/>
            <w:hideMark/>
          </w:tcPr>
          <w:p w14:paraId="47CB3E02"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dodaných dávok vakcín do SR</w:t>
            </w:r>
          </w:p>
        </w:tc>
        <w:tc>
          <w:tcPr>
            <w:tcW w:w="1431" w:type="dxa"/>
            <w:shd w:val="clear" w:color="auto" w:fill="auto"/>
            <w:noWrap/>
            <w:vAlign w:val="center"/>
            <w:hideMark/>
          </w:tcPr>
          <w:p w14:paraId="5B16AFDC"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14 683 390</w:t>
            </w:r>
          </w:p>
        </w:tc>
        <w:tc>
          <w:tcPr>
            <w:tcW w:w="837" w:type="dxa"/>
            <w:shd w:val="clear" w:color="auto" w:fill="auto"/>
            <w:noWrap/>
            <w:vAlign w:val="center"/>
            <w:hideMark/>
          </w:tcPr>
          <w:p w14:paraId="106582A9"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9 750</w:t>
            </w:r>
          </w:p>
        </w:tc>
        <w:tc>
          <w:tcPr>
            <w:tcW w:w="1134" w:type="dxa"/>
            <w:shd w:val="clear" w:color="auto" w:fill="auto"/>
            <w:noWrap/>
            <w:vAlign w:val="center"/>
            <w:hideMark/>
          </w:tcPr>
          <w:p w14:paraId="21524AEA"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8 631 860</w:t>
            </w:r>
          </w:p>
        </w:tc>
        <w:tc>
          <w:tcPr>
            <w:tcW w:w="1156" w:type="dxa"/>
            <w:shd w:val="clear" w:color="auto" w:fill="auto"/>
            <w:noWrap/>
            <w:vAlign w:val="center"/>
            <w:hideMark/>
          </w:tcPr>
          <w:p w14:paraId="6D10AB5A"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5 837 780</w:t>
            </w:r>
          </w:p>
        </w:tc>
        <w:tc>
          <w:tcPr>
            <w:tcW w:w="1330" w:type="dxa"/>
            <w:shd w:val="clear" w:color="auto" w:fill="auto"/>
            <w:noWrap/>
            <w:vAlign w:val="center"/>
            <w:hideMark/>
          </w:tcPr>
          <w:p w14:paraId="338A8C50"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204 000</w:t>
            </w:r>
          </w:p>
        </w:tc>
      </w:tr>
      <w:tr w:rsidR="00E23B94" w:rsidRPr="00064CA0" w14:paraId="585196CA" w14:textId="77777777" w:rsidTr="00BD7E54">
        <w:trPr>
          <w:trHeight w:val="283"/>
        </w:trPr>
        <w:tc>
          <w:tcPr>
            <w:tcW w:w="3252" w:type="dxa"/>
            <w:shd w:val="clear" w:color="auto" w:fill="auto"/>
            <w:vAlign w:val="center"/>
            <w:hideMark/>
          </w:tcPr>
          <w:p w14:paraId="58289912"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podaných dávok vakcín</w:t>
            </w:r>
          </w:p>
        </w:tc>
        <w:tc>
          <w:tcPr>
            <w:tcW w:w="1431" w:type="dxa"/>
            <w:shd w:val="clear" w:color="auto" w:fill="auto"/>
            <w:noWrap/>
            <w:vAlign w:val="center"/>
            <w:hideMark/>
          </w:tcPr>
          <w:p w14:paraId="288536CF"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7 221 601</w:t>
            </w:r>
          </w:p>
        </w:tc>
        <w:tc>
          <w:tcPr>
            <w:tcW w:w="837" w:type="dxa"/>
            <w:shd w:val="clear" w:color="auto" w:fill="auto"/>
            <w:noWrap/>
            <w:vAlign w:val="center"/>
            <w:hideMark/>
          </w:tcPr>
          <w:p w14:paraId="199472ED"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4 544</w:t>
            </w:r>
          </w:p>
        </w:tc>
        <w:tc>
          <w:tcPr>
            <w:tcW w:w="1134" w:type="dxa"/>
            <w:shd w:val="clear" w:color="auto" w:fill="auto"/>
            <w:noWrap/>
            <w:vAlign w:val="center"/>
            <w:hideMark/>
          </w:tcPr>
          <w:p w14:paraId="6F09ABC3"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6 359 116</w:t>
            </w:r>
          </w:p>
        </w:tc>
        <w:tc>
          <w:tcPr>
            <w:tcW w:w="1156" w:type="dxa"/>
            <w:shd w:val="clear" w:color="auto" w:fill="auto"/>
            <w:noWrap/>
            <w:vAlign w:val="center"/>
            <w:hideMark/>
          </w:tcPr>
          <w:p w14:paraId="610F447C"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852 081</w:t>
            </w:r>
          </w:p>
        </w:tc>
        <w:tc>
          <w:tcPr>
            <w:tcW w:w="1330" w:type="dxa"/>
            <w:shd w:val="clear" w:color="auto" w:fill="auto"/>
            <w:noWrap/>
            <w:vAlign w:val="center"/>
            <w:hideMark/>
          </w:tcPr>
          <w:p w14:paraId="21C33193"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5 860</w:t>
            </w:r>
          </w:p>
        </w:tc>
      </w:tr>
      <w:tr w:rsidR="00E23B94" w:rsidRPr="00064CA0" w14:paraId="143E2D90" w14:textId="77777777" w:rsidTr="00BD7E54">
        <w:trPr>
          <w:trHeight w:val="283"/>
        </w:trPr>
        <w:tc>
          <w:tcPr>
            <w:tcW w:w="3252" w:type="dxa"/>
            <w:shd w:val="clear" w:color="auto" w:fill="auto"/>
            <w:vAlign w:val="center"/>
            <w:hideMark/>
          </w:tcPr>
          <w:p w14:paraId="4D129AAC"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dávok predaných inej krajine</w:t>
            </w:r>
          </w:p>
        </w:tc>
        <w:tc>
          <w:tcPr>
            <w:tcW w:w="1431" w:type="dxa"/>
            <w:shd w:val="clear" w:color="auto" w:fill="auto"/>
            <w:noWrap/>
            <w:vAlign w:val="center"/>
            <w:hideMark/>
          </w:tcPr>
          <w:p w14:paraId="5DC4A9C6"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360 070</w:t>
            </w:r>
          </w:p>
        </w:tc>
        <w:tc>
          <w:tcPr>
            <w:tcW w:w="837" w:type="dxa"/>
            <w:shd w:val="clear" w:color="auto" w:fill="auto"/>
            <w:noWrap/>
            <w:vAlign w:val="center"/>
            <w:hideMark/>
          </w:tcPr>
          <w:p w14:paraId="5CB20358"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34372ED2"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160 000</w:t>
            </w:r>
          </w:p>
        </w:tc>
        <w:tc>
          <w:tcPr>
            <w:tcW w:w="1156" w:type="dxa"/>
            <w:shd w:val="clear" w:color="auto" w:fill="auto"/>
            <w:noWrap/>
            <w:vAlign w:val="center"/>
            <w:hideMark/>
          </w:tcPr>
          <w:p w14:paraId="440BFEB0"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200 070</w:t>
            </w:r>
          </w:p>
        </w:tc>
        <w:tc>
          <w:tcPr>
            <w:tcW w:w="1330" w:type="dxa"/>
            <w:shd w:val="clear" w:color="auto" w:fill="auto"/>
            <w:noWrap/>
            <w:vAlign w:val="center"/>
            <w:hideMark/>
          </w:tcPr>
          <w:p w14:paraId="1B367BF5"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r>
      <w:tr w:rsidR="00E23B94" w:rsidRPr="00064CA0" w14:paraId="2014AAC8" w14:textId="77777777" w:rsidTr="00BD7E54">
        <w:trPr>
          <w:trHeight w:val="283"/>
        </w:trPr>
        <w:tc>
          <w:tcPr>
            <w:tcW w:w="3252" w:type="dxa"/>
            <w:shd w:val="clear" w:color="auto" w:fill="auto"/>
            <w:vAlign w:val="center"/>
            <w:hideMark/>
          </w:tcPr>
          <w:p w14:paraId="3066B2B3"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dávok darovaných inej krajine</w:t>
            </w:r>
          </w:p>
        </w:tc>
        <w:tc>
          <w:tcPr>
            <w:tcW w:w="1431" w:type="dxa"/>
            <w:shd w:val="clear" w:color="auto" w:fill="auto"/>
            <w:noWrap/>
            <w:vAlign w:val="center"/>
            <w:hideMark/>
          </w:tcPr>
          <w:p w14:paraId="6EE23825"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5 340 880</w:t>
            </w:r>
          </w:p>
        </w:tc>
        <w:tc>
          <w:tcPr>
            <w:tcW w:w="837" w:type="dxa"/>
            <w:shd w:val="clear" w:color="auto" w:fill="auto"/>
            <w:noWrap/>
            <w:vAlign w:val="center"/>
            <w:hideMark/>
          </w:tcPr>
          <w:p w14:paraId="7790C957"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08891003"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2 235 100</w:t>
            </w:r>
          </w:p>
        </w:tc>
        <w:tc>
          <w:tcPr>
            <w:tcW w:w="1156" w:type="dxa"/>
            <w:shd w:val="clear" w:color="auto" w:fill="auto"/>
            <w:noWrap/>
            <w:vAlign w:val="center"/>
            <w:hideMark/>
          </w:tcPr>
          <w:p w14:paraId="0D37EAE1"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1 057 800</w:t>
            </w:r>
          </w:p>
        </w:tc>
        <w:tc>
          <w:tcPr>
            <w:tcW w:w="1330" w:type="dxa"/>
            <w:shd w:val="clear" w:color="auto" w:fill="auto"/>
            <w:noWrap/>
            <w:vAlign w:val="center"/>
            <w:hideMark/>
          </w:tcPr>
          <w:p w14:paraId="353A7E86"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2 047 980</w:t>
            </w:r>
          </w:p>
        </w:tc>
      </w:tr>
      <w:tr w:rsidR="00E23B94" w:rsidRPr="00064CA0" w14:paraId="3F28A134" w14:textId="77777777" w:rsidTr="00BD7E54">
        <w:trPr>
          <w:trHeight w:val="283"/>
        </w:trPr>
        <w:tc>
          <w:tcPr>
            <w:tcW w:w="3252" w:type="dxa"/>
            <w:shd w:val="clear" w:color="auto" w:fill="auto"/>
            <w:vAlign w:val="center"/>
            <w:hideMark/>
          </w:tcPr>
          <w:p w14:paraId="53E874CD"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inak využitých dávok vakcín (popíšte ako)</w:t>
            </w:r>
          </w:p>
        </w:tc>
        <w:tc>
          <w:tcPr>
            <w:tcW w:w="1431" w:type="dxa"/>
            <w:shd w:val="clear" w:color="auto" w:fill="auto"/>
            <w:noWrap/>
            <w:vAlign w:val="center"/>
            <w:hideMark/>
          </w:tcPr>
          <w:p w14:paraId="17D5B484"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1 341</w:t>
            </w:r>
          </w:p>
        </w:tc>
        <w:tc>
          <w:tcPr>
            <w:tcW w:w="837" w:type="dxa"/>
            <w:shd w:val="clear" w:color="auto" w:fill="auto"/>
            <w:noWrap/>
            <w:vAlign w:val="center"/>
            <w:hideMark/>
          </w:tcPr>
          <w:p w14:paraId="7C7AEFD6"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134FD450"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1 341</w:t>
            </w:r>
          </w:p>
        </w:tc>
        <w:tc>
          <w:tcPr>
            <w:tcW w:w="1156" w:type="dxa"/>
            <w:shd w:val="clear" w:color="auto" w:fill="auto"/>
            <w:noWrap/>
            <w:vAlign w:val="center"/>
            <w:hideMark/>
          </w:tcPr>
          <w:p w14:paraId="7890C65E"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330" w:type="dxa"/>
            <w:shd w:val="clear" w:color="auto" w:fill="auto"/>
            <w:noWrap/>
            <w:vAlign w:val="center"/>
            <w:hideMark/>
          </w:tcPr>
          <w:p w14:paraId="65170506"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r>
      <w:tr w:rsidR="00E23B94" w:rsidRPr="00064CA0" w14:paraId="31BE8535" w14:textId="77777777" w:rsidTr="00BD7E54">
        <w:trPr>
          <w:trHeight w:val="283"/>
        </w:trPr>
        <w:tc>
          <w:tcPr>
            <w:tcW w:w="3252" w:type="dxa"/>
            <w:shd w:val="clear" w:color="auto" w:fill="auto"/>
            <w:vAlign w:val="center"/>
            <w:hideMark/>
          </w:tcPr>
          <w:p w14:paraId="14BD228F"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zlikvidovaných dávok vakcín</w:t>
            </w:r>
          </w:p>
        </w:tc>
        <w:tc>
          <w:tcPr>
            <w:tcW w:w="1431" w:type="dxa"/>
            <w:shd w:val="clear" w:color="auto" w:fill="auto"/>
            <w:noWrap/>
            <w:vAlign w:val="center"/>
            <w:hideMark/>
          </w:tcPr>
          <w:p w14:paraId="36E3732F"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36 340</w:t>
            </w:r>
          </w:p>
        </w:tc>
        <w:tc>
          <w:tcPr>
            <w:tcW w:w="837" w:type="dxa"/>
            <w:shd w:val="clear" w:color="auto" w:fill="auto"/>
            <w:noWrap/>
            <w:vAlign w:val="center"/>
            <w:hideMark/>
          </w:tcPr>
          <w:p w14:paraId="4EC6A47F"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35A16E7C"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36 340</w:t>
            </w:r>
          </w:p>
        </w:tc>
        <w:tc>
          <w:tcPr>
            <w:tcW w:w="1156" w:type="dxa"/>
            <w:shd w:val="clear" w:color="auto" w:fill="auto"/>
            <w:noWrap/>
            <w:vAlign w:val="center"/>
            <w:hideMark/>
          </w:tcPr>
          <w:p w14:paraId="0D18566E"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330" w:type="dxa"/>
            <w:shd w:val="clear" w:color="auto" w:fill="auto"/>
            <w:noWrap/>
            <w:vAlign w:val="center"/>
            <w:hideMark/>
          </w:tcPr>
          <w:p w14:paraId="79B86318"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r>
      <w:tr w:rsidR="00E23B94" w:rsidRPr="00064CA0" w14:paraId="21C836B4" w14:textId="77777777" w:rsidTr="00BD7E54">
        <w:trPr>
          <w:trHeight w:val="283"/>
        </w:trPr>
        <w:tc>
          <w:tcPr>
            <w:tcW w:w="3252" w:type="dxa"/>
            <w:shd w:val="clear" w:color="auto" w:fill="auto"/>
            <w:vAlign w:val="center"/>
            <w:hideMark/>
          </w:tcPr>
          <w:p w14:paraId="750914E6"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Počet dávok vakcín uskladnených ku koncu obdobia</w:t>
            </w:r>
          </w:p>
        </w:tc>
        <w:tc>
          <w:tcPr>
            <w:tcW w:w="1431" w:type="dxa"/>
            <w:shd w:val="clear" w:color="auto" w:fill="auto"/>
            <w:noWrap/>
            <w:vAlign w:val="center"/>
            <w:hideMark/>
          </w:tcPr>
          <w:p w14:paraId="7873A2CE"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 </w:t>
            </w:r>
          </w:p>
        </w:tc>
        <w:tc>
          <w:tcPr>
            <w:tcW w:w="837" w:type="dxa"/>
            <w:shd w:val="clear" w:color="auto" w:fill="auto"/>
            <w:noWrap/>
            <w:vAlign w:val="center"/>
            <w:hideMark/>
          </w:tcPr>
          <w:p w14:paraId="07399E5E"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487D346B"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1 121 405</w:t>
            </w:r>
          </w:p>
        </w:tc>
        <w:tc>
          <w:tcPr>
            <w:tcW w:w="1156" w:type="dxa"/>
            <w:shd w:val="clear" w:color="auto" w:fill="auto"/>
            <w:noWrap/>
            <w:vAlign w:val="center"/>
            <w:hideMark/>
          </w:tcPr>
          <w:p w14:paraId="0650D686"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6 118 787</w:t>
            </w:r>
          </w:p>
        </w:tc>
        <w:tc>
          <w:tcPr>
            <w:tcW w:w="1330" w:type="dxa"/>
            <w:shd w:val="clear" w:color="auto" w:fill="auto"/>
            <w:noWrap/>
            <w:vAlign w:val="center"/>
            <w:hideMark/>
          </w:tcPr>
          <w:p w14:paraId="66428A80"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5 994 099</w:t>
            </w:r>
          </w:p>
        </w:tc>
      </w:tr>
      <w:tr w:rsidR="00E23B94" w:rsidRPr="00064CA0" w14:paraId="3662A705" w14:textId="77777777" w:rsidTr="00BD7E54">
        <w:trPr>
          <w:trHeight w:val="283"/>
        </w:trPr>
        <w:tc>
          <w:tcPr>
            <w:tcW w:w="3252" w:type="dxa"/>
            <w:shd w:val="clear" w:color="auto" w:fill="auto"/>
            <w:vAlign w:val="center"/>
            <w:hideMark/>
          </w:tcPr>
          <w:p w14:paraId="18E767F1"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Celkové náklady na obstaranie vakcín dodaných v danom období (eur)</w:t>
            </w:r>
          </w:p>
        </w:tc>
        <w:tc>
          <w:tcPr>
            <w:tcW w:w="1431" w:type="dxa"/>
            <w:shd w:val="clear" w:color="auto" w:fill="auto"/>
            <w:noWrap/>
            <w:vAlign w:val="center"/>
            <w:hideMark/>
          </w:tcPr>
          <w:p w14:paraId="008B4625"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263 978 446</w:t>
            </w:r>
          </w:p>
        </w:tc>
        <w:tc>
          <w:tcPr>
            <w:tcW w:w="837" w:type="dxa"/>
            <w:shd w:val="clear" w:color="auto" w:fill="auto"/>
            <w:noWrap/>
            <w:vAlign w:val="center"/>
            <w:hideMark/>
          </w:tcPr>
          <w:p w14:paraId="7A0EB8C1"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128 700</w:t>
            </w:r>
          </w:p>
        </w:tc>
        <w:tc>
          <w:tcPr>
            <w:tcW w:w="1134" w:type="dxa"/>
            <w:shd w:val="clear" w:color="auto" w:fill="auto"/>
            <w:noWrap/>
            <w:vAlign w:val="center"/>
            <w:hideMark/>
          </w:tcPr>
          <w:p w14:paraId="21D2B09D"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110 099 612</w:t>
            </w:r>
          </w:p>
        </w:tc>
        <w:tc>
          <w:tcPr>
            <w:tcW w:w="1156" w:type="dxa"/>
            <w:shd w:val="clear" w:color="auto" w:fill="auto"/>
            <w:noWrap/>
            <w:vAlign w:val="center"/>
            <w:hideMark/>
          </w:tcPr>
          <w:p w14:paraId="2ACE36A7"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151 003 919</w:t>
            </w:r>
          </w:p>
        </w:tc>
        <w:tc>
          <w:tcPr>
            <w:tcW w:w="1330" w:type="dxa"/>
            <w:shd w:val="clear" w:color="auto" w:fill="auto"/>
            <w:noWrap/>
            <w:vAlign w:val="center"/>
            <w:hideMark/>
          </w:tcPr>
          <w:p w14:paraId="44136050"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2 746 215</w:t>
            </w:r>
          </w:p>
        </w:tc>
      </w:tr>
      <w:tr w:rsidR="00E23B94" w:rsidRPr="00064CA0" w14:paraId="048371E9" w14:textId="77777777" w:rsidTr="00BD7E54">
        <w:trPr>
          <w:trHeight w:val="283"/>
        </w:trPr>
        <w:tc>
          <w:tcPr>
            <w:tcW w:w="3252" w:type="dxa"/>
            <w:shd w:val="clear" w:color="auto" w:fill="auto"/>
            <w:vAlign w:val="center"/>
            <w:hideMark/>
          </w:tcPr>
          <w:p w14:paraId="01AE2903"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Celkové náklady na likvidáciu vakcín (eur)</w:t>
            </w:r>
          </w:p>
        </w:tc>
        <w:tc>
          <w:tcPr>
            <w:tcW w:w="1431" w:type="dxa"/>
            <w:shd w:val="clear" w:color="auto" w:fill="auto"/>
            <w:noWrap/>
            <w:vAlign w:val="center"/>
            <w:hideMark/>
          </w:tcPr>
          <w:p w14:paraId="1168026D"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381</w:t>
            </w:r>
          </w:p>
        </w:tc>
        <w:tc>
          <w:tcPr>
            <w:tcW w:w="837" w:type="dxa"/>
            <w:shd w:val="clear" w:color="auto" w:fill="auto"/>
            <w:noWrap/>
            <w:vAlign w:val="center"/>
            <w:hideMark/>
          </w:tcPr>
          <w:p w14:paraId="5E31DB20"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39B04F10"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381</w:t>
            </w:r>
          </w:p>
        </w:tc>
        <w:tc>
          <w:tcPr>
            <w:tcW w:w="1156" w:type="dxa"/>
            <w:shd w:val="clear" w:color="auto" w:fill="auto"/>
            <w:noWrap/>
            <w:vAlign w:val="center"/>
            <w:hideMark/>
          </w:tcPr>
          <w:p w14:paraId="3BD5FCFE"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330" w:type="dxa"/>
            <w:shd w:val="clear" w:color="auto" w:fill="auto"/>
            <w:noWrap/>
            <w:vAlign w:val="center"/>
            <w:hideMark/>
          </w:tcPr>
          <w:p w14:paraId="1B57707F"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r>
      <w:tr w:rsidR="00E23B94" w:rsidRPr="00064CA0" w14:paraId="5B9231D3" w14:textId="77777777" w:rsidTr="00BD7E54">
        <w:trPr>
          <w:trHeight w:val="283"/>
        </w:trPr>
        <w:tc>
          <w:tcPr>
            <w:tcW w:w="3252" w:type="dxa"/>
            <w:shd w:val="clear" w:color="auto" w:fill="auto"/>
            <w:vAlign w:val="center"/>
            <w:hideMark/>
          </w:tcPr>
          <w:p w14:paraId="41B5ACD8" w14:textId="77777777" w:rsidR="00E23B94" w:rsidRPr="00064CA0" w:rsidRDefault="00E23B94" w:rsidP="00C119D8">
            <w:pPr>
              <w:spacing w:after="0" w:line="240" w:lineRule="auto"/>
              <w:jc w:val="left"/>
              <w:rPr>
                <w:rFonts w:eastAsia="Times New Roman" w:cs="Segoe UI"/>
                <w:color w:val="000000"/>
                <w:sz w:val="16"/>
                <w:szCs w:val="16"/>
                <w:lang w:eastAsia="sk-SK"/>
              </w:rPr>
            </w:pPr>
            <w:r w:rsidRPr="00064CA0">
              <w:rPr>
                <w:rFonts w:eastAsia="Times New Roman" w:cs="Segoe UI"/>
                <w:color w:val="000000"/>
                <w:sz w:val="16"/>
                <w:szCs w:val="16"/>
                <w:lang w:eastAsia="sk-SK"/>
              </w:rPr>
              <w:t>Celkové náklady na uskladnenie vakcín (eur)</w:t>
            </w:r>
          </w:p>
        </w:tc>
        <w:tc>
          <w:tcPr>
            <w:tcW w:w="1431" w:type="dxa"/>
            <w:shd w:val="clear" w:color="auto" w:fill="auto"/>
            <w:noWrap/>
            <w:vAlign w:val="center"/>
            <w:hideMark/>
          </w:tcPr>
          <w:p w14:paraId="71B4B2F5"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3 452 099</w:t>
            </w:r>
          </w:p>
        </w:tc>
        <w:tc>
          <w:tcPr>
            <w:tcW w:w="837" w:type="dxa"/>
            <w:shd w:val="clear" w:color="auto" w:fill="auto"/>
            <w:noWrap/>
            <w:vAlign w:val="center"/>
            <w:hideMark/>
          </w:tcPr>
          <w:p w14:paraId="3C424EB3"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0</w:t>
            </w:r>
          </w:p>
        </w:tc>
        <w:tc>
          <w:tcPr>
            <w:tcW w:w="1134" w:type="dxa"/>
            <w:shd w:val="clear" w:color="auto" w:fill="auto"/>
            <w:noWrap/>
            <w:vAlign w:val="center"/>
            <w:hideMark/>
          </w:tcPr>
          <w:p w14:paraId="56D1FFDE" w14:textId="77777777" w:rsidR="00E23B94" w:rsidRPr="00064CA0" w:rsidRDefault="00E23B94" w:rsidP="00C119D8">
            <w:pPr>
              <w:spacing w:after="0" w:line="240" w:lineRule="auto"/>
              <w:jc w:val="right"/>
              <w:rPr>
                <w:rFonts w:eastAsia="Times New Roman" w:cs="Segoe UI"/>
                <w:color w:val="000000"/>
                <w:sz w:val="16"/>
                <w:szCs w:val="16"/>
                <w:lang w:eastAsia="sk-SK"/>
              </w:rPr>
            </w:pPr>
            <w:r w:rsidRPr="00064CA0">
              <w:rPr>
                <w:rFonts w:eastAsia="Times New Roman" w:cs="Segoe UI"/>
                <w:color w:val="000000"/>
                <w:sz w:val="16"/>
                <w:szCs w:val="16"/>
                <w:lang w:eastAsia="sk-SK"/>
              </w:rPr>
              <w:t>1 862 696</w:t>
            </w:r>
          </w:p>
        </w:tc>
        <w:tc>
          <w:tcPr>
            <w:tcW w:w="1156" w:type="dxa"/>
            <w:shd w:val="clear" w:color="auto" w:fill="auto"/>
            <w:noWrap/>
            <w:vAlign w:val="center"/>
            <w:hideMark/>
          </w:tcPr>
          <w:p w14:paraId="5151D57E" w14:textId="3154E43B" w:rsidR="00E23B94" w:rsidRPr="00A930C7" w:rsidRDefault="00E23B94" w:rsidP="00064BF9">
            <w:pPr>
              <w:spacing w:after="0" w:line="240" w:lineRule="auto"/>
              <w:jc w:val="right"/>
              <w:rPr>
                <w:lang w:eastAsia="sk-SK"/>
              </w:rPr>
            </w:pPr>
            <w:r w:rsidRPr="00064BF9">
              <w:rPr>
                <w:rFonts w:eastAsia="Times New Roman" w:cs="Segoe UI"/>
                <w:color w:val="000000"/>
                <w:sz w:val="16"/>
                <w:szCs w:val="16"/>
                <w:lang w:eastAsia="sk-SK"/>
              </w:rPr>
              <w:t>529 355</w:t>
            </w:r>
          </w:p>
        </w:tc>
        <w:tc>
          <w:tcPr>
            <w:tcW w:w="1330" w:type="dxa"/>
            <w:shd w:val="clear" w:color="auto" w:fill="auto"/>
            <w:noWrap/>
            <w:vAlign w:val="center"/>
            <w:hideMark/>
          </w:tcPr>
          <w:p w14:paraId="4B78278D" w14:textId="6726D399" w:rsidR="00E23B94" w:rsidRPr="00A930C7" w:rsidRDefault="00A930C7" w:rsidP="00A930C7">
            <w:pPr>
              <w:spacing w:after="0" w:line="240" w:lineRule="auto"/>
              <w:ind w:left="360"/>
              <w:jc w:val="right"/>
              <w:rPr>
                <w:rFonts w:eastAsia="Times New Roman" w:cs="Segoe UI"/>
                <w:color w:val="000000"/>
                <w:sz w:val="16"/>
                <w:szCs w:val="16"/>
                <w:lang w:eastAsia="sk-SK"/>
              </w:rPr>
            </w:pPr>
            <w:r>
              <w:rPr>
                <w:rFonts w:eastAsia="Times New Roman" w:cs="Segoe UI"/>
                <w:color w:val="000000"/>
                <w:sz w:val="16"/>
                <w:szCs w:val="16"/>
                <w:lang w:eastAsia="sk-SK"/>
              </w:rPr>
              <w:t>60 0</w:t>
            </w:r>
            <w:r w:rsidR="00E23B94" w:rsidRPr="00A930C7">
              <w:rPr>
                <w:rFonts w:eastAsia="Times New Roman" w:cs="Segoe UI"/>
                <w:color w:val="000000"/>
                <w:sz w:val="16"/>
                <w:szCs w:val="16"/>
                <w:lang w:eastAsia="sk-SK"/>
              </w:rPr>
              <w:t>48</w:t>
            </w:r>
          </w:p>
        </w:tc>
      </w:tr>
    </w:tbl>
    <w:p w14:paraId="355CF2E7" w14:textId="635EAD9A" w:rsidR="00131776" w:rsidRDefault="00E23B94" w:rsidP="00131776">
      <w:pPr>
        <w:pStyle w:val="Zdroj"/>
        <w:rPr>
          <w:lang w:eastAsia="sk-SK"/>
        </w:rPr>
      </w:pPr>
      <w:r w:rsidRPr="00A8086D">
        <w:rPr>
          <w:lang w:eastAsia="sk-SK"/>
        </w:rPr>
        <w:t xml:space="preserve">Zdroj: </w:t>
      </w:r>
      <w:r>
        <w:rPr>
          <w:lang w:eastAsia="sk-SK"/>
        </w:rPr>
        <w:t>MZ SR</w:t>
      </w:r>
      <w:r w:rsidR="0024233A">
        <w:rPr>
          <w:lang w:eastAsia="sk-SK"/>
        </w:rPr>
        <w:t>.</w:t>
      </w:r>
    </w:p>
    <w:p w14:paraId="4DD1DAC2" w14:textId="65A09787" w:rsidR="00757189" w:rsidRDefault="00131776" w:rsidP="00131776">
      <w:pPr>
        <w:pStyle w:val="Nadpis3"/>
      </w:pPr>
      <w:bookmarkStart w:id="28" w:name="_Toc136418402"/>
      <w:r>
        <w:t xml:space="preserve">4.1.3 </w:t>
      </w:r>
      <w:r w:rsidR="00757189">
        <w:t>Plnenie úsporných opatrení v liekovej politike</w:t>
      </w:r>
      <w:bookmarkEnd w:id="28"/>
    </w:p>
    <w:p w14:paraId="06C22F07" w14:textId="3163DA93" w:rsidR="00757189" w:rsidRPr="00270F8D" w:rsidRDefault="00757189" w:rsidP="00757189">
      <w:pPr>
        <w:spacing w:before="120"/>
      </w:pPr>
      <w:r w:rsidRPr="00270F8D">
        <w:t xml:space="preserve">Úsporné opatrenia sa zameriavajú na oblasti zdravotníctva, v ktorých dochádza k neefektívnemu využívaniu zdrojov. </w:t>
      </w:r>
      <w:r w:rsidRPr="00270F8D">
        <w:rPr>
          <w:b/>
        </w:rPr>
        <w:t>Podľa návrhu RVS na roky 2022 až 2024 mali byť vo výdavkoch VZP v roku 2022 oproti roku 2021 realizované úsporné opatrenia vo výške 249 mil. eur.</w:t>
      </w:r>
      <w:r w:rsidRPr="00270F8D">
        <w:t xml:space="preserve"> Dominantná časť úspor (129 mil. eur, takmer 52 %) sa mala ušetriť v liekovej politike.</w:t>
      </w:r>
    </w:p>
    <w:p w14:paraId="6292DE42" w14:textId="73844BCF" w:rsidR="00757189" w:rsidRDefault="00757189" w:rsidP="00757189">
      <w:pPr>
        <w:spacing w:before="120"/>
      </w:pPr>
      <w:r>
        <w:t xml:space="preserve">NKÚ SR sa zameral na vyhodnotenie plnenia úsporných opatrení vo vybraných oblastiach liekovej politiky v roku 2022 </w:t>
      </w:r>
      <w:r w:rsidR="0008598B">
        <w:t xml:space="preserve">(tabuľka 13) </w:t>
      </w:r>
      <w:r>
        <w:t xml:space="preserve">na základe </w:t>
      </w:r>
      <w:r w:rsidRPr="00394660">
        <w:t xml:space="preserve">informácií </w:t>
      </w:r>
      <w:r w:rsidR="00E41D61">
        <w:t xml:space="preserve">ZP </w:t>
      </w:r>
      <w:r>
        <w:t>Dôvera, Union</w:t>
      </w:r>
      <w:r w:rsidR="00E41D61">
        <w:t xml:space="preserve"> a</w:t>
      </w:r>
      <w:r>
        <w:t xml:space="preserve"> VšZP. </w:t>
      </w:r>
      <w:r w:rsidR="003C0021" w:rsidRPr="003C0021">
        <w:rPr>
          <w:b/>
        </w:rPr>
        <w:t>R</w:t>
      </w:r>
      <w:r w:rsidRPr="003C0021">
        <w:rPr>
          <w:b/>
        </w:rPr>
        <w:t xml:space="preserve">ozhodujúci objem úspor (71,3 </w:t>
      </w:r>
      <w:r w:rsidR="00BF208C">
        <w:rPr>
          <w:b/>
        </w:rPr>
        <w:t> </w:t>
      </w:r>
      <w:r w:rsidRPr="003C0021">
        <w:rPr>
          <w:b/>
        </w:rPr>
        <w:t>%</w:t>
      </w:r>
      <w:r w:rsidR="00BF208C">
        <w:rPr>
          <w:b/>
        </w:rPr>
        <w:t xml:space="preserve">, </w:t>
      </w:r>
      <w:r w:rsidRPr="003C0021">
        <w:rPr>
          <w:b/>
        </w:rPr>
        <w:t xml:space="preserve">92 mil. eur) </w:t>
      </w:r>
      <w:r w:rsidR="00ED5BF4">
        <w:rPr>
          <w:b/>
        </w:rPr>
        <w:t>mal byť dosiahnutý</w:t>
      </w:r>
      <w:r w:rsidRPr="003C0021">
        <w:rPr>
          <w:b/>
        </w:rPr>
        <w:t xml:space="preserve"> v</w:t>
      </w:r>
      <w:r w:rsidR="003C0021" w:rsidRPr="003C0021">
        <w:rPr>
          <w:b/>
        </w:rPr>
        <w:t> </w:t>
      </w:r>
      <w:r w:rsidRPr="003C0021">
        <w:rPr>
          <w:b/>
        </w:rPr>
        <w:t>oblasti</w:t>
      </w:r>
      <w:r w:rsidR="003C0021" w:rsidRPr="003C0021">
        <w:rPr>
          <w:b/>
        </w:rPr>
        <w:t xml:space="preserve"> liekovej politiky</w:t>
      </w:r>
      <w:r w:rsidR="003C0021">
        <w:t xml:space="preserve"> – </w:t>
      </w:r>
      <w:r w:rsidR="00BF208C">
        <w:t xml:space="preserve">v oblasti </w:t>
      </w:r>
      <w:r>
        <w:t xml:space="preserve">nákladovej </w:t>
      </w:r>
      <w:r w:rsidRPr="000727F0">
        <w:t>efektivity liekov</w:t>
      </w:r>
      <w:r>
        <w:t xml:space="preserve">, </w:t>
      </w:r>
      <w:proofErr w:type="spellStart"/>
      <w:r>
        <w:t>eHealth</w:t>
      </w:r>
      <w:proofErr w:type="spellEnd"/>
      <w:r>
        <w:t xml:space="preserve"> – spustenia modulov, liekov na výnimky, aktívneho vynucovania vyrovnávacieho rozdielu</w:t>
      </w:r>
      <w:r>
        <w:rPr>
          <w:rStyle w:val="Odkaznapoznmkupodiarou"/>
        </w:rPr>
        <w:footnoteReference w:id="30"/>
      </w:r>
      <w:r>
        <w:t xml:space="preserve"> a podpory vstupu generík a biologicky podobných liekov (biosimilárov)</w:t>
      </w:r>
      <w:r w:rsidRPr="006718AC">
        <w:rPr>
          <w:rStyle w:val="Odkaznapoznmkupodiarou"/>
          <w:sz w:val="18"/>
          <w:szCs w:val="18"/>
        </w:rPr>
        <w:footnoteReference w:id="31"/>
      </w:r>
      <w:r w:rsidRPr="00463BC2">
        <w:t>.</w:t>
      </w:r>
    </w:p>
    <w:p w14:paraId="0F9508AF" w14:textId="77777777" w:rsidR="0008598B" w:rsidRPr="0060393A" w:rsidRDefault="0008598B" w:rsidP="0008598B">
      <w:pPr>
        <w:spacing w:after="0"/>
        <w:ind w:right="163"/>
        <w:rPr>
          <w:b/>
          <w:szCs w:val="20"/>
        </w:rPr>
      </w:pPr>
      <w:r w:rsidRPr="00C60492">
        <w:rPr>
          <w:b/>
          <w:color w:val="314364" w:themeColor="text2"/>
          <w:szCs w:val="20"/>
        </w:rPr>
        <w:t>Tabuľka 1</w:t>
      </w:r>
      <w:r>
        <w:rPr>
          <w:b/>
          <w:color w:val="314364" w:themeColor="text2"/>
          <w:szCs w:val="20"/>
        </w:rPr>
        <w:t>3</w:t>
      </w:r>
      <w:r w:rsidRPr="00C60492">
        <w:rPr>
          <w:b/>
          <w:color w:val="314364" w:themeColor="text2"/>
          <w:szCs w:val="20"/>
        </w:rPr>
        <w:t>:</w:t>
      </w:r>
      <w:r w:rsidRPr="0060393A">
        <w:rPr>
          <w:b/>
          <w:szCs w:val="20"/>
        </w:rPr>
        <w:t xml:space="preserve"> </w:t>
      </w:r>
      <w:r w:rsidRPr="00C60492">
        <w:rPr>
          <w:b/>
          <w:color w:val="314364" w:themeColor="text2"/>
          <w:szCs w:val="20"/>
        </w:rPr>
        <w:t>Úspora výdavkov VZP vo vybraných oblastiach liekovej politiky (v tis. eur)</w:t>
      </w:r>
    </w:p>
    <w:tbl>
      <w:tblPr>
        <w:tblW w:w="5000" w:type="pct"/>
        <w:tblBorders>
          <w:bottom w:val="single" w:sz="4" w:space="0" w:color="314364" w:themeColor="text2"/>
        </w:tblBorders>
        <w:tblCellMar>
          <w:left w:w="70" w:type="dxa"/>
          <w:right w:w="70" w:type="dxa"/>
        </w:tblCellMar>
        <w:tblLook w:val="04A0" w:firstRow="1" w:lastRow="0" w:firstColumn="1" w:lastColumn="0" w:noHBand="0" w:noVBand="1"/>
      </w:tblPr>
      <w:tblGrid>
        <w:gridCol w:w="5529"/>
        <w:gridCol w:w="2454"/>
        <w:gridCol w:w="1087"/>
      </w:tblGrid>
      <w:tr w:rsidR="0008598B" w:rsidRPr="009C5A65" w14:paraId="6D98EBB1" w14:textId="77777777" w:rsidTr="0008598B">
        <w:trPr>
          <w:trHeight w:val="283"/>
        </w:trPr>
        <w:tc>
          <w:tcPr>
            <w:tcW w:w="3048" w:type="pct"/>
            <w:shd w:val="clear" w:color="000000" w:fill="314364"/>
            <w:vAlign w:val="center"/>
            <w:hideMark/>
          </w:tcPr>
          <w:p w14:paraId="637AE65B" w14:textId="77777777" w:rsidR="0008598B" w:rsidRPr="009C5A65" w:rsidRDefault="0008598B" w:rsidP="0008598B">
            <w:pPr>
              <w:spacing w:after="0" w:line="240" w:lineRule="auto"/>
              <w:jc w:val="left"/>
              <w:rPr>
                <w:rFonts w:eastAsia="Times New Roman" w:cs="Segoe UI"/>
                <w:b/>
                <w:bCs/>
                <w:color w:val="FFFFFF"/>
                <w:sz w:val="18"/>
                <w:szCs w:val="18"/>
                <w:lang w:eastAsia="sk-SK"/>
              </w:rPr>
            </w:pPr>
            <w:r w:rsidRPr="009C5A65">
              <w:rPr>
                <w:rFonts w:eastAsia="Times New Roman" w:cs="Segoe UI"/>
                <w:b/>
                <w:bCs/>
                <w:color w:val="FFFFFF"/>
                <w:sz w:val="18"/>
                <w:szCs w:val="18"/>
                <w:lang w:eastAsia="sk-SK"/>
              </w:rPr>
              <w:t>Ukazovateľ</w:t>
            </w:r>
          </w:p>
        </w:tc>
        <w:tc>
          <w:tcPr>
            <w:tcW w:w="1353" w:type="pct"/>
            <w:shd w:val="clear" w:color="000000" w:fill="314364"/>
            <w:vAlign w:val="center"/>
            <w:hideMark/>
          </w:tcPr>
          <w:p w14:paraId="7CE42784" w14:textId="77777777" w:rsidR="0008598B" w:rsidRPr="009C5A65" w:rsidRDefault="0008598B" w:rsidP="0008598B">
            <w:pPr>
              <w:spacing w:after="0" w:line="240" w:lineRule="auto"/>
              <w:jc w:val="right"/>
              <w:rPr>
                <w:rFonts w:eastAsia="Times New Roman" w:cs="Segoe UI"/>
                <w:b/>
                <w:bCs/>
                <w:color w:val="FFFFFF"/>
                <w:sz w:val="18"/>
                <w:szCs w:val="18"/>
                <w:lang w:eastAsia="sk-SK"/>
              </w:rPr>
            </w:pPr>
            <w:r w:rsidRPr="009C5A65">
              <w:rPr>
                <w:rFonts w:eastAsia="Times New Roman" w:cs="Segoe UI"/>
                <w:b/>
                <w:bCs/>
                <w:color w:val="FFFFFF"/>
                <w:sz w:val="18"/>
                <w:szCs w:val="18"/>
                <w:lang w:eastAsia="sk-SK"/>
              </w:rPr>
              <w:t>plán 2022*</w:t>
            </w:r>
          </w:p>
        </w:tc>
        <w:tc>
          <w:tcPr>
            <w:tcW w:w="599" w:type="pct"/>
            <w:shd w:val="clear" w:color="000000" w:fill="314364"/>
            <w:vAlign w:val="center"/>
            <w:hideMark/>
          </w:tcPr>
          <w:p w14:paraId="57CCF9D3" w14:textId="77777777" w:rsidR="0008598B" w:rsidRPr="009C5A65" w:rsidRDefault="0008598B" w:rsidP="0008598B">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S</w:t>
            </w:r>
            <w:r w:rsidRPr="009C5A65">
              <w:rPr>
                <w:rFonts w:eastAsia="Times New Roman" w:cs="Segoe UI"/>
                <w:b/>
                <w:bCs/>
                <w:color w:val="FFFFFF"/>
                <w:sz w:val="18"/>
                <w:szCs w:val="18"/>
                <w:lang w:eastAsia="sk-SK"/>
              </w:rPr>
              <w:t xml:space="preserve"> 2022**</w:t>
            </w:r>
          </w:p>
        </w:tc>
      </w:tr>
      <w:tr w:rsidR="0008598B" w:rsidRPr="009C5A65" w14:paraId="1DF4877E" w14:textId="77777777" w:rsidTr="0008598B">
        <w:trPr>
          <w:trHeight w:val="283"/>
        </w:trPr>
        <w:tc>
          <w:tcPr>
            <w:tcW w:w="3048" w:type="pct"/>
            <w:shd w:val="clear" w:color="auto" w:fill="auto"/>
            <w:vAlign w:val="center"/>
            <w:hideMark/>
          </w:tcPr>
          <w:p w14:paraId="1E96CF8D" w14:textId="77777777" w:rsidR="0008598B" w:rsidRPr="009C5A65" w:rsidRDefault="0008598B" w:rsidP="0008598B">
            <w:pPr>
              <w:spacing w:after="0" w:line="240" w:lineRule="auto"/>
              <w:jc w:val="left"/>
              <w:rPr>
                <w:rFonts w:eastAsia="Times New Roman" w:cs="Segoe UI"/>
                <w:color w:val="000000"/>
                <w:sz w:val="18"/>
                <w:szCs w:val="18"/>
                <w:lang w:eastAsia="sk-SK"/>
              </w:rPr>
            </w:pPr>
            <w:r w:rsidRPr="009C5A65">
              <w:rPr>
                <w:rFonts w:eastAsia="Times New Roman" w:cs="Segoe UI"/>
                <w:color w:val="000000"/>
                <w:sz w:val="18"/>
                <w:szCs w:val="18"/>
                <w:lang w:eastAsia="sk-SK"/>
              </w:rPr>
              <w:t xml:space="preserve">Úspora na základe prehodnotenia </w:t>
            </w:r>
            <w:r w:rsidRPr="009C5A65">
              <w:rPr>
                <w:rFonts w:eastAsia="Times New Roman" w:cs="Segoe UI"/>
                <w:b/>
                <w:bCs/>
                <w:color w:val="000000"/>
                <w:sz w:val="18"/>
                <w:szCs w:val="18"/>
                <w:lang w:eastAsia="sk-SK"/>
              </w:rPr>
              <w:t>nákladovej efektivity liekov</w:t>
            </w:r>
            <w:r w:rsidRPr="009C5A65">
              <w:rPr>
                <w:rFonts w:eastAsia="Times New Roman" w:cs="Segoe UI"/>
                <w:color w:val="000000"/>
                <w:sz w:val="18"/>
                <w:szCs w:val="18"/>
                <w:lang w:eastAsia="sk-SK"/>
              </w:rPr>
              <w:t xml:space="preserve"> zo strany MZ SR u zaradených liekov v kategorizačnom zozname</w:t>
            </w:r>
          </w:p>
        </w:tc>
        <w:tc>
          <w:tcPr>
            <w:tcW w:w="1353" w:type="pct"/>
            <w:shd w:val="clear" w:color="auto" w:fill="auto"/>
            <w:vAlign w:val="center"/>
            <w:hideMark/>
          </w:tcPr>
          <w:p w14:paraId="1AA51D94"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36 000</w:t>
            </w:r>
          </w:p>
        </w:tc>
        <w:tc>
          <w:tcPr>
            <w:tcW w:w="599" w:type="pct"/>
            <w:shd w:val="clear" w:color="auto" w:fill="auto"/>
            <w:vAlign w:val="center"/>
            <w:hideMark/>
          </w:tcPr>
          <w:p w14:paraId="4B6C89F0"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0</w:t>
            </w:r>
          </w:p>
        </w:tc>
      </w:tr>
      <w:tr w:rsidR="0008598B" w:rsidRPr="009C5A65" w14:paraId="63DC65FA" w14:textId="77777777" w:rsidTr="0008598B">
        <w:trPr>
          <w:trHeight w:val="283"/>
        </w:trPr>
        <w:tc>
          <w:tcPr>
            <w:tcW w:w="3048" w:type="pct"/>
            <w:shd w:val="clear" w:color="auto" w:fill="auto"/>
            <w:vAlign w:val="center"/>
            <w:hideMark/>
          </w:tcPr>
          <w:p w14:paraId="48FEB54E" w14:textId="77777777" w:rsidR="0008598B" w:rsidRPr="009C5A65" w:rsidRDefault="0008598B" w:rsidP="0008598B">
            <w:pPr>
              <w:spacing w:after="0" w:line="240" w:lineRule="auto"/>
              <w:jc w:val="left"/>
              <w:rPr>
                <w:rFonts w:eastAsia="Times New Roman" w:cs="Segoe UI"/>
                <w:color w:val="000000"/>
                <w:sz w:val="18"/>
                <w:szCs w:val="18"/>
                <w:lang w:eastAsia="sk-SK"/>
              </w:rPr>
            </w:pPr>
            <w:r w:rsidRPr="009C5A65">
              <w:rPr>
                <w:rFonts w:eastAsia="Times New Roman" w:cs="Segoe UI"/>
                <w:color w:val="000000"/>
                <w:sz w:val="18"/>
                <w:szCs w:val="18"/>
                <w:lang w:eastAsia="sk-SK"/>
              </w:rPr>
              <w:t xml:space="preserve">Úspora zo spustenia modulov </w:t>
            </w:r>
            <w:proofErr w:type="spellStart"/>
            <w:r w:rsidRPr="009C5A65">
              <w:rPr>
                <w:rFonts w:eastAsia="Times New Roman" w:cs="Segoe UI"/>
                <w:b/>
                <w:bCs/>
                <w:color w:val="000000"/>
                <w:sz w:val="18"/>
                <w:szCs w:val="18"/>
                <w:lang w:eastAsia="sk-SK"/>
              </w:rPr>
              <w:t>eHealth</w:t>
            </w:r>
            <w:proofErr w:type="spellEnd"/>
          </w:p>
        </w:tc>
        <w:tc>
          <w:tcPr>
            <w:tcW w:w="1353" w:type="pct"/>
            <w:shd w:val="clear" w:color="auto" w:fill="auto"/>
            <w:vAlign w:val="center"/>
            <w:hideMark/>
          </w:tcPr>
          <w:p w14:paraId="6E7E4494"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30 000</w:t>
            </w:r>
          </w:p>
        </w:tc>
        <w:tc>
          <w:tcPr>
            <w:tcW w:w="599" w:type="pct"/>
            <w:shd w:val="clear" w:color="auto" w:fill="auto"/>
            <w:vAlign w:val="center"/>
            <w:hideMark/>
          </w:tcPr>
          <w:p w14:paraId="7D19DA66"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0</w:t>
            </w:r>
          </w:p>
        </w:tc>
      </w:tr>
      <w:tr w:rsidR="0008598B" w:rsidRPr="009C5A65" w14:paraId="3F09E110" w14:textId="77777777" w:rsidTr="0008598B">
        <w:trPr>
          <w:trHeight w:val="283"/>
        </w:trPr>
        <w:tc>
          <w:tcPr>
            <w:tcW w:w="3048" w:type="pct"/>
            <w:shd w:val="clear" w:color="auto" w:fill="auto"/>
            <w:vAlign w:val="center"/>
            <w:hideMark/>
          </w:tcPr>
          <w:p w14:paraId="19410974" w14:textId="77777777" w:rsidR="0008598B" w:rsidRPr="009C5A65" w:rsidRDefault="0008598B" w:rsidP="0008598B">
            <w:pPr>
              <w:spacing w:after="0" w:line="240" w:lineRule="auto"/>
              <w:jc w:val="left"/>
              <w:rPr>
                <w:rFonts w:eastAsia="Times New Roman" w:cs="Segoe UI"/>
                <w:color w:val="000000"/>
                <w:sz w:val="18"/>
                <w:szCs w:val="18"/>
                <w:lang w:eastAsia="sk-SK"/>
              </w:rPr>
            </w:pPr>
            <w:r w:rsidRPr="009C5A65">
              <w:rPr>
                <w:rFonts w:eastAsia="Times New Roman" w:cs="Segoe UI"/>
                <w:color w:val="000000"/>
                <w:sz w:val="18"/>
                <w:szCs w:val="18"/>
                <w:lang w:eastAsia="sk-SK"/>
              </w:rPr>
              <w:t xml:space="preserve">Úspora na základe medziročného porovnania vývoja výdavkov na </w:t>
            </w:r>
            <w:r w:rsidRPr="009C5A65">
              <w:rPr>
                <w:rFonts w:eastAsia="Times New Roman" w:cs="Segoe UI"/>
                <w:b/>
                <w:bCs/>
                <w:color w:val="000000"/>
                <w:sz w:val="18"/>
                <w:szCs w:val="18"/>
                <w:lang w:eastAsia="sk-SK"/>
              </w:rPr>
              <w:t>lieky hradené z VZP na výnimky</w:t>
            </w:r>
          </w:p>
        </w:tc>
        <w:tc>
          <w:tcPr>
            <w:tcW w:w="1353" w:type="pct"/>
            <w:shd w:val="clear" w:color="auto" w:fill="auto"/>
            <w:vAlign w:val="center"/>
            <w:hideMark/>
          </w:tcPr>
          <w:p w14:paraId="6F14749D"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16 000</w:t>
            </w:r>
          </w:p>
        </w:tc>
        <w:tc>
          <w:tcPr>
            <w:tcW w:w="599" w:type="pct"/>
            <w:shd w:val="clear" w:color="auto" w:fill="auto"/>
            <w:vAlign w:val="center"/>
            <w:hideMark/>
          </w:tcPr>
          <w:p w14:paraId="7ECAA431"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0</w:t>
            </w:r>
          </w:p>
        </w:tc>
      </w:tr>
      <w:tr w:rsidR="0008598B" w:rsidRPr="009C5A65" w14:paraId="6993DED7" w14:textId="77777777" w:rsidTr="0008598B">
        <w:trPr>
          <w:trHeight w:val="283"/>
        </w:trPr>
        <w:tc>
          <w:tcPr>
            <w:tcW w:w="3048" w:type="pct"/>
            <w:shd w:val="clear" w:color="auto" w:fill="auto"/>
            <w:vAlign w:val="center"/>
            <w:hideMark/>
          </w:tcPr>
          <w:p w14:paraId="790C06FD" w14:textId="77777777" w:rsidR="0008598B" w:rsidRPr="009C5A65" w:rsidRDefault="0008598B" w:rsidP="0008598B">
            <w:pPr>
              <w:spacing w:after="0" w:line="240" w:lineRule="auto"/>
              <w:jc w:val="left"/>
              <w:rPr>
                <w:rFonts w:eastAsia="Times New Roman" w:cs="Segoe UI"/>
                <w:color w:val="000000"/>
                <w:sz w:val="18"/>
                <w:szCs w:val="18"/>
                <w:lang w:eastAsia="sk-SK"/>
              </w:rPr>
            </w:pPr>
            <w:r w:rsidRPr="009C5A65">
              <w:rPr>
                <w:rFonts w:eastAsia="Times New Roman" w:cs="Segoe UI"/>
                <w:color w:val="000000"/>
                <w:sz w:val="18"/>
                <w:szCs w:val="18"/>
                <w:lang w:eastAsia="sk-SK"/>
              </w:rPr>
              <w:t xml:space="preserve">Úspora z </w:t>
            </w:r>
            <w:r w:rsidRPr="009C5A65">
              <w:rPr>
                <w:rFonts w:eastAsia="Times New Roman" w:cs="Segoe UI"/>
                <w:b/>
                <w:bCs/>
                <w:color w:val="000000"/>
                <w:sz w:val="18"/>
                <w:szCs w:val="18"/>
                <w:lang w:eastAsia="sk-SK"/>
              </w:rPr>
              <w:t>vyrovnávacieho rozdielu</w:t>
            </w:r>
            <w:r w:rsidRPr="009C5A65">
              <w:rPr>
                <w:rFonts w:eastAsia="Times New Roman" w:cs="Segoe UI"/>
                <w:color w:val="000000"/>
                <w:sz w:val="18"/>
                <w:szCs w:val="18"/>
                <w:lang w:eastAsia="sk-SK"/>
              </w:rPr>
              <w:t xml:space="preserve"> u kategorizovaných liekov</w:t>
            </w:r>
          </w:p>
        </w:tc>
        <w:tc>
          <w:tcPr>
            <w:tcW w:w="1353" w:type="pct"/>
            <w:shd w:val="clear" w:color="auto" w:fill="auto"/>
            <w:vAlign w:val="center"/>
            <w:hideMark/>
          </w:tcPr>
          <w:p w14:paraId="5D75127E"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7 000</w:t>
            </w:r>
          </w:p>
        </w:tc>
        <w:tc>
          <w:tcPr>
            <w:tcW w:w="599" w:type="pct"/>
            <w:shd w:val="clear" w:color="auto" w:fill="auto"/>
            <w:vAlign w:val="center"/>
            <w:hideMark/>
          </w:tcPr>
          <w:p w14:paraId="6F534BE7"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0</w:t>
            </w:r>
          </w:p>
        </w:tc>
      </w:tr>
      <w:tr w:rsidR="0008598B" w:rsidRPr="009C5A65" w14:paraId="6AF29085" w14:textId="77777777" w:rsidTr="0008598B">
        <w:trPr>
          <w:trHeight w:val="283"/>
        </w:trPr>
        <w:tc>
          <w:tcPr>
            <w:tcW w:w="3048" w:type="pct"/>
            <w:shd w:val="clear" w:color="auto" w:fill="auto"/>
            <w:vAlign w:val="center"/>
            <w:hideMark/>
          </w:tcPr>
          <w:p w14:paraId="179DC353" w14:textId="77777777" w:rsidR="0008598B" w:rsidRPr="009C5A65" w:rsidRDefault="0008598B" w:rsidP="0008598B">
            <w:pPr>
              <w:spacing w:after="0" w:line="240" w:lineRule="auto"/>
              <w:jc w:val="left"/>
              <w:rPr>
                <w:rFonts w:eastAsia="Times New Roman" w:cs="Segoe UI"/>
                <w:color w:val="000000"/>
                <w:sz w:val="18"/>
                <w:szCs w:val="18"/>
                <w:lang w:eastAsia="sk-SK"/>
              </w:rPr>
            </w:pPr>
            <w:r w:rsidRPr="009C5A65">
              <w:rPr>
                <w:rFonts w:eastAsia="Times New Roman" w:cs="Segoe UI"/>
                <w:color w:val="000000"/>
                <w:sz w:val="18"/>
                <w:szCs w:val="18"/>
                <w:lang w:eastAsia="sk-SK"/>
              </w:rPr>
              <w:t xml:space="preserve">Úspora z podpory vstupu </w:t>
            </w:r>
            <w:r w:rsidRPr="009C5A65">
              <w:rPr>
                <w:rFonts w:eastAsia="Times New Roman" w:cs="Segoe UI"/>
                <w:b/>
                <w:bCs/>
                <w:color w:val="000000"/>
                <w:sz w:val="18"/>
                <w:szCs w:val="18"/>
                <w:lang w:eastAsia="sk-SK"/>
              </w:rPr>
              <w:t>generík a biosimilárov</w:t>
            </w:r>
            <w:r w:rsidRPr="009C5A65">
              <w:rPr>
                <w:rFonts w:eastAsia="Times New Roman" w:cs="Segoe UI"/>
                <w:color w:val="000000"/>
                <w:sz w:val="18"/>
                <w:szCs w:val="18"/>
                <w:lang w:eastAsia="sk-SK"/>
              </w:rPr>
              <w:t xml:space="preserve"> zo strany MZ SR</w:t>
            </w:r>
          </w:p>
        </w:tc>
        <w:tc>
          <w:tcPr>
            <w:tcW w:w="1353" w:type="pct"/>
            <w:shd w:val="clear" w:color="auto" w:fill="auto"/>
            <w:vAlign w:val="center"/>
            <w:hideMark/>
          </w:tcPr>
          <w:p w14:paraId="1A5AFFF3"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3 000</w:t>
            </w:r>
          </w:p>
        </w:tc>
        <w:tc>
          <w:tcPr>
            <w:tcW w:w="599" w:type="pct"/>
            <w:shd w:val="clear" w:color="auto" w:fill="auto"/>
            <w:vAlign w:val="center"/>
            <w:hideMark/>
          </w:tcPr>
          <w:p w14:paraId="3019DAFB" w14:textId="77777777" w:rsidR="0008598B" w:rsidRPr="009C5A65" w:rsidRDefault="0008598B" w:rsidP="0008598B">
            <w:pPr>
              <w:spacing w:after="0" w:line="240" w:lineRule="auto"/>
              <w:jc w:val="right"/>
              <w:rPr>
                <w:rFonts w:eastAsia="Times New Roman" w:cs="Segoe UI"/>
                <w:color w:val="000000"/>
                <w:sz w:val="18"/>
                <w:szCs w:val="18"/>
                <w:lang w:eastAsia="sk-SK"/>
              </w:rPr>
            </w:pPr>
            <w:r w:rsidRPr="009C5A65">
              <w:rPr>
                <w:rFonts w:eastAsia="Times New Roman" w:cs="Segoe UI"/>
                <w:color w:val="000000"/>
                <w:sz w:val="18"/>
                <w:szCs w:val="18"/>
                <w:lang w:eastAsia="sk-SK"/>
              </w:rPr>
              <w:t>4</w:t>
            </w:r>
            <w:r>
              <w:rPr>
                <w:rFonts w:eastAsia="Times New Roman" w:cs="Segoe UI"/>
                <w:color w:val="000000"/>
                <w:sz w:val="18"/>
                <w:szCs w:val="18"/>
                <w:lang w:eastAsia="sk-SK"/>
              </w:rPr>
              <w:t> </w:t>
            </w:r>
            <w:r w:rsidRPr="009C5A65">
              <w:rPr>
                <w:rFonts w:eastAsia="Times New Roman" w:cs="Segoe UI"/>
                <w:color w:val="000000"/>
                <w:sz w:val="18"/>
                <w:szCs w:val="18"/>
                <w:lang w:eastAsia="sk-SK"/>
              </w:rPr>
              <w:t>041</w:t>
            </w:r>
          </w:p>
        </w:tc>
      </w:tr>
      <w:tr w:rsidR="0008598B" w:rsidRPr="009C5A65" w14:paraId="0A6F47E7" w14:textId="77777777" w:rsidTr="0008598B">
        <w:trPr>
          <w:trHeight w:val="283"/>
        </w:trPr>
        <w:tc>
          <w:tcPr>
            <w:tcW w:w="3048" w:type="pct"/>
            <w:shd w:val="clear" w:color="auto" w:fill="auto"/>
            <w:vAlign w:val="center"/>
            <w:hideMark/>
          </w:tcPr>
          <w:p w14:paraId="68D8DD1B" w14:textId="15A352D8" w:rsidR="0008598B" w:rsidRPr="009C5A65" w:rsidRDefault="0008598B" w:rsidP="0008598B">
            <w:pPr>
              <w:spacing w:after="0" w:line="240" w:lineRule="auto"/>
              <w:jc w:val="left"/>
              <w:rPr>
                <w:rFonts w:eastAsia="Times New Roman" w:cs="Segoe UI"/>
                <w:color w:val="000000"/>
                <w:sz w:val="18"/>
                <w:szCs w:val="18"/>
                <w:lang w:eastAsia="sk-SK"/>
              </w:rPr>
            </w:pPr>
            <w:r w:rsidRPr="002C2B32">
              <w:rPr>
                <w:rFonts w:eastAsia="Times New Roman" w:cs="Segoe UI"/>
                <w:b/>
                <w:color w:val="000000"/>
                <w:sz w:val="18"/>
                <w:szCs w:val="18"/>
                <w:lang w:eastAsia="sk-SK"/>
              </w:rPr>
              <w:t>Spolu</w:t>
            </w:r>
          </w:p>
        </w:tc>
        <w:tc>
          <w:tcPr>
            <w:tcW w:w="1353" w:type="pct"/>
            <w:shd w:val="clear" w:color="auto" w:fill="auto"/>
            <w:vAlign w:val="center"/>
            <w:hideMark/>
          </w:tcPr>
          <w:p w14:paraId="62A75070" w14:textId="68A252AE" w:rsidR="0008598B" w:rsidRPr="009C5A65" w:rsidRDefault="0008598B" w:rsidP="0008598B">
            <w:pPr>
              <w:spacing w:after="0" w:line="240" w:lineRule="auto"/>
              <w:jc w:val="right"/>
              <w:rPr>
                <w:rFonts w:eastAsia="Times New Roman" w:cs="Segoe UI"/>
                <w:color w:val="000000"/>
                <w:sz w:val="18"/>
                <w:szCs w:val="18"/>
                <w:lang w:eastAsia="sk-SK"/>
              </w:rPr>
            </w:pPr>
            <w:r>
              <w:rPr>
                <w:rFonts w:eastAsia="Times New Roman" w:cs="Segoe UI"/>
                <w:color w:val="000000"/>
                <w:sz w:val="18"/>
                <w:szCs w:val="18"/>
                <w:lang w:eastAsia="sk-SK"/>
              </w:rPr>
              <w:t>92 000</w:t>
            </w:r>
          </w:p>
        </w:tc>
        <w:tc>
          <w:tcPr>
            <w:tcW w:w="599" w:type="pct"/>
            <w:shd w:val="clear" w:color="auto" w:fill="auto"/>
            <w:vAlign w:val="center"/>
            <w:hideMark/>
          </w:tcPr>
          <w:p w14:paraId="47C5CDA7" w14:textId="6F5F7139" w:rsidR="0008598B" w:rsidRPr="009C5A65" w:rsidRDefault="0008598B" w:rsidP="0008598B">
            <w:pPr>
              <w:spacing w:after="0" w:line="240" w:lineRule="auto"/>
              <w:jc w:val="right"/>
              <w:rPr>
                <w:rFonts w:eastAsia="Times New Roman" w:cs="Segoe UI"/>
                <w:color w:val="000000"/>
                <w:sz w:val="18"/>
                <w:szCs w:val="18"/>
                <w:lang w:eastAsia="sk-SK"/>
              </w:rPr>
            </w:pPr>
            <w:r>
              <w:rPr>
                <w:rFonts w:eastAsia="Times New Roman" w:cs="Segoe UI"/>
                <w:color w:val="000000"/>
                <w:sz w:val="18"/>
                <w:szCs w:val="18"/>
                <w:lang w:eastAsia="sk-SK"/>
              </w:rPr>
              <w:t>4 041</w:t>
            </w:r>
          </w:p>
        </w:tc>
      </w:tr>
    </w:tbl>
    <w:p w14:paraId="6A26204A" w14:textId="7B5FE30F" w:rsidR="0008598B" w:rsidRPr="0060393A" w:rsidRDefault="0008598B" w:rsidP="0008598B">
      <w:pPr>
        <w:pStyle w:val="Zdroj"/>
      </w:pPr>
      <w:r>
        <w:t>Zdroj: MF SR, VšZP, ZP Dôvera, ZP Union. *Návrh RVS 2022 – 2024, **Súčet údajov od zdravotných poisťovní</w:t>
      </w:r>
    </w:p>
    <w:p w14:paraId="3207776B" w14:textId="68C64D58" w:rsidR="00ED5BF4" w:rsidRDefault="00ED5BF4" w:rsidP="00ED5BF4">
      <w:pPr>
        <w:spacing w:before="120"/>
      </w:pPr>
      <w:r w:rsidRPr="00E41D61">
        <w:rPr>
          <w:b/>
        </w:rPr>
        <w:lastRenderedPageBreak/>
        <w:t xml:space="preserve">NKÚ SR upozorňuje na nesplnenie úspory u liekov </w:t>
      </w:r>
      <w:r w:rsidRPr="00ED5BF4">
        <w:rPr>
          <w:b/>
        </w:rPr>
        <w:t>ktoré nespĺňajú</w:t>
      </w:r>
      <w:r>
        <w:t xml:space="preserve"> </w:t>
      </w:r>
      <w:r w:rsidRPr="00753576">
        <w:rPr>
          <w:b/>
        </w:rPr>
        <w:t>kritérium nákladovej efek</w:t>
      </w:r>
      <w:r>
        <w:rPr>
          <w:b/>
        </w:rPr>
        <w:t xml:space="preserve">tivity </w:t>
      </w:r>
      <w:r w:rsidRPr="00E41D61">
        <w:rPr>
          <w:b/>
        </w:rPr>
        <w:t>za rok 2022.</w:t>
      </w:r>
      <w:r>
        <w:t xml:space="preserve"> V návrhu RVS na rok 2022 boli tieto potenciálne úspory na lieky kvantifikované v sume 36 mil. eur. </w:t>
      </w:r>
      <w:r w:rsidRPr="00EE7539">
        <w:t xml:space="preserve">Podľa údajov zo </w:t>
      </w:r>
      <w:r>
        <w:t>ZP</w:t>
      </w:r>
      <w:r w:rsidRPr="00EE7539">
        <w:t xml:space="preserve"> </w:t>
      </w:r>
      <w:r>
        <w:t>(</w:t>
      </w:r>
      <w:r w:rsidRPr="0009377B">
        <w:t xml:space="preserve">tabuľka </w:t>
      </w:r>
      <w:r>
        <w:t xml:space="preserve">13) nedošlo zo strany MZ SR k prehodnoteniu nákladovej </w:t>
      </w:r>
      <w:r w:rsidRPr="00763C5E">
        <w:t>efektivity</w:t>
      </w:r>
      <w:r>
        <w:rPr>
          <w:color w:val="FF0000"/>
        </w:rPr>
        <w:t xml:space="preserve"> </w:t>
      </w:r>
      <w:r>
        <w:t xml:space="preserve">potenciálne nákladovo neefektívnych liekov. </w:t>
      </w:r>
    </w:p>
    <w:p w14:paraId="47E3F866" w14:textId="47B98217" w:rsidR="00757189" w:rsidRPr="00BD18D7" w:rsidRDefault="0040055F" w:rsidP="00757189">
      <w:pPr>
        <w:spacing w:before="120"/>
        <w:rPr>
          <w:szCs w:val="20"/>
        </w:rPr>
      </w:pPr>
      <w:r>
        <w:rPr>
          <w:b/>
          <w:szCs w:val="20"/>
        </w:rPr>
        <w:t xml:space="preserve">V roku 2022 nedošlo ani k úspore zo spustenia </w:t>
      </w:r>
      <w:r w:rsidR="00757189" w:rsidRPr="00E41D61">
        <w:rPr>
          <w:b/>
          <w:szCs w:val="20"/>
        </w:rPr>
        <w:t xml:space="preserve">modulov </w:t>
      </w:r>
      <w:proofErr w:type="spellStart"/>
      <w:r w:rsidR="00757189" w:rsidRPr="00E41D61">
        <w:rPr>
          <w:b/>
          <w:szCs w:val="20"/>
        </w:rPr>
        <w:t>eHealth</w:t>
      </w:r>
      <w:proofErr w:type="spellEnd"/>
      <w:r w:rsidR="00757189" w:rsidRPr="00E41D61">
        <w:rPr>
          <w:b/>
          <w:szCs w:val="20"/>
        </w:rPr>
        <w:t xml:space="preserve"> do praxe</w:t>
      </w:r>
      <w:r>
        <w:rPr>
          <w:b/>
          <w:szCs w:val="20"/>
        </w:rPr>
        <w:t>, ktorá bola plánovaná v sume</w:t>
      </w:r>
      <w:r w:rsidR="00757189" w:rsidRPr="00E41D61">
        <w:rPr>
          <w:b/>
          <w:szCs w:val="20"/>
        </w:rPr>
        <w:t xml:space="preserve"> 30 mil. eur.</w:t>
      </w:r>
      <w:r w:rsidR="00757189">
        <w:rPr>
          <w:szCs w:val="20"/>
        </w:rPr>
        <w:t xml:space="preserve"> Dosiahnutie úspory vyžadovalo včasné spustenie príslušných modulov na NCZI. Podľa informácií</w:t>
      </w:r>
      <w:r w:rsidR="00757189" w:rsidRPr="00BD18D7">
        <w:rPr>
          <w:szCs w:val="20"/>
        </w:rPr>
        <w:t xml:space="preserve"> zo </w:t>
      </w:r>
      <w:r w:rsidR="00E41D61">
        <w:rPr>
          <w:szCs w:val="20"/>
        </w:rPr>
        <w:t>ZP</w:t>
      </w:r>
      <w:r>
        <w:rPr>
          <w:szCs w:val="20"/>
        </w:rPr>
        <w:t xml:space="preserve"> k tejto úspore</w:t>
      </w:r>
      <w:r w:rsidR="00757189" w:rsidRPr="00BD18D7">
        <w:rPr>
          <w:szCs w:val="20"/>
        </w:rPr>
        <w:t xml:space="preserve"> nedošlo</w:t>
      </w:r>
      <w:r>
        <w:rPr>
          <w:szCs w:val="20"/>
        </w:rPr>
        <w:t>,</w:t>
      </w:r>
      <w:r w:rsidR="00757189" w:rsidRPr="00BD18D7">
        <w:rPr>
          <w:rFonts w:eastAsia="Times New Roman" w:cs="Segoe UI"/>
          <w:bCs/>
          <w:color w:val="000000"/>
          <w:szCs w:val="20"/>
          <w:lang w:eastAsia="sk-SK"/>
        </w:rPr>
        <w:t xml:space="preserve"> </w:t>
      </w:r>
      <w:r>
        <w:rPr>
          <w:rFonts w:eastAsia="Times New Roman" w:cs="Segoe UI"/>
          <w:bCs/>
          <w:color w:val="000000"/>
          <w:szCs w:val="20"/>
          <w:lang w:eastAsia="sk-SK"/>
        </w:rPr>
        <w:t>keďže</w:t>
      </w:r>
      <w:r w:rsidR="00757189" w:rsidRPr="00BD18D7">
        <w:rPr>
          <w:rFonts w:eastAsia="Times New Roman" w:cs="Segoe UI"/>
          <w:bCs/>
          <w:color w:val="000000"/>
          <w:szCs w:val="20"/>
          <w:lang w:eastAsia="sk-SK"/>
        </w:rPr>
        <w:t xml:space="preserve"> potenciál úspor zo zavedenia </w:t>
      </w:r>
      <w:proofErr w:type="spellStart"/>
      <w:r w:rsidR="00757189" w:rsidRPr="00BD18D7">
        <w:rPr>
          <w:rFonts w:eastAsia="Times New Roman" w:cs="Segoe UI"/>
          <w:bCs/>
          <w:color w:val="000000"/>
          <w:szCs w:val="20"/>
          <w:lang w:eastAsia="sk-SK"/>
        </w:rPr>
        <w:t>eReceptu</w:t>
      </w:r>
      <w:proofErr w:type="spellEnd"/>
      <w:r w:rsidR="00757189" w:rsidRPr="00BD18D7">
        <w:rPr>
          <w:rFonts w:eastAsia="Times New Roman" w:cs="Segoe UI"/>
          <w:bCs/>
          <w:color w:val="000000"/>
          <w:szCs w:val="20"/>
          <w:lang w:eastAsia="sk-SK"/>
        </w:rPr>
        <w:t xml:space="preserve"> sa vyčerpal v minulých rokoch a ďalšie úspory možno očakávať až zavedením ďalších modulov (</w:t>
      </w:r>
      <w:proofErr w:type="spellStart"/>
      <w:r w:rsidR="00757189" w:rsidRPr="00BD18D7">
        <w:rPr>
          <w:rFonts w:eastAsia="Times New Roman" w:cs="Segoe UI"/>
          <w:bCs/>
          <w:color w:val="000000"/>
          <w:szCs w:val="20"/>
          <w:lang w:eastAsia="sk-SK"/>
        </w:rPr>
        <w:t>eLab</w:t>
      </w:r>
      <w:proofErr w:type="spellEnd"/>
      <w:r w:rsidR="00757189" w:rsidRPr="00BD18D7">
        <w:rPr>
          <w:rFonts w:eastAsia="Times New Roman" w:cs="Segoe UI"/>
          <w:bCs/>
          <w:color w:val="000000"/>
          <w:szCs w:val="20"/>
          <w:lang w:eastAsia="sk-SK"/>
        </w:rPr>
        <w:t xml:space="preserve">, </w:t>
      </w:r>
      <w:proofErr w:type="spellStart"/>
      <w:r w:rsidR="00757189" w:rsidRPr="00BD18D7">
        <w:rPr>
          <w:rFonts w:eastAsia="Times New Roman" w:cs="Segoe UI"/>
          <w:bCs/>
          <w:color w:val="000000"/>
          <w:szCs w:val="20"/>
          <w:lang w:eastAsia="sk-SK"/>
        </w:rPr>
        <w:t>eŽiadanka</w:t>
      </w:r>
      <w:proofErr w:type="spellEnd"/>
      <w:r w:rsidR="00757189" w:rsidRPr="00BD18D7">
        <w:rPr>
          <w:rFonts w:eastAsia="Times New Roman" w:cs="Segoe UI"/>
          <w:bCs/>
          <w:color w:val="000000"/>
          <w:szCs w:val="20"/>
          <w:lang w:eastAsia="sk-SK"/>
        </w:rPr>
        <w:t xml:space="preserve"> a iné), ktoré zatiaľ neboli spustené na celoštátnej úrovni. </w:t>
      </w:r>
    </w:p>
    <w:p w14:paraId="6A77CA20" w14:textId="66BBBE7E" w:rsidR="00757189" w:rsidRPr="00E41D61" w:rsidRDefault="0081216D" w:rsidP="00757189">
      <w:pPr>
        <w:spacing w:before="120"/>
        <w:ind w:right="163"/>
        <w:rPr>
          <w:b/>
          <w:szCs w:val="20"/>
        </w:rPr>
      </w:pPr>
      <w:r w:rsidRPr="00F4230F">
        <w:rPr>
          <w:b/>
          <w:szCs w:val="20"/>
        </w:rPr>
        <w:t xml:space="preserve">Podľa údajov ZP sa v roku 2022 úspory </w:t>
      </w:r>
      <w:r>
        <w:rPr>
          <w:b/>
          <w:szCs w:val="20"/>
        </w:rPr>
        <w:t>nedosiahli ani zo zníženej spotreby liekov na výnimky</w:t>
      </w:r>
      <w:r w:rsidRPr="00F4230F">
        <w:rPr>
          <w:b/>
          <w:szCs w:val="20"/>
        </w:rPr>
        <w:t xml:space="preserve"> </w:t>
      </w:r>
      <w:r w:rsidR="00BF42BC" w:rsidRPr="00E41D61">
        <w:rPr>
          <w:szCs w:val="20"/>
        </w:rPr>
        <w:t>(hradené z VZP podľa § 88 zákona č. 363/2011 Z. z</w:t>
      </w:r>
      <w:r w:rsidR="00BF42BC" w:rsidRPr="00BF42BC">
        <w:rPr>
          <w:b/>
          <w:szCs w:val="20"/>
        </w:rPr>
        <w:t>.</w:t>
      </w:r>
      <w:r w:rsidR="00BF42BC" w:rsidRPr="00BF42BC">
        <w:rPr>
          <w:szCs w:val="20"/>
        </w:rPr>
        <w:t>),</w:t>
      </w:r>
      <w:r w:rsidR="00BF42BC" w:rsidRPr="00BF42BC">
        <w:rPr>
          <w:b/>
          <w:szCs w:val="20"/>
        </w:rPr>
        <w:t xml:space="preserve"> ktorá mala priniesť</w:t>
      </w:r>
      <w:r w:rsidR="00BF42BC" w:rsidRPr="00E41D61">
        <w:rPr>
          <w:b/>
          <w:szCs w:val="20"/>
        </w:rPr>
        <w:t xml:space="preserve"> úsporu vo výške 16 mil. eur.</w:t>
      </w:r>
      <w:r w:rsidR="00BF42BC">
        <w:rPr>
          <w:szCs w:val="20"/>
        </w:rPr>
        <w:t xml:space="preserve"> </w:t>
      </w:r>
      <w:r w:rsidR="0040055F">
        <w:rPr>
          <w:szCs w:val="20"/>
        </w:rPr>
        <w:t>Novela zákona č. 363/2011 Z. z.</w:t>
      </w:r>
      <w:r w:rsidR="00BF42BC">
        <w:rPr>
          <w:szCs w:val="20"/>
        </w:rPr>
        <w:t xml:space="preserve">, ktorá </w:t>
      </w:r>
      <w:r w:rsidR="00BF42BC" w:rsidRPr="00052831">
        <w:rPr>
          <w:szCs w:val="20"/>
        </w:rPr>
        <w:t>nadobudla platnosť</w:t>
      </w:r>
      <w:r w:rsidR="00BF42BC">
        <w:rPr>
          <w:szCs w:val="20"/>
        </w:rPr>
        <w:t xml:space="preserve"> 1. 8. 2022.,</w:t>
      </w:r>
      <w:r w:rsidR="0040055F">
        <w:rPr>
          <w:szCs w:val="20"/>
        </w:rPr>
        <w:t xml:space="preserve"> mala za cieľ znížiť náklady</w:t>
      </w:r>
      <w:r w:rsidR="00BF42BC">
        <w:rPr>
          <w:szCs w:val="20"/>
        </w:rPr>
        <w:t xml:space="preserve"> na lieky vo </w:t>
      </w:r>
      <w:proofErr w:type="spellStart"/>
      <w:r w:rsidR="00BF42BC">
        <w:rPr>
          <w:szCs w:val="20"/>
        </w:rPr>
        <w:t>výnimkovom</w:t>
      </w:r>
      <w:proofErr w:type="spellEnd"/>
      <w:r w:rsidR="00BF42BC">
        <w:rPr>
          <w:szCs w:val="20"/>
        </w:rPr>
        <w:t xml:space="preserve"> režime. N</w:t>
      </w:r>
      <w:r w:rsidR="00757189" w:rsidRPr="00052831">
        <w:rPr>
          <w:szCs w:val="20"/>
        </w:rPr>
        <w:t xml:space="preserve">a základe </w:t>
      </w:r>
      <w:r w:rsidR="00BF42BC">
        <w:rPr>
          <w:szCs w:val="20"/>
        </w:rPr>
        <w:t>tejto novely</w:t>
      </w:r>
      <w:r w:rsidR="00757189" w:rsidRPr="00052831">
        <w:rPr>
          <w:szCs w:val="20"/>
        </w:rPr>
        <w:t xml:space="preserve"> MZ SR navrhlo vyriešiť problematiku úhrad liekov na výnimky uzatváraním zmlúv s neverejnými údajmi o úhrade liekov z VZP priamo medzi MZ SR a vybranými držiteľmi registrácie liekov</w:t>
      </w:r>
      <w:r w:rsidR="00757189" w:rsidRPr="00BD18D7">
        <w:rPr>
          <w:szCs w:val="20"/>
        </w:rPr>
        <w:t xml:space="preserve">. Avšak </w:t>
      </w:r>
      <w:r w:rsidR="00E41D61">
        <w:rPr>
          <w:szCs w:val="20"/>
        </w:rPr>
        <w:t>ZP</w:t>
      </w:r>
      <w:r w:rsidR="00757189" w:rsidRPr="00BD18D7">
        <w:rPr>
          <w:szCs w:val="20"/>
        </w:rPr>
        <w:t xml:space="preserve"> vetovali prvé štyri takéto zmluvy v súlade v platnou legislatívou. </w:t>
      </w:r>
      <w:r w:rsidR="00757189" w:rsidRPr="00E41D61">
        <w:rPr>
          <w:b/>
          <w:szCs w:val="20"/>
        </w:rPr>
        <w:t>Uvedený proces uzatvárania zmlúv predstavuje významné riziko udržateľnosti výdavkov z VZP v ďalšom období.</w:t>
      </w:r>
    </w:p>
    <w:p w14:paraId="72A095BD" w14:textId="364866ED" w:rsidR="00BF42BC" w:rsidRPr="00E41D61" w:rsidRDefault="00BF246E" w:rsidP="00BF42BC">
      <w:pPr>
        <w:spacing w:before="120"/>
        <w:ind w:right="163"/>
        <w:rPr>
          <w:b/>
          <w:szCs w:val="20"/>
        </w:rPr>
      </w:pPr>
      <w:r>
        <w:rPr>
          <w:b/>
          <w:szCs w:val="20"/>
        </w:rPr>
        <w:t>V roku 2022 nebola zaznamenaná ani úspora z u</w:t>
      </w:r>
      <w:r w:rsidR="00BF42BC" w:rsidRPr="00E41D61">
        <w:rPr>
          <w:b/>
          <w:szCs w:val="20"/>
        </w:rPr>
        <w:t>platňovani</w:t>
      </w:r>
      <w:r>
        <w:rPr>
          <w:b/>
          <w:szCs w:val="20"/>
        </w:rPr>
        <w:t>a</w:t>
      </w:r>
      <w:r w:rsidR="00BF42BC" w:rsidRPr="00E41D61">
        <w:rPr>
          <w:b/>
          <w:szCs w:val="20"/>
        </w:rPr>
        <w:t xml:space="preserve"> tzv. vyrovnávacieho rozdielu</w:t>
      </w:r>
      <w:r>
        <w:rPr>
          <w:b/>
          <w:szCs w:val="20"/>
        </w:rPr>
        <w:t xml:space="preserve"> v plánovanej sume</w:t>
      </w:r>
      <w:r w:rsidR="00BF42BC" w:rsidRPr="00E41D61">
        <w:rPr>
          <w:b/>
          <w:szCs w:val="20"/>
        </w:rPr>
        <w:t xml:space="preserve"> 7</w:t>
      </w:r>
      <w:r w:rsidR="00BF42BC" w:rsidRPr="00E41D61">
        <w:rPr>
          <w:b/>
          <w:color w:val="FF0000"/>
          <w:szCs w:val="20"/>
        </w:rPr>
        <w:t xml:space="preserve"> </w:t>
      </w:r>
      <w:r w:rsidR="00BF42BC" w:rsidRPr="00E41D61">
        <w:rPr>
          <w:b/>
          <w:szCs w:val="20"/>
        </w:rPr>
        <w:t>mil. eur.</w:t>
      </w:r>
      <w:r w:rsidR="00BF42BC">
        <w:rPr>
          <w:szCs w:val="20"/>
        </w:rPr>
        <w:t xml:space="preserve"> </w:t>
      </w:r>
      <w:r>
        <w:rPr>
          <w:szCs w:val="20"/>
        </w:rPr>
        <w:t>Z inf</w:t>
      </w:r>
      <w:r w:rsidR="00BF42BC">
        <w:rPr>
          <w:szCs w:val="20"/>
        </w:rPr>
        <w:t xml:space="preserve">ormácií ZP vyplýva, že </w:t>
      </w:r>
      <w:r>
        <w:rPr>
          <w:szCs w:val="20"/>
        </w:rPr>
        <w:t xml:space="preserve">v minulom roku </w:t>
      </w:r>
      <w:r w:rsidR="00BF42BC">
        <w:rPr>
          <w:szCs w:val="20"/>
        </w:rPr>
        <w:t xml:space="preserve">nebolo právoplatne ukončené ani jedno správne konanie vo veci vrátenia vyrovnávacieho rozdielu na podmienene kategorizované lieky. </w:t>
      </w:r>
      <w:r w:rsidR="00BF42BC" w:rsidRPr="00E41D61">
        <w:rPr>
          <w:b/>
          <w:szCs w:val="20"/>
        </w:rPr>
        <w:t xml:space="preserve">NKÚ SR opakovane poukazuje na dlhodobú nečinnosť MZ SR pri plnení si povinnosti podľa zákona č. 363/2011 Z. z. </w:t>
      </w:r>
      <w:r w:rsidR="00BA45B8">
        <w:rPr>
          <w:b/>
          <w:szCs w:val="20"/>
        </w:rPr>
        <w:t xml:space="preserve"> – </w:t>
      </w:r>
      <w:r w:rsidR="00BF42BC" w:rsidRPr="00E41D61">
        <w:rPr>
          <w:b/>
          <w:szCs w:val="20"/>
        </w:rPr>
        <w:t xml:space="preserve">rozhodovať o vyrovnávacom rozdiele. </w:t>
      </w:r>
    </w:p>
    <w:p w14:paraId="0A0C82A7" w14:textId="38C208E9" w:rsidR="00BF246E" w:rsidRDefault="00BF246E" w:rsidP="00BF246E">
      <w:pPr>
        <w:spacing w:before="120"/>
        <w:ind w:right="163"/>
        <w:rPr>
          <w:szCs w:val="20"/>
        </w:rPr>
      </w:pPr>
      <w:r w:rsidRPr="00E41D61">
        <w:rPr>
          <w:szCs w:val="20"/>
        </w:rPr>
        <w:t>Podpora vstupu generických a </w:t>
      </w:r>
      <w:proofErr w:type="spellStart"/>
      <w:r w:rsidRPr="00E41D61">
        <w:rPr>
          <w:szCs w:val="20"/>
        </w:rPr>
        <w:t>biosimilárnych</w:t>
      </w:r>
      <w:proofErr w:type="spellEnd"/>
      <w:r w:rsidRPr="00E41D61">
        <w:rPr>
          <w:szCs w:val="20"/>
        </w:rPr>
        <w:t xml:space="preserve"> liekov do kategorizačného zoznamu v SR predstavuje významný faktor udržateľnosti financovania liekov z VZP.</w:t>
      </w:r>
      <w:r>
        <w:rPr>
          <w:szCs w:val="20"/>
        </w:rPr>
        <w:t xml:space="preserve"> </w:t>
      </w:r>
      <w:r w:rsidRPr="00E41D61">
        <w:rPr>
          <w:b/>
          <w:szCs w:val="20"/>
        </w:rPr>
        <w:t>V RVS na 2022 – 2024 bola navrhnutá úspora vo výške 3 mil. eur.</w:t>
      </w:r>
      <w:r w:rsidRPr="002E1665">
        <w:rPr>
          <w:szCs w:val="20"/>
        </w:rPr>
        <w:t xml:space="preserve"> </w:t>
      </w:r>
      <w:r w:rsidRPr="00E41D61">
        <w:rPr>
          <w:b/>
          <w:szCs w:val="20"/>
        </w:rPr>
        <w:t>Len v tejto oblasti bola zaznamenaná skutočná úspora v roku 2022, ktorá prekročila plánovanú úsporu a predstavovala 4</w:t>
      </w:r>
      <w:r w:rsidR="00BC6156">
        <w:rPr>
          <w:b/>
          <w:szCs w:val="20"/>
        </w:rPr>
        <w:t xml:space="preserve"> mil.</w:t>
      </w:r>
      <w:r w:rsidRPr="00E41D61">
        <w:rPr>
          <w:b/>
          <w:szCs w:val="20"/>
        </w:rPr>
        <w:t xml:space="preserve"> eur</w:t>
      </w:r>
      <w:r w:rsidRPr="002E1665">
        <w:rPr>
          <w:szCs w:val="20"/>
        </w:rPr>
        <w:t>. Podľa informácií ZP úspora bola vypočítaná na základe vstupu generických a </w:t>
      </w:r>
      <w:proofErr w:type="spellStart"/>
      <w:r w:rsidRPr="002E1665">
        <w:rPr>
          <w:szCs w:val="20"/>
        </w:rPr>
        <w:t>biosimilárnych</w:t>
      </w:r>
      <w:proofErr w:type="spellEnd"/>
      <w:r w:rsidRPr="002E1665">
        <w:rPr>
          <w:szCs w:val="20"/>
        </w:rPr>
        <w:t xml:space="preserve"> liekov do kategorizačného zoznamu </w:t>
      </w:r>
      <w:r w:rsidR="00BC6156">
        <w:rPr>
          <w:szCs w:val="20"/>
        </w:rPr>
        <w:t>počas</w:t>
      </w:r>
      <w:r w:rsidRPr="002E1665">
        <w:rPr>
          <w:szCs w:val="20"/>
        </w:rPr>
        <w:t xml:space="preserve"> roka 2022</w:t>
      </w:r>
      <w:r w:rsidR="00BC6156">
        <w:rPr>
          <w:szCs w:val="20"/>
        </w:rPr>
        <w:t>, n</w:t>
      </w:r>
      <w:r w:rsidRPr="002E1665">
        <w:rPr>
          <w:szCs w:val="20"/>
        </w:rPr>
        <w:t>ebola však dôsledkom legislatívnej úpravy</w:t>
      </w:r>
      <w:r>
        <w:rPr>
          <w:szCs w:val="20"/>
        </w:rPr>
        <w:t>.</w:t>
      </w:r>
    </w:p>
    <w:p w14:paraId="5A74C366" w14:textId="451D1C83" w:rsidR="00757189" w:rsidRPr="00F93298" w:rsidRDefault="00757189" w:rsidP="00757189">
      <w:pPr>
        <w:spacing w:before="120"/>
        <w:ind w:right="163"/>
        <w:rPr>
          <w:szCs w:val="20"/>
        </w:rPr>
      </w:pPr>
      <w:r w:rsidRPr="00E41D61">
        <w:rPr>
          <w:b/>
          <w:szCs w:val="20"/>
        </w:rPr>
        <w:t xml:space="preserve">NKÚ SR konštatuje, že z hodnotených plánovaných úspor výdavkov </w:t>
      </w:r>
      <w:r w:rsidR="00E41D61" w:rsidRPr="00E41D61">
        <w:rPr>
          <w:b/>
          <w:szCs w:val="20"/>
        </w:rPr>
        <w:t>VZP</w:t>
      </w:r>
      <w:r w:rsidRPr="00E41D61">
        <w:rPr>
          <w:b/>
          <w:szCs w:val="20"/>
        </w:rPr>
        <w:t xml:space="preserve"> vo vybraných oblastiach liekovej politiky vo výške 92 mil. eur v roku 2022 sa usporili 4 mil. eur.</w:t>
      </w:r>
      <w:r>
        <w:rPr>
          <w:szCs w:val="20"/>
        </w:rPr>
        <w:t xml:space="preserve"> </w:t>
      </w:r>
      <w:r w:rsidRPr="002E1665">
        <w:rPr>
          <w:szCs w:val="20"/>
        </w:rPr>
        <w:t xml:space="preserve">Vzhľadom na to, že úspory sú súčasťou prognózovania výdavkov, </w:t>
      </w:r>
      <w:r w:rsidRPr="00E41D61">
        <w:rPr>
          <w:szCs w:val="20"/>
        </w:rPr>
        <w:t xml:space="preserve">MZ SR </w:t>
      </w:r>
      <w:r w:rsidR="00BC6156">
        <w:rPr>
          <w:szCs w:val="20"/>
        </w:rPr>
        <w:t xml:space="preserve">sa </w:t>
      </w:r>
      <w:r w:rsidRPr="00E41D61">
        <w:rPr>
          <w:szCs w:val="20"/>
        </w:rPr>
        <w:t>priamo podieľalo na nedofinancovaní zdravotníctva.</w:t>
      </w:r>
      <w:r>
        <w:rPr>
          <w:b/>
          <w:szCs w:val="20"/>
        </w:rPr>
        <w:t xml:space="preserve"> </w:t>
      </w:r>
      <w:r>
        <w:rPr>
          <w:szCs w:val="20"/>
        </w:rPr>
        <w:t>Z nedofinancovania následne pramení zadlžovanie zdravotníckych zariadení.</w:t>
      </w:r>
    </w:p>
    <w:p w14:paraId="4C791937" w14:textId="40427F52" w:rsidR="00757189" w:rsidRDefault="002C027A" w:rsidP="002C027A">
      <w:pPr>
        <w:pStyle w:val="Nadpis3"/>
      </w:pPr>
      <w:bookmarkStart w:id="29" w:name="_Toc135130800"/>
      <w:bookmarkStart w:id="30" w:name="_Toc136418403"/>
      <w:r>
        <w:t xml:space="preserve">4.1.4 </w:t>
      </w:r>
      <w:r w:rsidR="00757189" w:rsidRPr="00B547DD">
        <w:t>Zadlženosť</w:t>
      </w:r>
      <w:r w:rsidR="00757189">
        <w:t xml:space="preserve"> zdravotníckych zariadení</w:t>
      </w:r>
      <w:bookmarkEnd w:id="29"/>
      <w:bookmarkEnd w:id="30"/>
    </w:p>
    <w:p w14:paraId="2FB513CB" w14:textId="1E9F0EAB" w:rsidR="00AE34FD" w:rsidRDefault="00AE34FD" w:rsidP="00AE34FD">
      <w:r w:rsidRPr="00193236">
        <w:rPr>
          <w:b/>
          <w:szCs w:val="20"/>
        </w:rPr>
        <w:t xml:space="preserve">Na </w:t>
      </w:r>
      <w:r w:rsidR="001C6B11">
        <w:rPr>
          <w:b/>
          <w:szCs w:val="20"/>
        </w:rPr>
        <w:t>nízku</w:t>
      </w:r>
      <w:r w:rsidR="00193236" w:rsidRPr="00193236">
        <w:rPr>
          <w:b/>
          <w:szCs w:val="20"/>
        </w:rPr>
        <w:t xml:space="preserve"> </w:t>
      </w:r>
      <w:r w:rsidRPr="00193236">
        <w:rPr>
          <w:b/>
          <w:szCs w:val="20"/>
        </w:rPr>
        <w:t xml:space="preserve">úroveň financovania zdravotnej starostlivosti v SR poukazuje </w:t>
      </w:r>
      <w:r w:rsidR="00193236" w:rsidRPr="00193236">
        <w:rPr>
          <w:b/>
          <w:szCs w:val="20"/>
        </w:rPr>
        <w:t>aj medzinárodné porovnanie</w:t>
      </w:r>
      <w:r w:rsidR="00193236">
        <w:rPr>
          <w:szCs w:val="20"/>
        </w:rPr>
        <w:t xml:space="preserve"> </w:t>
      </w:r>
      <w:r w:rsidR="00193236" w:rsidRPr="00193236">
        <w:rPr>
          <w:b/>
          <w:szCs w:val="20"/>
        </w:rPr>
        <w:t>v rámci EÚ27</w:t>
      </w:r>
      <w:r w:rsidR="00193236">
        <w:rPr>
          <w:szCs w:val="20"/>
        </w:rPr>
        <w:t xml:space="preserve"> (gr</w:t>
      </w:r>
      <w:r w:rsidRPr="00AE34FD">
        <w:rPr>
          <w:szCs w:val="20"/>
        </w:rPr>
        <w:t>af 1</w:t>
      </w:r>
      <w:r w:rsidR="00153B7B">
        <w:rPr>
          <w:szCs w:val="20"/>
        </w:rPr>
        <w:t>7</w:t>
      </w:r>
      <w:r w:rsidRPr="00AE34FD">
        <w:rPr>
          <w:szCs w:val="20"/>
        </w:rPr>
        <w:t xml:space="preserve">). </w:t>
      </w:r>
      <w:r w:rsidR="002C027A" w:rsidRPr="002C027A">
        <w:rPr>
          <w:szCs w:val="20"/>
        </w:rPr>
        <w:t>V porovnaní s ostatnými krajinami V4 a priemerom EÚ27</w:t>
      </w:r>
      <w:r w:rsidR="00BA45B8">
        <w:rPr>
          <w:szCs w:val="20"/>
        </w:rPr>
        <w:t>,</w:t>
      </w:r>
      <w:r w:rsidR="002C027A" w:rsidRPr="002C027A">
        <w:rPr>
          <w:szCs w:val="20"/>
        </w:rPr>
        <w:t xml:space="preserve"> S</w:t>
      </w:r>
      <w:r w:rsidR="005C7792">
        <w:rPr>
          <w:szCs w:val="20"/>
        </w:rPr>
        <w:t>R</w:t>
      </w:r>
      <w:r w:rsidR="002C027A" w:rsidRPr="002C027A">
        <w:rPr>
          <w:szCs w:val="20"/>
        </w:rPr>
        <w:t xml:space="preserve"> ako jedin</w:t>
      </w:r>
      <w:r w:rsidR="005C7792">
        <w:rPr>
          <w:szCs w:val="20"/>
        </w:rPr>
        <w:t>á krajina</w:t>
      </w:r>
      <w:r w:rsidR="002C027A" w:rsidRPr="002C027A">
        <w:rPr>
          <w:szCs w:val="20"/>
        </w:rPr>
        <w:t xml:space="preserve"> v rokoch 2012 až 2020 zaznamenal</w:t>
      </w:r>
      <w:r w:rsidR="005C7792">
        <w:rPr>
          <w:szCs w:val="20"/>
        </w:rPr>
        <w:t>a</w:t>
      </w:r>
      <w:r w:rsidR="002C027A" w:rsidRPr="002C027A">
        <w:rPr>
          <w:szCs w:val="20"/>
        </w:rPr>
        <w:t xml:space="preserve"> stagnujúci trend vývoja verejných zdrojov (rozpočet a VZP) na zdravotnú starostlivosť v štandarde kúpnej sily na obyvateľa</w:t>
      </w:r>
      <w:r w:rsidR="002C027A">
        <w:rPr>
          <w:szCs w:val="20"/>
        </w:rPr>
        <w:t xml:space="preserve">. </w:t>
      </w:r>
      <w:r w:rsidR="00193236">
        <w:rPr>
          <w:szCs w:val="20"/>
        </w:rPr>
        <w:t>Nízke financovanie spolu s neplnení</w:t>
      </w:r>
      <w:r w:rsidRPr="00AE34FD">
        <w:rPr>
          <w:szCs w:val="20"/>
        </w:rPr>
        <w:t xml:space="preserve">m úsporných opatrení, meškaním systémových opatrení a nehospodárnosťou, sa premieta do permanentného zadlžovania </w:t>
      </w:r>
      <w:r w:rsidR="005C7792">
        <w:rPr>
          <w:szCs w:val="20"/>
        </w:rPr>
        <w:t>ZZ</w:t>
      </w:r>
      <w:r w:rsidRPr="00AE34FD">
        <w:rPr>
          <w:szCs w:val="20"/>
        </w:rPr>
        <w:t xml:space="preserve">. </w:t>
      </w:r>
      <w:r w:rsidR="00193236">
        <w:rPr>
          <w:szCs w:val="20"/>
        </w:rPr>
        <w:t>Výsledkom sú o</w:t>
      </w:r>
      <w:r w:rsidRPr="00AE34FD">
        <w:rPr>
          <w:szCs w:val="20"/>
        </w:rPr>
        <w:t>neskoren</w:t>
      </w:r>
      <w:r w:rsidR="00193236">
        <w:rPr>
          <w:szCs w:val="20"/>
        </w:rPr>
        <w:t>é úhrady faktúr</w:t>
      </w:r>
      <w:r w:rsidRPr="00AE34FD">
        <w:rPr>
          <w:szCs w:val="20"/>
        </w:rPr>
        <w:t xml:space="preserve"> ZZ ich dodávateľom, čo E</w:t>
      </w:r>
      <w:r w:rsidR="00193236">
        <w:rPr>
          <w:szCs w:val="20"/>
        </w:rPr>
        <w:t>K</w:t>
      </w:r>
      <w:r w:rsidRPr="00AE34FD">
        <w:rPr>
          <w:szCs w:val="20"/>
        </w:rPr>
        <w:t xml:space="preserve"> kvalifikuje ako nesprávne uplatňovanie pravidiel smernice o oneskorených platbách. Na základe toho rozhodla v apríli 2023 </w:t>
      </w:r>
      <w:r w:rsidRPr="00AE34FD">
        <w:t>o predložení prípadu Slovenska Súdnemu dvoru EÚ.</w:t>
      </w:r>
      <w:r w:rsidRPr="00AE34FD">
        <w:rPr>
          <w:rStyle w:val="Odkaznapoznmkupodiarou"/>
        </w:rPr>
        <w:footnoteReference w:id="32"/>
      </w:r>
    </w:p>
    <w:p w14:paraId="05A40AE3" w14:textId="77777777" w:rsidR="00064BF9" w:rsidRDefault="00064BF9" w:rsidP="00064BF9">
      <w:pPr>
        <w:spacing w:after="0"/>
        <w:rPr>
          <w:b/>
          <w:color w:val="314364" w:themeColor="text2"/>
          <w:szCs w:val="20"/>
        </w:rPr>
      </w:pPr>
      <w:r>
        <w:rPr>
          <w:b/>
          <w:color w:val="314364" w:themeColor="text2"/>
          <w:szCs w:val="20"/>
        </w:rPr>
        <w:lastRenderedPageBreak/>
        <w:t>Graf 17</w:t>
      </w:r>
      <w:r w:rsidRPr="00970578">
        <w:rPr>
          <w:b/>
          <w:color w:val="314364" w:themeColor="text2"/>
          <w:szCs w:val="20"/>
        </w:rPr>
        <w:t xml:space="preserve">: </w:t>
      </w:r>
      <w:r>
        <w:rPr>
          <w:b/>
          <w:color w:val="314364" w:themeColor="text2"/>
          <w:szCs w:val="20"/>
        </w:rPr>
        <w:t>Verejné zdroje na zdravotnú starostlivosť v štandarde kúpnej sily (PPS)* na obyvateľa</w:t>
      </w:r>
    </w:p>
    <w:tbl>
      <w:tblPr>
        <w:tblStyle w:val="Mriekatabuky"/>
        <w:tblW w:w="0" w:type="auto"/>
        <w:tblLook w:val="04A0" w:firstRow="1" w:lastRow="0" w:firstColumn="1" w:lastColumn="0" w:noHBand="0" w:noVBand="1"/>
      </w:tblPr>
      <w:tblGrid>
        <w:gridCol w:w="9070"/>
      </w:tblGrid>
      <w:tr w:rsidR="00064BF9" w14:paraId="6AA39729" w14:textId="77777777" w:rsidTr="00DD5D9D">
        <w:trPr>
          <w:trHeight w:val="2835"/>
        </w:trPr>
        <w:tc>
          <w:tcPr>
            <w:tcW w:w="9060" w:type="dxa"/>
            <w:tcBorders>
              <w:top w:val="single" w:sz="4" w:space="0" w:color="314364" w:themeColor="text2"/>
              <w:left w:val="nil"/>
              <w:bottom w:val="single" w:sz="4" w:space="0" w:color="314364" w:themeColor="text2"/>
              <w:right w:val="nil"/>
            </w:tcBorders>
          </w:tcPr>
          <w:p w14:paraId="01426183" w14:textId="77777777" w:rsidR="00064BF9" w:rsidRDefault="00064BF9" w:rsidP="00DD5D9D">
            <w:pPr>
              <w:spacing w:after="0"/>
              <w:rPr>
                <w:b/>
                <w:color w:val="314364" w:themeColor="text2"/>
                <w:szCs w:val="20"/>
              </w:rPr>
            </w:pPr>
            <w:r>
              <w:rPr>
                <w:noProof/>
                <w:lang w:eastAsia="sk-SK"/>
              </w:rPr>
              <w:drawing>
                <wp:inline distT="0" distB="0" distL="0" distR="0" wp14:anchorId="6D7BF540" wp14:editId="45E4330D">
                  <wp:extent cx="5638800" cy="2257425"/>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20EADF0F" w14:textId="77777777" w:rsidR="00064BF9" w:rsidRPr="00F51BFA" w:rsidRDefault="00064BF9" w:rsidP="00064BF9">
      <w:pPr>
        <w:pStyle w:val="Zdroj"/>
        <w:rPr>
          <w:rFonts w:cs="Segoe UI"/>
        </w:rPr>
      </w:pPr>
      <w:r w:rsidRPr="00F51BFA">
        <w:t xml:space="preserve">Zdroj: </w:t>
      </w:r>
      <w:r>
        <w:t xml:space="preserve">Eurostat, *Štandard kúpnej sily (PPS – </w:t>
      </w:r>
      <w:proofErr w:type="spellStart"/>
      <w:r>
        <w:t>purchasing</w:t>
      </w:r>
      <w:proofErr w:type="spellEnd"/>
      <w:r>
        <w:t xml:space="preserve"> </w:t>
      </w:r>
      <w:proofErr w:type="spellStart"/>
      <w:r>
        <w:t>power</w:t>
      </w:r>
      <w:proofErr w:type="spellEnd"/>
      <w:r>
        <w:t xml:space="preserve"> </w:t>
      </w:r>
      <w:proofErr w:type="spellStart"/>
      <w:r>
        <w:t>standard</w:t>
      </w:r>
      <w:proofErr w:type="spellEnd"/>
      <w:r>
        <w:t>) – umelo vytvorená spoločná mena, ktorá umožňuje objektívnejšie porovnávať krajiny s rozdielnou kúpnou silou v závislosti od ich cenovej úrovne.</w:t>
      </w:r>
    </w:p>
    <w:p w14:paraId="72F69FE0" w14:textId="77777777" w:rsidR="00E41D61" w:rsidRDefault="00E41D61" w:rsidP="00E41D61">
      <w:pPr>
        <w:rPr>
          <w:b/>
          <w:szCs w:val="20"/>
        </w:rPr>
      </w:pPr>
      <w:r w:rsidRPr="005C7792">
        <w:rPr>
          <w:b/>
          <w:szCs w:val="20"/>
        </w:rPr>
        <w:t>NKÚ SR opakovane upozorňoval na faktory, ktoré vedú k zadlžovaniu ZZ. V súčasnej situácii navrhuje predovšetkým</w:t>
      </w:r>
      <w:r>
        <w:rPr>
          <w:szCs w:val="20"/>
        </w:rPr>
        <w:t xml:space="preserve"> </w:t>
      </w:r>
      <w:r w:rsidRPr="002C5CE9">
        <w:rPr>
          <w:b/>
          <w:szCs w:val="20"/>
        </w:rPr>
        <w:t>zladiť dofinancovanie zdravotnej starostlivosti s nábehom ade</w:t>
      </w:r>
      <w:r>
        <w:rPr>
          <w:b/>
          <w:szCs w:val="20"/>
        </w:rPr>
        <w:t>kvátne nastaveného DRG systému.</w:t>
      </w:r>
    </w:p>
    <w:p w14:paraId="51D98A93" w14:textId="560BB58B" w:rsidR="00757189" w:rsidRDefault="00757189" w:rsidP="00757189">
      <w:r w:rsidRPr="005C7792">
        <w:rPr>
          <w:b/>
        </w:rPr>
        <w:t>Vývoj dlhu v rezorte zdravotníctva</w:t>
      </w:r>
      <w:r w:rsidRPr="005C7792">
        <w:rPr>
          <w:rStyle w:val="Odkaznapoznmkupodiarou"/>
          <w:rFonts w:cs="Segoe UI"/>
          <w:b/>
        </w:rPr>
        <w:footnoteReference w:id="33"/>
      </w:r>
      <w:r w:rsidRPr="005C7792">
        <w:rPr>
          <w:b/>
        </w:rPr>
        <w:t xml:space="preserve"> meraný celkovými záväzkami na úrovni istiny dosiahol ku koncu roka 2022 výšku 1,9 mld. eur a medziročne sa zvýšil o 139,5 mil. eur</w:t>
      </w:r>
      <w:r>
        <w:t xml:space="preserve"> (o 7,9 %). </w:t>
      </w:r>
      <w:r w:rsidRPr="00B025DA">
        <w:t xml:space="preserve">O finančnom zdraví </w:t>
      </w:r>
      <w:r w:rsidR="001E7CCF">
        <w:t>ZZ</w:t>
      </w:r>
      <w:r w:rsidRPr="00B025DA">
        <w:t xml:space="preserve"> vypovedajú predovšetkým </w:t>
      </w:r>
      <w:r w:rsidRPr="005C7792">
        <w:t>záväzky po lehote splatnosti</w:t>
      </w:r>
      <w:r w:rsidRPr="00B025DA">
        <w:t>, ktoré</w:t>
      </w:r>
      <w:r>
        <w:t xml:space="preserve"> k 31. 12. 2022 dosiahli na úrovni istiny 812,4 mil. eur a </w:t>
      </w:r>
      <w:r w:rsidRPr="00B025DA">
        <w:t>medziročne</w:t>
      </w:r>
      <w:r>
        <w:t xml:space="preserve"> sa zvýšili o 10,8 </w:t>
      </w:r>
      <w:r w:rsidRPr="00B025DA">
        <w:t>mil. eur</w:t>
      </w:r>
      <w:r>
        <w:t xml:space="preserve"> (o 1,4 %). Rozhodujúci podiel (89 %) na záväzkoch po lehote splatnosti v rezorte zdravotníctva predstavovali ku koncu roka 2022 záväzky v </w:t>
      </w:r>
      <w:r w:rsidR="00BA45B8">
        <w:t> </w:t>
      </w:r>
      <w:r>
        <w:t>príspevkových organizáciách v pôsobnosti MZ SR a v rámci nich vo fakultných a uni</w:t>
      </w:r>
      <w:r w:rsidR="005112C2">
        <w:t>verzitných nemocniciach (85 %).</w:t>
      </w:r>
    </w:p>
    <w:p w14:paraId="50FC9D0F" w14:textId="77777777" w:rsidR="00064BF9" w:rsidRDefault="00064BF9" w:rsidP="00064BF9">
      <w:pPr>
        <w:pStyle w:val="Popis"/>
        <w:keepNext/>
        <w:rPr>
          <w:color w:val="314364"/>
        </w:rPr>
      </w:pPr>
      <w:r w:rsidRPr="00C60492">
        <w:rPr>
          <w:color w:val="314364"/>
        </w:rPr>
        <w:t xml:space="preserve">Graf </w:t>
      </w:r>
      <w:r>
        <w:rPr>
          <w:color w:val="314364"/>
        </w:rPr>
        <w:t xml:space="preserve">18: </w:t>
      </w:r>
      <w:r w:rsidRPr="00F13426">
        <w:rPr>
          <w:color w:val="314364"/>
        </w:rPr>
        <w:t>Vývoj</w:t>
      </w:r>
      <w:r>
        <w:rPr>
          <w:color w:val="314364"/>
        </w:rPr>
        <w:t xml:space="preserve"> štruktúry záväzkov vo fakultných a univerzitných nemocniciach (v mil. eur)</w:t>
      </w:r>
    </w:p>
    <w:tbl>
      <w:tblPr>
        <w:tblStyle w:val="Mriekatabuky"/>
        <w:tblW w:w="9361" w:type="dxa"/>
        <w:tblLook w:val="04A0" w:firstRow="1" w:lastRow="0" w:firstColumn="1" w:lastColumn="0" w:noHBand="0" w:noVBand="1"/>
      </w:tblPr>
      <w:tblGrid>
        <w:gridCol w:w="9361"/>
      </w:tblGrid>
      <w:tr w:rsidR="00064BF9" w14:paraId="6902A61A" w14:textId="77777777" w:rsidTr="00DD5D9D">
        <w:trPr>
          <w:trHeight w:val="2855"/>
        </w:trPr>
        <w:tc>
          <w:tcPr>
            <w:tcW w:w="9361" w:type="dxa"/>
            <w:tcBorders>
              <w:top w:val="single" w:sz="4" w:space="0" w:color="314364" w:themeColor="text2"/>
              <w:left w:val="nil"/>
              <w:bottom w:val="single" w:sz="4" w:space="0" w:color="314364" w:themeColor="text2"/>
              <w:right w:val="nil"/>
            </w:tcBorders>
          </w:tcPr>
          <w:p w14:paraId="062232C7" w14:textId="77777777" w:rsidR="00064BF9" w:rsidRDefault="00064BF9" w:rsidP="00DD5D9D">
            <w:pPr>
              <w:spacing w:after="0"/>
            </w:pPr>
            <w:r>
              <w:rPr>
                <w:noProof/>
                <w:lang w:eastAsia="sk-SK"/>
              </w:rPr>
              <w:drawing>
                <wp:inline distT="0" distB="0" distL="0" distR="0" wp14:anchorId="3034A3A8" wp14:editId="6E77284A">
                  <wp:extent cx="5759450" cy="1914525"/>
                  <wp:effectExtent l="0" t="0" r="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25AB1AEC" w14:textId="27C12D94" w:rsidR="00064BF9" w:rsidRDefault="00064BF9" w:rsidP="00064BF9">
      <w:pPr>
        <w:pStyle w:val="Zdroj"/>
      </w:pPr>
      <w:r w:rsidRPr="00584519">
        <w:t>Zdroj</w:t>
      </w:r>
      <w:r w:rsidRPr="00627D87">
        <w:t xml:space="preserve">: </w:t>
      </w:r>
      <w:r>
        <w:t>MZ SR.</w:t>
      </w:r>
    </w:p>
    <w:p w14:paraId="21A6141A" w14:textId="4013A89A" w:rsidR="00757189" w:rsidRDefault="00757189" w:rsidP="00757189">
      <w:r w:rsidRPr="005C7792">
        <w:t>V pôsobnosti MZ SR je 13 fakultných a univerzitných nemocníc</w:t>
      </w:r>
      <w:r w:rsidRPr="00995B3A">
        <w:t xml:space="preserve">, ktoré uskutočňujú najväčší rozsah finančne náročných výkonov poskytovania </w:t>
      </w:r>
      <w:r>
        <w:t>ZS</w:t>
      </w:r>
      <w:r w:rsidRPr="00995B3A">
        <w:t xml:space="preserve">.  Podľa </w:t>
      </w:r>
      <w:r>
        <w:t>údajov MZ SR k 31. 12. 2022</w:t>
      </w:r>
      <w:r w:rsidRPr="00995B3A">
        <w:t xml:space="preserve"> v týchto nemocniciach celkové zá</w:t>
      </w:r>
      <w:r>
        <w:t xml:space="preserve">väzky dosiahli 1 007,9 mil. eur </w:t>
      </w:r>
      <w:r w:rsidRPr="00433B40">
        <w:t>(graf</w:t>
      </w:r>
      <w:r w:rsidR="003F3882" w:rsidRPr="00433B40">
        <w:t xml:space="preserve"> 1</w:t>
      </w:r>
      <w:r w:rsidR="00153B7B">
        <w:t>8</w:t>
      </w:r>
      <w:r w:rsidRPr="001F46F8">
        <w:t>)</w:t>
      </w:r>
      <w:r>
        <w:t xml:space="preserve"> a medziročne sa zvýšili o 7,2 mil. eur. Z</w:t>
      </w:r>
      <w:r w:rsidRPr="00995B3A">
        <w:t>áv</w:t>
      </w:r>
      <w:r>
        <w:t xml:space="preserve">äzky po lehote splatnosti k uvedenému dátumu dosiahli stav 690,3 </w:t>
      </w:r>
      <w:r w:rsidRPr="00995B3A">
        <w:t>mil.</w:t>
      </w:r>
      <w:r>
        <w:t xml:space="preserve"> eur a medziročne poklesli o 4,3</w:t>
      </w:r>
      <w:r w:rsidRPr="00995B3A">
        <w:t xml:space="preserve"> mil. eur.</w:t>
      </w:r>
      <w:r>
        <w:t xml:space="preserve"> Pokles bol ovplyvnený oddlžením nemocníc </w:t>
      </w:r>
      <w:r w:rsidR="00F36FC3">
        <w:t>v roku 2022 v celkovej výške 317 mil. eur</w:t>
      </w:r>
      <w:r>
        <w:t>.</w:t>
      </w:r>
      <w:r>
        <w:rPr>
          <w:rStyle w:val="Odkaznapoznmkupodiarou"/>
        </w:rPr>
        <w:footnoteReference w:id="34"/>
      </w:r>
      <w:r>
        <w:t xml:space="preserve"> Výsledkom v roku 2022 </w:t>
      </w:r>
      <w:r>
        <w:lastRenderedPageBreak/>
        <w:t xml:space="preserve">bolo zaplatených 73 218 faktúr </w:t>
      </w:r>
      <w:r w:rsidR="00F36FC3">
        <w:t xml:space="preserve">prostredníctvom zdrojov </w:t>
      </w:r>
      <w:r>
        <w:t xml:space="preserve">zo </w:t>
      </w:r>
      <w:r w:rsidR="001E7CCF">
        <w:t>ŠFA</w:t>
      </w:r>
      <w:r>
        <w:t xml:space="preserve"> v hodnote 118,2 mil. eur</w:t>
      </w:r>
      <w:r w:rsidR="00F36FC3">
        <w:t xml:space="preserve"> a postúpenie pohľadávok SP vykryté zo ŠFA vo výške 199 mil. eur (popísané v kapitole 3)</w:t>
      </w:r>
      <w:r>
        <w:t>. Podľa MZ SR celkovo boli v systéme EAS (Elektronický aukčný systém MZ SR) záväzky vo výške 321 mil. eur, pričom v objeme 62 mil. eur boli vylúčené z dôvodu zaplatenia alebo iného dôvodu a v sume 141 mil. eur neboli akceptované podmienky oddlžovania veriteľmi.</w:t>
      </w:r>
    </w:p>
    <w:p w14:paraId="640B4044" w14:textId="1CFC5F04" w:rsidR="005112C2" w:rsidRDefault="005112C2" w:rsidP="005112C2">
      <w:r w:rsidRPr="00062025">
        <w:rPr>
          <w:szCs w:val="20"/>
        </w:rPr>
        <w:t xml:space="preserve">Za hlavné dôvody neustáleho rastu zadlženosti ZZ </w:t>
      </w:r>
      <w:r w:rsidR="00BA45B8">
        <w:rPr>
          <w:szCs w:val="20"/>
        </w:rPr>
        <w:t xml:space="preserve">považuje </w:t>
      </w:r>
      <w:r w:rsidRPr="00062025">
        <w:rPr>
          <w:szCs w:val="20"/>
        </w:rPr>
        <w:t xml:space="preserve">MZ SR pokračujúce generovanie prevádzkových strát v nemocniciach. Prevádzkové </w:t>
      </w:r>
      <w:r>
        <w:t>náklady nemocníc nie sú v dostatočnej miere pokryté výnosmi od ZP. V roku 2022 výnosy od ZP opäť nepokryli ani osobné náklady a náklady na lieky a zdravotnícky materiál. Ďalšie riziko do budúcnosti predstavuje zvyšovanie nákladov na energie a ostatných cien v dôsledku inflácie.</w:t>
      </w:r>
    </w:p>
    <w:p w14:paraId="5F001F22" w14:textId="77777777" w:rsidR="00757189" w:rsidRPr="00BB4989" w:rsidRDefault="00757189" w:rsidP="00757189">
      <w:pPr>
        <w:rPr>
          <w:color w:val="314364" w:themeColor="text2"/>
          <w:szCs w:val="20"/>
        </w:rPr>
      </w:pPr>
      <w:r>
        <w:t xml:space="preserve">Postupná eliminácia zadlžovania nemocníc je možná za predpokladu racionalizácie nákladov a dofinancovania na strane výnosov. V tejto súvislosti </w:t>
      </w:r>
      <w:r w:rsidRPr="00E46EB0">
        <w:t xml:space="preserve">je NKÚ SR po skúsenosti so zrušením útvaru pre riadenie podriadených organizácií na MZ SR skeptický k pripravovanému zriadeniu ústredného orgánu pre správu najväčších nemocníc. Tento orgán by </w:t>
      </w:r>
      <w:r>
        <w:t>mal riadiť, usmerňovať a hodnotiť plánovanie a výkonnosť nemocníc, ako aj predkladať odporúčania na optimalizáciu výdavkov a inventúr liekov a zdravotníckych pomôcok</w:t>
      </w:r>
      <w:r>
        <w:rPr>
          <w:rStyle w:val="Odkaznapoznmkupodiarou"/>
        </w:rPr>
        <w:footnoteReference w:id="35"/>
      </w:r>
      <w:r>
        <w:t>.</w:t>
      </w:r>
    </w:p>
    <w:p w14:paraId="22B73C76" w14:textId="3A3A6CAC" w:rsidR="00757189" w:rsidRPr="00F93298" w:rsidRDefault="00757189" w:rsidP="00757189">
      <w:pPr>
        <w:spacing w:before="120"/>
        <w:ind w:right="163"/>
        <w:rPr>
          <w:szCs w:val="20"/>
        </w:rPr>
      </w:pPr>
      <w:r w:rsidRPr="00F36FC3">
        <w:rPr>
          <w:rFonts w:cs="Segoe UI"/>
          <w:b/>
          <w:szCs w:val="20"/>
        </w:rPr>
        <w:t>NKÚ SR opakovane upozorňuje, že nenastal výraznejší pokrok v systémových opatreniach.</w:t>
      </w:r>
      <w:r w:rsidRPr="00F36FC3">
        <w:rPr>
          <w:rFonts w:cs="Segoe UI"/>
          <w:szCs w:val="20"/>
        </w:rPr>
        <w:t xml:space="preserve"> </w:t>
      </w:r>
      <w:r>
        <w:rPr>
          <w:rFonts w:cs="Segoe UI"/>
          <w:szCs w:val="20"/>
        </w:rPr>
        <w:t xml:space="preserve">Predovšetkým dlhodobé zavádzanie úhradového mechanizmu DRG od roku 2011 neprispieva k motivácii nemocníc poskytovať zdravotnú starostlivosť čo najefektívnejšie a tým aj zmierňovať ich zadlžovanie. </w:t>
      </w:r>
      <w:r>
        <w:t>NKÚ SR v roku 2022 vykonal kontrolu i</w:t>
      </w:r>
      <w:r w:rsidRPr="00BE385C">
        <w:t>mplementáci</w:t>
      </w:r>
      <w:r>
        <w:t>e</w:t>
      </w:r>
      <w:r w:rsidRPr="00BE385C">
        <w:t xml:space="preserve"> klasifikačnéh</w:t>
      </w:r>
      <w:r>
        <w:t>o systému DRG v podmienkach SR. Na základe piatich kontrolných zistení navrhol odporúčania pre MZ SR. Podľa návrhu záverečného účtu MZ SR za rok 2022 prijalo MZ SR k odporúčaniam opatrenia, z ktorých dve boli v roku 2022 splnené a tri sa priebežne plnia. Finálnym sa ukazuje plnenie piateho opatrenia, kedy Centrum pre klasifikačný systém (CKS) bude v priebehu roka 2023 pokračovať v spolupráci so všetkými užívateľmi DRG systému na príprave relatívnych váh pre rok 2024 tak, aby ich spoľahlivosť bola akceptovateľná pre použitie v praxi. K tomu bude potrebné skvalitniť vstupné dáta od nemocníc, sfinalizovať metodiky pre určenie a aktualizáciu parametrov SK-DRG ako aj prehodnotiť cieľové základné sadzby, aby zohľadňovali aktuálnu úroveň nemocníc. NKÚ SR upozorňuje na zastarané softvérové vybavenie na údržbu DRG systému a odporúča vyčleniť finančné prostriedky na jeho aktualizáciu, o ktoré už CKS opakovane žiadal. V opačnom prípade rastie riziko nehospodárnosti a chybovosti systému. Ostrá prevádzka DRG systému by mohla byť zavedená od januára 2024. Po nábehu adekvátne nastaveného systému však bude na plnú úhradu zdravotnej starostlivosti zahrnutej do DRG nemocniciam</w:t>
      </w:r>
      <w:r w:rsidR="00BA45B8">
        <w:t>,</w:t>
      </w:r>
      <w:r>
        <w:t xml:space="preserve"> podľa odhadu MZ SR</w:t>
      </w:r>
      <w:r w:rsidR="00BA45B8">
        <w:t>,</w:t>
      </w:r>
      <w:r>
        <w:t xml:space="preserve"> ročne chýbať približne </w:t>
      </w:r>
      <w:r w:rsidR="00486E74" w:rsidRPr="00486E74">
        <w:t>300 mil. eur</w:t>
      </w:r>
      <w:r w:rsidR="00486E74">
        <w:t>.</w:t>
      </w:r>
    </w:p>
    <w:p w14:paraId="47F7425A" w14:textId="5A128916" w:rsidR="000D05F7" w:rsidRDefault="002C027A" w:rsidP="002C027A">
      <w:pPr>
        <w:pStyle w:val="Nadpis2"/>
      </w:pPr>
      <w:bookmarkStart w:id="31" w:name="_Toc136418404"/>
      <w:r>
        <w:t xml:space="preserve">4.2 </w:t>
      </w:r>
      <w:r w:rsidR="00B67559">
        <w:t>Vzdelávanie</w:t>
      </w:r>
      <w:r w:rsidR="00E274E0">
        <w:t>, ved</w:t>
      </w:r>
      <w:r w:rsidR="00B67559">
        <w:t>a a</w:t>
      </w:r>
      <w:r w:rsidR="00E274E0">
        <w:t xml:space="preserve"> výskum</w:t>
      </w:r>
      <w:bookmarkEnd w:id="31"/>
    </w:p>
    <w:p w14:paraId="5966BF6F" w14:textId="30652554" w:rsidR="000C49A6" w:rsidRDefault="0009532E" w:rsidP="000C49A6">
      <w:pPr>
        <w:rPr>
          <w:rFonts w:cs="Segoe UI"/>
        </w:rPr>
      </w:pPr>
      <w:r>
        <w:rPr>
          <w:rFonts w:cs="Segoe UI"/>
          <w:b/>
        </w:rPr>
        <w:t>Pôvodný r</w:t>
      </w:r>
      <w:r w:rsidR="00940AF4" w:rsidRPr="00903A43">
        <w:rPr>
          <w:rFonts w:cs="Segoe UI"/>
          <w:b/>
        </w:rPr>
        <w:t xml:space="preserve">ozpočet kapitoly </w:t>
      </w:r>
      <w:r w:rsidR="00846EB5">
        <w:rPr>
          <w:rFonts w:cs="Segoe UI"/>
          <w:b/>
        </w:rPr>
        <w:t xml:space="preserve">ministerstva školstva bol </w:t>
      </w:r>
      <w:r>
        <w:rPr>
          <w:rFonts w:cs="Segoe UI"/>
          <w:b/>
        </w:rPr>
        <w:t>v roku 2022</w:t>
      </w:r>
      <w:r w:rsidR="00940AF4" w:rsidRPr="00903A43">
        <w:rPr>
          <w:rFonts w:cs="Segoe UI"/>
          <w:b/>
        </w:rPr>
        <w:t xml:space="preserve"> </w:t>
      </w:r>
      <w:r>
        <w:rPr>
          <w:rFonts w:cs="Segoe UI"/>
          <w:b/>
        </w:rPr>
        <w:t xml:space="preserve">znížený </w:t>
      </w:r>
      <w:r w:rsidR="00443229">
        <w:rPr>
          <w:rFonts w:cs="Segoe UI"/>
          <w:b/>
        </w:rPr>
        <w:t>prostredníctvo</w:t>
      </w:r>
      <w:r>
        <w:rPr>
          <w:rFonts w:cs="Segoe UI"/>
          <w:b/>
        </w:rPr>
        <w:t>m</w:t>
      </w:r>
      <w:r w:rsidR="00443229">
        <w:rPr>
          <w:rFonts w:cs="Segoe UI"/>
          <w:b/>
        </w:rPr>
        <w:t xml:space="preserve"> RO</w:t>
      </w:r>
      <w:r w:rsidR="00940AF4" w:rsidRPr="00903A43">
        <w:rPr>
          <w:rFonts w:cs="Segoe UI"/>
          <w:b/>
        </w:rPr>
        <w:t xml:space="preserve"> o </w:t>
      </w:r>
      <w:r w:rsidR="00846EB5">
        <w:rPr>
          <w:rFonts w:cs="Segoe UI"/>
          <w:b/>
        </w:rPr>
        <w:t> </w:t>
      </w:r>
      <w:r w:rsidR="00940AF4" w:rsidRPr="00903A43">
        <w:rPr>
          <w:rFonts w:cs="Segoe UI"/>
          <w:b/>
        </w:rPr>
        <w:t>175 mil. eur</w:t>
      </w:r>
      <w:r w:rsidR="00940AF4">
        <w:rPr>
          <w:rFonts w:cs="Segoe UI"/>
          <w:b/>
        </w:rPr>
        <w:t xml:space="preserve"> a</w:t>
      </w:r>
      <w:r w:rsidR="00940AF4" w:rsidRPr="00903A43">
        <w:rPr>
          <w:rFonts w:cs="Segoe UI"/>
          <w:b/>
        </w:rPr>
        <w:t xml:space="preserve"> z upraveného rozpočtu sa </w:t>
      </w:r>
      <w:r w:rsidR="00443229">
        <w:rPr>
          <w:rFonts w:cs="Segoe UI"/>
          <w:b/>
        </w:rPr>
        <w:t xml:space="preserve">nakoniec </w:t>
      </w:r>
      <w:r w:rsidR="00940AF4" w:rsidRPr="00903A43">
        <w:rPr>
          <w:rFonts w:cs="Segoe UI"/>
          <w:b/>
        </w:rPr>
        <w:t>nevyčerpalo 4,3 mil. eur</w:t>
      </w:r>
      <w:r w:rsidR="00940AF4" w:rsidRPr="008F0FE8">
        <w:rPr>
          <w:rFonts w:cs="Segoe UI"/>
        </w:rPr>
        <w:t>.</w:t>
      </w:r>
      <w:r w:rsidR="00A80EA0">
        <w:rPr>
          <w:rFonts w:cs="Segoe UI"/>
        </w:rPr>
        <w:t xml:space="preserve"> </w:t>
      </w:r>
      <w:r w:rsidR="00A80EA0" w:rsidRPr="00A80EA0">
        <w:rPr>
          <w:rFonts w:cs="Segoe UI"/>
        </w:rPr>
        <w:t>Najnižšie čerpanie schváleného rozpočtu identifikujeme v prípade OP Integrovaná infraštruktúra</w:t>
      </w:r>
      <w:r w:rsidR="00A80EA0">
        <w:rPr>
          <w:rFonts w:cs="Segoe UI"/>
        </w:rPr>
        <w:t xml:space="preserve"> </w:t>
      </w:r>
      <w:r w:rsidR="00A80EA0" w:rsidRPr="00AD6C58">
        <w:rPr>
          <w:rFonts w:cs="Segoe UI"/>
        </w:rPr>
        <w:t>(graf</w:t>
      </w:r>
      <w:r w:rsidR="00AD6C58">
        <w:rPr>
          <w:rFonts w:cs="Segoe UI"/>
        </w:rPr>
        <w:t xml:space="preserve"> </w:t>
      </w:r>
      <w:r w:rsidR="005B05EB">
        <w:rPr>
          <w:rFonts w:cs="Segoe UI"/>
        </w:rPr>
        <w:t>19</w:t>
      </w:r>
      <w:r w:rsidR="00A80EA0">
        <w:rPr>
          <w:rFonts w:cs="Segoe UI"/>
        </w:rPr>
        <w:t>)</w:t>
      </w:r>
      <w:r w:rsidR="0063315A">
        <w:rPr>
          <w:rFonts w:cs="Segoe UI"/>
        </w:rPr>
        <w:t>, kde</w:t>
      </w:r>
      <w:r w:rsidR="00A80EA0" w:rsidRPr="00A80EA0">
        <w:rPr>
          <w:rFonts w:cs="Segoe UI"/>
        </w:rPr>
        <w:t xml:space="preserve"> </w:t>
      </w:r>
      <w:r w:rsidR="0063315A">
        <w:rPr>
          <w:rFonts w:cs="Segoe UI"/>
        </w:rPr>
        <w:t>sa z</w:t>
      </w:r>
      <w:r w:rsidR="00A80EA0" w:rsidRPr="00A80EA0">
        <w:rPr>
          <w:rFonts w:cs="Segoe UI"/>
        </w:rPr>
        <w:t xml:space="preserve"> rozpočtovaných 180 mil. eur vyčerpalo 75,7 %. Dôvodom je </w:t>
      </w:r>
      <w:r w:rsidR="00A80EA0" w:rsidRPr="00A80EA0">
        <w:rPr>
          <w:rFonts w:cs="Segoe UI"/>
          <w:b/>
        </w:rPr>
        <w:t>nevyč</w:t>
      </w:r>
      <w:r w:rsidR="005B05EB">
        <w:rPr>
          <w:rFonts w:cs="Segoe UI"/>
          <w:b/>
        </w:rPr>
        <w:t>erpanie 42,5 mil. eur na podporu</w:t>
      </w:r>
      <w:r w:rsidR="00A80EA0" w:rsidRPr="00A80EA0">
        <w:rPr>
          <w:rFonts w:cs="Segoe UI"/>
          <w:b/>
        </w:rPr>
        <w:t xml:space="preserve"> výskumu, vývoja a inovácií</w:t>
      </w:r>
      <w:r w:rsidR="00A80EA0" w:rsidRPr="00A80EA0">
        <w:rPr>
          <w:rFonts w:cs="Segoe UI"/>
        </w:rPr>
        <w:t xml:space="preserve">, ktoré ohrozuje zlepšenie výkonnosti systému výskumu, vývoja a inovácií v prostredí SR či splnenie ďalších špecifických cieľov. Ministerstvo nevyčerpalo všetky rozpočtované prostriedky ani na rozvoj vedy a techniky či výchovu, vzdelávanie a mládež. V prípade NP výchovy, vzdelávania a mládeže je dôvodom </w:t>
      </w:r>
      <w:r w:rsidR="00A80EA0" w:rsidRPr="00A80EA0">
        <w:rPr>
          <w:rFonts w:cs="Segoe UI"/>
          <w:b/>
        </w:rPr>
        <w:t xml:space="preserve">nízke čerpanie na usmerňovanie a transformáciu regionálneho </w:t>
      </w:r>
      <w:r w:rsidR="00A80EA0" w:rsidRPr="00A80EA0">
        <w:rPr>
          <w:rFonts w:cs="Segoe UI"/>
          <w:b/>
        </w:rPr>
        <w:lastRenderedPageBreak/>
        <w:t xml:space="preserve">školstva (9,6 %) a </w:t>
      </w:r>
      <w:proofErr w:type="spellStart"/>
      <w:r w:rsidR="00A80EA0" w:rsidRPr="00A80EA0">
        <w:rPr>
          <w:rFonts w:cs="Segoe UI"/>
          <w:b/>
        </w:rPr>
        <w:t>informatizačné</w:t>
      </w:r>
      <w:proofErr w:type="spellEnd"/>
      <w:r w:rsidR="00A80EA0" w:rsidRPr="00A80EA0">
        <w:rPr>
          <w:rFonts w:cs="Segoe UI"/>
          <w:b/>
        </w:rPr>
        <w:t xml:space="preserve"> zabezpečenie regionálneho školstva (1 %)</w:t>
      </w:r>
      <w:r w:rsidR="00A80EA0" w:rsidRPr="00A80EA0">
        <w:rPr>
          <w:rFonts w:cs="Segoe UI"/>
        </w:rPr>
        <w:t>. Sú tak ohrozené zámery kvalitnej a efektívnej koordinácie a usmerňovania transformácie a chodu regionálneho školstva a jeho kvalitného a efektívneho informačné</w:t>
      </w:r>
      <w:r w:rsidR="00BA45B8">
        <w:rPr>
          <w:rFonts w:cs="Segoe UI"/>
        </w:rPr>
        <w:t>ho</w:t>
      </w:r>
      <w:r w:rsidR="00A80EA0" w:rsidRPr="00A80EA0">
        <w:rPr>
          <w:rFonts w:cs="Segoe UI"/>
        </w:rPr>
        <w:t xml:space="preserve"> zabezpečenia. Podarilo sa napríklad podporiť necelú polovicu plánovaného počtu rozvojových projektov zameraných na aktivity pre žiakov so špeciálnymi výchovno-vzdelávacími potrebami</w:t>
      </w:r>
      <w:r w:rsidR="00BA45B8">
        <w:rPr>
          <w:rFonts w:cs="Segoe UI"/>
        </w:rPr>
        <w:t>,</w:t>
      </w:r>
      <w:r w:rsidR="00A80EA0" w:rsidRPr="00A80EA0">
        <w:rPr>
          <w:rFonts w:cs="Segoe UI"/>
        </w:rPr>
        <w:t xml:space="preserve"> či približne z dvoch tretín splniť cieľ 350 zamestnancov školstva </w:t>
      </w:r>
      <w:proofErr w:type="spellStart"/>
      <w:r w:rsidR="00A80EA0" w:rsidRPr="00A80EA0">
        <w:rPr>
          <w:rFonts w:cs="Segoe UI"/>
        </w:rPr>
        <w:t>absolvujúcich</w:t>
      </w:r>
      <w:proofErr w:type="spellEnd"/>
      <w:r w:rsidR="00A80EA0" w:rsidRPr="00A80EA0">
        <w:rPr>
          <w:rFonts w:cs="Segoe UI"/>
        </w:rPr>
        <w:t xml:space="preserve"> vzdelávanie v oblasti IKT (rovnaký cieľ sa nepodarilo splniť ani v roku 2021). Za zmienku stojí aj </w:t>
      </w:r>
      <w:r w:rsidR="00A80EA0" w:rsidRPr="00A80EA0">
        <w:rPr>
          <w:rFonts w:cs="Segoe UI"/>
          <w:b/>
        </w:rPr>
        <w:t>nevyčerpanie 20,2 mil. eur na rozvoj vysokého školstva</w:t>
      </w:r>
      <w:r w:rsidR="00A80EA0" w:rsidRPr="00A80EA0">
        <w:rPr>
          <w:rFonts w:cs="Segoe UI"/>
        </w:rPr>
        <w:t>. V rámci tohto podprogramu nebol vykonaný ani jeden z piatich plánovaných inštitucionálnych auditov v oblasti internacionalizácie vysokých škôl.</w:t>
      </w:r>
    </w:p>
    <w:p w14:paraId="4B214114" w14:textId="77777777" w:rsidR="009C0919" w:rsidRPr="00BC3CA3" w:rsidRDefault="009C0919" w:rsidP="009C0919">
      <w:pPr>
        <w:pStyle w:val="Popis"/>
        <w:keepNext/>
        <w:rPr>
          <w:color w:val="314364"/>
        </w:rPr>
      </w:pPr>
      <w:r w:rsidRPr="00BC3CA3">
        <w:rPr>
          <w:color w:val="314364"/>
        </w:rPr>
        <w:t>Graf</w:t>
      </w:r>
      <w:r>
        <w:rPr>
          <w:color w:val="314364"/>
        </w:rPr>
        <w:t xml:space="preserve"> 19</w:t>
      </w:r>
      <w:r w:rsidRPr="00BC3CA3">
        <w:rPr>
          <w:color w:val="314364"/>
        </w:rPr>
        <w:t>:</w:t>
      </w:r>
      <w:r>
        <w:rPr>
          <w:color w:val="314364"/>
        </w:rPr>
        <w:t xml:space="preserve"> </w:t>
      </w:r>
      <w:r w:rsidRPr="00B40242">
        <w:rPr>
          <w:color w:val="314364"/>
        </w:rPr>
        <w:t>Výdavky kapitoly MŠVVaŠ SR</w:t>
      </w:r>
      <w:r>
        <w:rPr>
          <w:color w:val="314364"/>
        </w:rPr>
        <w:t xml:space="preserve"> na vybrané programy v roku 2022 (v mil. eur)</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9C0919" w:rsidRPr="00C75134" w14:paraId="51DCEA18" w14:textId="77777777" w:rsidTr="00454460">
        <w:trPr>
          <w:trHeight w:val="3402"/>
        </w:trPr>
        <w:tc>
          <w:tcPr>
            <w:tcW w:w="9070" w:type="dxa"/>
            <w:tcBorders>
              <w:top w:val="single" w:sz="4" w:space="0" w:color="314364"/>
              <w:bottom w:val="single" w:sz="4" w:space="0" w:color="314364"/>
            </w:tcBorders>
            <w:vAlign w:val="center"/>
          </w:tcPr>
          <w:p w14:paraId="55CA6DA3" w14:textId="77777777" w:rsidR="009C0919" w:rsidRPr="00C75134" w:rsidRDefault="009C0919" w:rsidP="00454460">
            <w:pPr>
              <w:spacing w:after="0"/>
              <w:rPr>
                <w:b/>
                <w:color w:val="576431"/>
              </w:rPr>
            </w:pPr>
            <w:r>
              <w:rPr>
                <w:noProof/>
                <w:lang w:eastAsia="sk-SK"/>
              </w:rPr>
              <w:drawing>
                <wp:inline distT="0" distB="0" distL="0" distR="0" wp14:anchorId="56F83B37" wp14:editId="0C04870C">
                  <wp:extent cx="5760000" cy="2116800"/>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230D796E" w14:textId="77777777" w:rsidR="009C0919" w:rsidRPr="00B40242" w:rsidRDefault="009C0919" w:rsidP="009C0919">
      <w:pPr>
        <w:pStyle w:val="Zdroj"/>
      </w:pPr>
      <w:r w:rsidRPr="00CD7042">
        <w:t xml:space="preserve">Zdroj: </w:t>
      </w:r>
      <w:r w:rsidRPr="00B40242">
        <w:t>RIS</w:t>
      </w:r>
      <w:r>
        <w:t>; výpočty a spracovanie NKÚ SR.</w:t>
      </w:r>
    </w:p>
    <w:p w14:paraId="07E861D4" w14:textId="757E6E3C" w:rsidR="0002561E" w:rsidRPr="00505091" w:rsidRDefault="002C027A" w:rsidP="005603E6">
      <w:pPr>
        <w:pStyle w:val="Nadpis3"/>
      </w:pPr>
      <w:bookmarkStart w:id="32" w:name="_Toc136418405"/>
      <w:r>
        <w:t xml:space="preserve">4.2.1 </w:t>
      </w:r>
      <w:r w:rsidR="002E29A6">
        <w:t>P</w:t>
      </w:r>
      <w:r w:rsidR="002E29A6" w:rsidRPr="002E29A6">
        <w:t>lnenie revíznych opatrení v oblasti vysokého školstva</w:t>
      </w:r>
      <w:bookmarkEnd w:id="32"/>
    </w:p>
    <w:p w14:paraId="281312CD" w14:textId="77777777" w:rsidR="00642FF1" w:rsidRDefault="005761F4" w:rsidP="005761F4">
      <w:pPr>
        <w:rPr>
          <w:rFonts w:cs="Segoe UI"/>
        </w:rPr>
      </w:pPr>
      <w:r w:rsidRPr="00F64289">
        <w:rPr>
          <w:rFonts w:cs="Segoe UI"/>
          <w:b/>
        </w:rPr>
        <w:t>NKÚ SR v minuloročnom stanovisku upozornil na zaostávanie za cieľmi stanovenými Revíziou výdavkov zamestnanosti a odmeňovania vo VS v oblasti vysokého školstva.</w:t>
      </w:r>
      <w:r>
        <w:rPr>
          <w:rFonts w:cs="Segoe UI"/>
          <w:b/>
        </w:rPr>
        <w:t xml:space="preserve"> Dáta za</w:t>
      </w:r>
      <w:r w:rsidRPr="00F64289">
        <w:rPr>
          <w:rFonts w:cs="Segoe UI"/>
          <w:b/>
        </w:rPr>
        <w:t> </w:t>
      </w:r>
      <w:r>
        <w:rPr>
          <w:rFonts w:cs="Segoe UI"/>
          <w:b/>
        </w:rPr>
        <w:t>rok</w:t>
      </w:r>
      <w:r w:rsidRPr="00F64289">
        <w:rPr>
          <w:rFonts w:cs="Segoe UI"/>
          <w:b/>
        </w:rPr>
        <w:t xml:space="preserve"> 2022</w:t>
      </w:r>
      <w:r>
        <w:rPr>
          <w:rFonts w:cs="Segoe UI"/>
          <w:b/>
        </w:rPr>
        <w:t xml:space="preserve"> poukazujú na prehĺbenie </w:t>
      </w:r>
      <w:r w:rsidR="0063315A">
        <w:rPr>
          <w:rFonts w:cs="Segoe UI"/>
          <w:b/>
        </w:rPr>
        <w:t xml:space="preserve">tohto </w:t>
      </w:r>
      <w:r>
        <w:rPr>
          <w:rFonts w:cs="Segoe UI"/>
          <w:b/>
        </w:rPr>
        <w:t>problému</w:t>
      </w:r>
      <w:r w:rsidRPr="00F64289">
        <w:rPr>
          <w:rFonts w:cs="Segoe UI"/>
          <w:b/>
        </w:rPr>
        <w:t>.</w:t>
      </w:r>
      <w:r>
        <w:rPr>
          <w:rFonts w:cs="Segoe UI"/>
        </w:rPr>
        <w:t xml:space="preserve"> </w:t>
      </w:r>
      <w:r w:rsidRPr="00610093">
        <w:rPr>
          <w:rFonts w:cs="Segoe UI"/>
        </w:rPr>
        <w:t>Podľa jedného z</w:t>
      </w:r>
      <w:r>
        <w:rPr>
          <w:rFonts w:cs="Segoe UI"/>
        </w:rPr>
        <w:t> opatrení z marca 2020</w:t>
      </w:r>
      <w:r w:rsidRPr="00610093">
        <w:rPr>
          <w:rFonts w:cs="Segoe UI"/>
        </w:rPr>
        <w:t xml:space="preserve"> by sa mal každoročne znižovať počet vysokoškolských učiteľov o približne 2,5 % a ich platy by mali rásť o približne 8 %.</w:t>
      </w:r>
      <w:r>
        <w:rPr>
          <w:rFonts w:cs="Segoe UI"/>
        </w:rPr>
        <w:t xml:space="preserve"> V </w:t>
      </w:r>
      <w:r w:rsidRPr="00054330">
        <w:rPr>
          <w:rFonts w:cs="Segoe UI"/>
        </w:rPr>
        <w:t xml:space="preserve">porovnaní s akademickým rokom 2019/2020 klesol počet </w:t>
      </w:r>
      <w:r>
        <w:rPr>
          <w:rFonts w:cs="Segoe UI"/>
        </w:rPr>
        <w:t>pedagogických zamestnancov verejných a štátnych VŠ o 1,4</w:t>
      </w:r>
      <w:r w:rsidRPr="00054330">
        <w:rPr>
          <w:rFonts w:cs="Segoe UI"/>
        </w:rPr>
        <w:t xml:space="preserve"> %</w:t>
      </w:r>
      <w:r>
        <w:rPr>
          <w:rFonts w:cs="Segoe UI"/>
        </w:rPr>
        <w:t xml:space="preserve">, čo predstavuje priemerné ročné tempo poklesu </w:t>
      </w:r>
      <w:r w:rsidR="0063315A">
        <w:rPr>
          <w:rFonts w:cs="Segoe UI"/>
        </w:rPr>
        <w:t>o</w:t>
      </w:r>
      <w:r>
        <w:rPr>
          <w:rFonts w:cs="Segoe UI"/>
        </w:rPr>
        <w:t xml:space="preserve"> 0,5 % </w:t>
      </w:r>
      <w:r w:rsidRPr="00AD6C58">
        <w:rPr>
          <w:rFonts w:cs="Segoe UI"/>
        </w:rPr>
        <w:t>(graf</w:t>
      </w:r>
      <w:r w:rsidR="00AD6C58">
        <w:rPr>
          <w:rFonts w:cs="Segoe UI"/>
        </w:rPr>
        <w:t xml:space="preserve"> 2</w:t>
      </w:r>
      <w:r w:rsidR="005B05EB">
        <w:rPr>
          <w:rFonts w:cs="Segoe UI"/>
        </w:rPr>
        <w:t>0</w:t>
      </w:r>
      <w:r w:rsidR="00642FF1">
        <w:rPr>
          <w:rFonts w:cs="Segoe UI"/>
        </w:rPr>
        <w:t>).</w:t>
      </w:r>
    </w:p>
    <w:p w14:paraId="3B1DD344" w14:textId="77777777" w:rsidR="00642FF1" w:rsidRPr="00BC3CA3" w:rsidRDefault="00642FF1" w:rsidP="00642FF1">
      <w:pPr>
        <w:pStyle w:val="Popis"/>
        <w:keepNext/>
        <w:rPr>
          <w:color w:val="314364"/>
        </w:rPr>
      </w:pPr>
      <w:r w:rsidRPr="00BC3CA3">
        <w:rPr>
          <w:color w:val="314364"/>
        </w:rPr>
        <w:t>Graf</w:t>
      </w:r>
      <w:r>
        <w:rPr>
          <w:color w:val="314364"/>
        </w:rPr>
        <w:t xml:space="preserve"> 20</w:t>
      </w:r>
      <w:r w:rsidRPr="00BC3CA3">
        <w:rPr>
          <w:color w:val="314364"/>
        </w:rPr>
        <w:t>:</w:t>
      </w:r>
      <w:r>
        <w:rPr>
          <w:color w:val="314364"/>
        </w:rPr>
        <w:t xml:space="preserve"> </w:t>
      </w:r>
      <w:r w:rsidRPr="00D07E3C">
        <w:rPr>
          <w:color w:val="314364"/>
        </w:rPr>
        <w:t>Počet učiteľov na verejných a štátnych VŠ</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642FF1" w:rsidRPr="00C75134" w14:paraId="36C41A7C" w14:textId="77777777" w:rsidTr="002C2B32">
        <w:trPr>
          <w:trHeight w:val="3237"/>
        </w:trPr>
        <w:tc>
          <w:tcPr>
            <w:tcW w:w="9070" w:type="dxa"/>
            <w:tcBorders>
              <w:top w:val="single" w:sz="4" w:space="0" w:color="314364"/>
              <w:bottom w:val="single" w:sz="4" w:space="0" w:color="314364"/>
            </w:tcBorders>
            <w:vAlign w:val="center"/>
          </w:tcPr>
          <w:p w14:paraId="023E9AC5" w14:textId="77777777" w:rsidR="00642FF1" w:rsidRPr="00C75134" w:rsidRDefault="00642FF1" w:rsidP="002C2B32">
            <w:pPr>
              <w:spacing w:after="0"/>
              <w:rPr>
                <w:b/>
                <w:color w:val="576431"/>
              </w:rPr>
            </w:pPr>
            <w:r>
              <w:rPr>
                <w:noProof/>
                <w:lang w:eastAsia="sk-SK"/>
              </w:rPr>
              <w:drawing>
                <wp:inline distT="0" distB="0" distL="0" distR="0" wp14:anchorId="4B0D24AD" wp14:editId="5244E64D">
                  <wp:extent cx="5759450" cy="2047875"/>
                  <wp:effectExtent l="0" t="0" r="0" b="0"/>
                  <wp:docPr id="52" name="Graf 52">
                    <a:extLst xmlns:a="http://schemas.openxmlformats.org/drawingml/2006/main">
                      <a:ext uri="{FF2B5EF4-FFF2-40B4-BE49-F238E27FC236}">
                        <a16:creationId xmlns:a16="http://schemas.microsoft.com/office/drawing/2014/main" id="{A5227A91-5B91-4A5D-A38E-C7329D76BF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1C38D341" w14:textId="77777777" w:rsidR="00642FF1" w:rsidRPr="009371F5" w:rsidRDefault="00642FF1" w:rsidP="00642FF1">
      <w:pPr>
        <w:pStyle w:val="Zdroj"/>
      </w:pPr>
      <w:r w:rsidRPr="00CD7042">
        <w:t xml:space="preserve">Zdroj: </w:t>
      </w:r>
      <w:r>
        <w:t>CVTI SR</w:t>
      </w:r>
      <w:r w:rsidRPr="00B40242">
        <w:t>; výpočty a spracovanie NKÚ SR.</w:t>
      </w:r>
    </w:p>
    <w:p w14:paraId="13B409A1" w14:textId="3D7E0F05" w:rsidR="008038BA" w:rsidRDefault="005761F4" w:rsidP="005761F4">
      <w:pPr>
        <w:rPr>
          <w:rFonts w:cs="Segoe UI"/>
        </w:rPr>
      </w:pPr>
      <w:r>
        <w:rPr>
          <w:rFonts w:cs="Segoe UI"/>
        </w:rPr>
        <w:t xml:space="preserve">Čo sa týka ich platov, priemerné ročné tempo rastu počas obdobia rokov 2019 – 2022 </w:t>
      </w:r>
      <w:r w:rsidRPr="00AD6C58">
        <w:rPr>
          <w:rFonts w:cs="Segoe UI"/>
        </w:rPr>
        <w:t>bolo 5,5 % (graf</w:t>
      </w:r>
      <w:r w:rsidR="00AD6C58" w:rsidRPr="00AD6C58">
        <w:rPr>
          <w:rFonts w:cs="Segoe UI"/>
        </w:rPr>
        <w:t xml:space="preserve"> 2</w:t>
      </w:r>
      <w:r w:rsidR="005B05EB">
        <w:rPr>
          <w:rFonts w:cs="Segoe UI"/>
        </w:rPr>
        <w:t>1</w:t>
      </w:r>
      <w:r w:rsidRPr="00AD6C58">
        <w:rPr>
          <w:rFonts w:cs="Segoe UI"/>
        </w:rPr>
        <w:t xml:space="preserve">). V roku 2022 si prilepšili o viac ako 8 % iba lektori. Profesorom, docentom a odborným asistentov </w:t>
      </w:r>
      <w:r w:rsidRPr="00AD6C58">
        <w:rPr>
          <w:rFonts w:cs="Segoe UI"/>
        </w:rPr>
        <w:lastRenderedPageBreak/>
        <w:t>vzrástli priemerné platy v priemere o 1,9 % (graf</w:t>
      </w:r>
      <w:r w:rsidR="00AD6C58" w:rsidRPr="00AD6C58">
        <w:rPr>
          <w:rFonts w:cs="Segoe UI"/>
        </w:rPr>
        <w:t xml:space="preserve"> 2</w:t>
      </w:r>
      <w:r w:rsidR="005B05EB">
        <w:rPr>
          <w:rFonts w:cs="Segoe UI"/>
        </w:rPr>
        <w:t>2</w:t>
      </w:r>
      <w:r w:rsidRPr="00AD6C58">
        <w:rPr>
          <w:rFonts w:cs="Segoe UI"/>
        </w:rPr>
        <w:t>). Oproti roku 2021 sa zaostávanie za cie</w:t>
      </w:r>
      <w:r w:rsidR="0063315A">
        <w:rPr>
          <w:rFonts w:cs="Segoe UI"/>
        </w:rPr>
        <w:t xml:space="preserve">ľovými </w:t>
      </w:r>
      <w:r>
        <w:rPr>
          <w:rFonts w:cs="Segoe UI"/>
        </w:rPr>
        <w:t xml:space="preserve">hodnotami zväčšilo. Optimalizácia počtu vysokoškolských učiteľov spomalila z 2 </w:t>
      </w:r>
      <w:r w:rsidR="0063315A">
        <w:rPr>
          <w:rFonts w:cs="Segoe UI"/>
        </w:rPr>
        <w:t xml:space="preserve">% </w:t>
      </w:r>
      <w:r>
        <w:rPr>
          <w:rFonts w:cs="Segoe UI"/>
        </w:rPr>
        <w:t xml:space="preserve">na 0,2 % a rast ich platov z 5,1 </w:t>
      </w:r>
      <w:r w:rsidR="0063315A">
        <w:rPr>
          <w:rFonts w:cs="Segoe UI"/>
        </w:rPr>
        <w:t xml:space="preserve">% </w:t>
      </w:r>
      <w:r>
        <w:rPr>
          <w:rFonts w:cs="Segoe UI"/>
        </w:rPr>
        <w:t xml:space="preserve">na 3,9 </w:t>
      </w:r>
      <w:r w:rsidR="0063315A">
        <w:rPr>
          <w:rFonts w:cs="Segoe UI"/>
        </w:rPr>
        <w:t> </w:t>
      </w:r>
      <w:r>
        <w:rPr>
          <w:rFonts w:cs="Segoe UI"/>
        </w:rPr>
        <w:t>%.</w:t>
      </w:r>
    </w:p>
    <w:p w14:paraId="0AC09151" w14:textId="0E741D8A" w:rsidR="009E461F" w:rsidRPr="00BC3CA3" w:rsidRDefault="009E461F" w:rsidP="009E461F">
      <w:pPr>
        <w:pStyle w:val="Popis"/>
        <w:keepNext/>
        <w:rPr>
          <w:color w:val="314364"/>
        </w:rPr>
      </w:pPr>
      <w:r w:rsidRPr="00BC3CA3">
        <w:rPr>
          <w:color w:val="314364"/>
        </w:rPr>
        <w:t>Graf</w:t>
      </w:r>
      <w:r>
        <w:rPr>
          <w:color w:val="314364"/>
        </w:rPr>
        <w:t>y 2</w:t>
      </w:r>
      <w:r w:rsidR="005B05EB">
        <w:rPr>
          <w:color w:val="314364"/>
        </w:rPr>
        <w:t>1</w:t>
      </w:r>
      <w:r>
        <w:rPr>
          <w:color w:val="314364"/>
        </w:rPr>
        <w:t xml:space="preserve"> a 2</w:t>
      </w:r>
      <w:r w:rsidR="005B05EB">
        <w:rPr>
          <w:color w:val="314364"/>
        </w:rPr>
        <w:t>2</w:t>
      </w:r>
      <w:r w:rsidRPr="00BC3CA3">
        <w:rPr>
          <w:color w:val="314364"/>
        </w:rPr>
        <w:t>:</w:t>
      </w:r>
      <w:r>
        <w:rPr>
          <w:color w:val="314364"/>
        </w:rPr>
        <w:t xml:space="preserve"> Platy vysokoškolských učiteľov</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35"/>
        <w:gridCol w:w="4535"/>
      </w:tblGrid>
      <w:tr w:rsidR="009E461F" w:rsidRPr="00C75134" w14:paraId="4379214D" w14:textId="77777777" w:rsidTr="00C119D8">
        <w:trPr>
          <w:trHeight w:val="3402"/>
        </w:trPr>
        <w:tc>
          <w:tcPr>
            <w:tcW w:w="4970" w:type="dxa"/>
            <w:tcBorders>
              <w:top w:val="single" w:sz="4" w:space="0" w:color="314364"/>
              <w:bottom w:val="single" w:sz="4" w:space="0" w:color="314364"/>
            </w:tcBorders>
            <w:vAlign w:val="center"/>
          </w:tcPr>
          <w:p w14:paraId="18937837" w14:textId="77777777" w:rsidR="009E461F" w:rsidRPr="00C75134" w:rsidRDefault="009E461F" w:rsidP="00C119D8">
            <w:pPr>
              <w:spacing w:after="0"/>
              <w:rPr>
                <w:b/>
                <w:color w:val="576431"/>
              </w:rPr>
            </w:pPr>
            <w:r>
              <w:rPr>
                <w:noProof/>
                <w:lang w:eastAsia="sk-SK"/>
              </w:rPr>
              <w:drawing>
                <wp:inline distT="0" distB="0" distL="0" distR="0" wp14:anchorId="19349199" wp14:editId="5C03A7AE">
                  <wp:extent cx="2879725" cy="2103120"/>
                  <wp:effectExtent l="0" t="0" r="0" b="0"/>
                  <wp:docPr id="53" name="Graf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100" w:type="dxa"/>
            <w:tcBorders>
              <w:top w:val="single" w:sz="4" w:space="0" w:color="314364"/>
              <w:bottom w:val="single" w:sz="4" w:space="0" w:color="314364"/>
            </w:tcBorders>
            <w:vAlign w:val="center"/>
          </w:tcPr>
          <w:p w14:paraId="6C779AC3" w14:textId="77777777" w:rsidR="009E461F" w:rsidRPr="00C75134" w:rsidRDefault="009E461F" w:rsidP="00C119D8">
            <w:pPr>
              <w:spacing w:after="0"/>
              <w:rPr>
                <w:b/>
                <w:color w:val="576431"/>
              </w:rPr>
            </w:pPr>
            <w:r>
              <w:rPr>
                <w:noProof/>
                <w:lang w:eastAsia="sk-SK"/>
              </w:rPr>
              <w:drawing>
                <wp:inline distT="0" distB="0" distL="0" distR="0" wp14:anchorId="0B10D1EA" wp14:editId="47259883">
                  <wp:extent cx="2879725" cy="2087880"/>
                  <wp:effectExtent l="0" t="0" r="0" b="7620"/>
                  <wp:docPr id="54" name="Graf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14:paraId="18FF678F" w14:textId="77777777" w:rsidR="009E461F" w:rsidRPr="005761F4" w:rsidRDefault="009E461F" w:rsidP="009E461F">
      <w:pPr>
        <w:pStyle w:val="Zdroj"/>
      </w:pPr>
      <w:r w:rsidRPr="00CD7042">
        <w:t xml:space="preserve">Zdroj: </w:t>
      </w:r>
      <w:r>
        <w:t>CVTI SR</w:t>
      </w:r>
      <w:r w:rsidRPr="00B40242">
        <w:t>; výpočty a spracovanie NKÚ SR.</w:t>
      </w:r>
    </w:p>
    <w:p w14:paraId="43B4D781" w14:textId="67E76A97" w:rsidR="005761F4" w:rsidRDefault="005761F4" w:rsidP="005761F4">
      <w:pPr>
        <w:rPr>
          <w:rFonts w:cs="Segoe UI"/>
        </w:rPr>
      </w:pPr>
      <w:r w:rsidRPr="006B79FB">
        <w:rPr>
          <w:rFonts w:cs="Segoe UI"/>
        </w:rPr>
        <w:t>Druhé opatrenie</w:t>
      </w:r>
      <w:r>
        <w:rPr>
          <w:rFonts w:cs="Segoe UI"/>
        </w:rPr>
        <w:t xml:space="preserve"> z marca 2020</w:t>
      </w:r>
      <w:r w:rsidRPr="006B79FB">
        <w:rPr>
          <w:rFonts w:cs="Segoe UI"/>
        </w:rPr>
        <w:t xml:space="preserve"> cieli na optimalizáciu počtu nepedagogických zamestnancov na VŠ. Výsledkom opatrenia by malo byť uvoľnenie prostriedkov na výraznejšie zvýšenie miezd vo vysokom školstve alebo </w:t>
      </w:r>
      <w:r w:rsidR="0063315A">
        <w:rPr>
          <w:rFonts w:cs="Segoe UI"/>
        </w:rPr>
        <w:t xml:space="preserve">na </w:t>
      </w:r>
      <w:r w:rsidRPr="006B79FB">
        <w:rPr>
          <w:rFonts w:cs="Segoe UI"/>
        </w:rPr>
        <w:t>iné výdavky.</w:t>
      </w:r>
      <w:r>
        <w:rPr>
          <w:rFonts w:cs="Segoe UI"/>
        </w:rPr>
        <w:t xml:space="preserve"> </w:t>
      </w:r>
      <w:r w:rsidRPr="00337299">
        <w:rPr>
          <w:rFonts w:cs="Segoe UI"/>
        </w:rPr>
        <w:t xml:space="preserve">Hoci </w:t>
      </w:r>
      <w:r w:rsidRPr="009E461F">
        <w:rPr>
          <w:rFonts w:cs="Segoe UI"/>
        </w:rPr>
        <w:t>počet nepedagogických zamestnancov VŠ klesol z 9 446 v roku 2019 na 8 781 v roku 2022, mzdové náklady na túto skupinu zamestnancov sa znížiť nepodarilo (graf</w:t>
      </w:r>
      <w:r w:rsidR="009E461F" w:rsidRPr="009E461F">
        <w:rPr>
          <w:rFonts w:cs="Segoe UI"/>
        </w:rPr>
        <w:t xml:space="preserve"> 2</w:t>
      </w:r>
      <w:r w:rsidR="00D31A51">
        <w:rPr>
          <w:rFonts w:cs="Segoe UI"/>
        </w:rPr>
        <w:t>3</w:t>
      </w:r>
      <w:r w:rsidRPr="009E461F">
        <w:rPr>
          <w:rFonts w:cs="Segoe UI"/>
        </w:rPr>
        <w:t>). Dôvodom je výraznejší pokles zamestnanosti iba v prípade prevádzkových zamestnancov (o 13,7 %) a zamestnancov študentských jedální (o 28,5 %), čo sú kategórie nepedagogických zamestnancov VŠ s</w:t>
      </w:r>
      <w:r w:rsidR="00783674" w:rsidRPr="009E461F">
        <w:rPr>
          <w:rFonts w:cs="Segoe UI"/>
        </w:rPr>
        <w:t xml:space="preserve"> najnižšími priemernými platmi </w:t>
      </w:r>
      <w:r w:rsidRPr="009E461F">
        <w:rPr>
          <w:rFonts w:cs="Segoe UI"/>
        </w:rPr>
        <w:t>(graf</w:t>
      </w:r>
      <w:r w:rsidR="0063315A">
        <w:rPr>
          <w:rFonts w:cs="Segoe UI"/>
        </w:rPr>
        <w:t>y</w:t>
      </w:r>
      <w:r w:rsidR="009E461F" w:rsidRPr="009E461F">
        <w:rPr>
          <w:rFonts w:cs="Segoe UI"/>
        </w:rPr>
        <w:t xml:space="preserve"> 2</w:t>
      </w:r>
      <w:r w:rsidR="00D31A51">
        <w:rPr>
          <w:rFonts w:cs="Segoe UI"/>
        </w:rPr>
        <w:t>4</w:t>
      </w:r>
      <w:r w:rsidR="009E461F">
        <w:rPr>
          <w:rFonts w:cs="Segoe UI"/>
        </w:rPr>
        <w:t xml:space="preserve"> a 2</w:t>
      </w:r>
      <w:r w:rsidR="00D31A51">
        <w:rPr>
          <w:rFonts w:cs="Segoe UI"/>
        </w:rPr>
        <w:t>5</w:t>
      </w:r>
      <w:r w:rsidRPr="009E461F">
        <w:rPr>
          <w:rFonts w:cs="Segoe UI"/>
        </w:rPr>
        <w:t>).</w:t>
      </w:r>
    </w:p>
    <w:p w14:paraId="2320306E" w14:textId="7A64699F" w:rsidR="009E461F" w:rsidRPr="00BC3CA3" w:rsidRDefault="009E461F" w:rsidP="009E461F">
      <w:pPr>
        <w:pStyle w:val="Popis"/>
        <w:keepNext/>
        <w:rPr>
          <w:color w:val="314364"/>
        </w:rPr>
      </w:pPr>
      <w:r w:rsidRPr="00BC3CA3">
        <w:rPr>
          <w:color w:val="314364"/>
        </w:rPr>
        <w:t>Graf</w:t>
      </w:r>
      <w:r>
        <w:rPr>
          <w:color w:val="314364"/>
        </w:rPr>
        <w:t xml:space="preserve"> 2</w:t>
      </w:r>
      <w:r w:rsidR="00D31A51">
        <w:rPr>
          <w:color w:val="314364"/>
        </w:rPr>
        <w:t>3</w:t>
      </w:r>
      <w:r w:rsidRPr="00BC3CA3">
        <w:rPr>
          <w:color w:val="314364"/>
        </w:rPr>
        <w:t>:</w:t>
      </w:r>
      <w:r>
        <w:rPr>
          <w:color w:val="314364"/>
        </w:rPr>
        <w:t xml:space="preserve"> </w:t>
      </w:r>
      <w:r w:rsidRPr="009371F5">
        <w:rPr>
          <w:color w:val="314364"/>
        </w:rPr>
        <w:t>Nepedagogickí zamestnanci VŠ – počet a mzdové náklady</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9E461F" w:rsidRPr="00C75134" w14:paraId="720E15DB" w14:textId="77777777" w:rsidTr="0035229D">
        <w:trPr>
          <w:trHeight w:val="3118"/>
        </w:trPr>
        <w:tc>
          <w:tcPr>
            <w:tcW w:w="9070" w:type="dxa"/>
            <w:tcBorders>
              <w:top w:val="single" w:sz="4" w:space="0" w:color="314364"/>
              <w:bottom w:val="single" w:sz="4" w:space="0" w:color="314364"/>
            </w:tcBorders>
            <w:vAlign w:val="center"/>
          </w:tcPr>
          <w:p w14:paraId="24EEA3C9" w14:textId="77777777" w:rsidR="009E461F" w:rsidRPr="00C75134" w:rsidRDefault="009E461F" w:rsidP="00C119D8">
            <w:pPr>
              <w:spacing w:after="0"/>
              <w:rPr>
                <w:b/>
                <w:color w:val="576431"/>
              </w:rPr>
            </w:pPr>
            <w:r>
              <w:rPr>
                <w:noProof/>
                <w:lang w:eastAsia="sk-SK"/>
              </w:rPr>
              <w:drawing>
                <wp:inline distT="0" distB="0" distL="0" distR="0" wp14:anchorId="384F26CE" wp14:editId="1BB4AF5D">
                  <wp:extent cx="5759450" cy="1943100"/>
                  <wp:effectExtent l="0" t="0" r="0" b="0"/>
                  <wp:docPr id="55" name="Graf 55">
                    <a:extLst xmlns:a="http://schemas.openxmlformats.org/drawingml/2006/main">
                      <a:ext uri="{FF2B5EF4-FFF2-40B4-BE49-F238E27FC236}">
                        <a16:creationId xmlns:a16="http://schemas.microsoft.com/office/drawing/2014/main" id="{0E4190F9-6524-424E-957A-F4CD3DFD4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14:paraId="21696979" w14:textId="5508C374" w:rsidR="009E461F" w:rsidRDefault="009E461F" w:rsidP="009E461F">
      <w:pPr>
        <w:pStyle w:val="Zdroj"/>
      </w:pPr>
      <w:r w:rsidRPr="00CD7042">
        <w:t xml:space="preserve">Zdroj: </w:t>
      </w:r>
      <w:r>
        <w:t>CVTI SR</w:t>
      </w:r>
      <w:r w:rsidRPr="00B40242">
        <w:t>; výpočty a spracovanie NKÚ SR.</w:t>
      </w:r>
    </w:p>
    <w:p w14:paraId="5ECADCAC" w14:textId="77777777" w:rsidR="00642FF1" w:rsidRPr="00957B67" w:rsidRDefault="00642FF1" w:rsidP="00642FF1">
      <w:pPr>
        <w:rPr>
          <w:rFonts w:cs="Segoe UI"/>
        </w:rPr>
      </w:pPr>
      <w:r w:rsidRPr="00CB06FC">
        <w:rPr>
          <w:rFonts w:cs="Segoe UI"/>
        </w:rPr>
        <w:t>S optimalizáciou počtu nepedagogických zamestnancov a znižovaním počtu uč</w:t>
      </w:r>
      <w:r>
        <w:rPr>
          <w:rFonts w:cs="Segoe UI"/>
        </w:rPr>
        <w:t xml:space="preserve">iteľov verejných VŠ počítal aj RVS na rok 2022. Mzdové výdavky mali medziročne klesnúť o 25,6 mil. </w:t>
      </w:r>
      <w:r w:rsidRPr="00CE5452">
        <w:rPr>
          <w:rFonts w:cs="Segoe UI"/>
        </w:rPr>
        <w:t>eur</w:t>
      </w:r>
      <w:r>
        <w:rPr>
          <w:rFonts w:cs="Segoe UI"/>
        </w:rPr>
        <w:t xml:space="preserve"> (oproti očakávanej skutočnosti o 91,8 mil. eur</w:t>
      </w:r>
      <w:r w:rsidRPr="00BC2A27">
        <w:rPr>
          <w:rFonts w:cs="Segoe UI"/>
        </w:rPr>
        <w:t>). V</w:t>
      </w:r>
      <w:r>
        <w:rPr>
          <w:rFonts w:cs="Segoe UI"/>
        </w:rPr>
        <w:t xml:space="preserve"> skutočnosti </w:t>
      </w:r>
      <w:r w:rsidRPr="00BC2A27">
        <w:rPr>
          <w:rFonts w:cs="Segoe UI"/>
        </w:rPr>
        <w:t>vzrástli</w:t>
      </w:r>
      <w:r>
        <w:rPr>
          <w:rFonts w:cs="Segoe UI"/>
        </w:rPr>
        <w:t xml:space="preserve"> o 44 mil. eur. Okrem toho boli </w:t>
      </w:r>
      <w:r w:rsidRPr="0064453D">
        <w:rPr>
          <w:rFonts w:cs="Segoe UI"/>
        </w:rPr>
        <w:t xml:space="preserve">rozpočtované výdavky </w:t>
      </w:r>
      <w:r>
        <w:rPr>
          <w:rFonts w:cs="Segoe UI"/>
        </w:rPr>
        <w:t>v sume 9,1</w:t>
      </w:r>
      <w:r w:rsidRPr="0064453D">
        <w:rPr>
          <w:rFonts w:cs="Segoe UI"/>
        </w:rPr>
        <w:t xml:space="preserve"> mil. eur na vyplatenie odstupného a odchodného.</w:t>
      </w:r>
      <w:r>
        <w:rPr>
          <w:rFonts w:cs="Segoe UI"/>
        </w:rPr>
        <w:t xml:space="preserve"> Spolu však bolo na tento účel vyplatených 1,6 mil. eur.</w:t>
      </w:r>
    </w:p>
    <w:p w14:paraId="4C3F1AD9" w14:textId="77777777" w:rsidR="00642FF1" w:rsidRPr="00642FF1" w:rsidRDefault="00642FF1" w:rsidP="009E461F">
      <w:pPr>
        <w:pStyle w:val="Zdroj"/>
        <w:rPr>
          <w:i w:val="0"/>
        </w:rPr>
      </w:pPr>
    </w:p>
    <w:p w14:paraId="6400049F" w14:textId="7BDF6C89" w:rsidR="009E461F" w:rsidRPr="00BC3CA3" w:rsidRDefault="009E461F" w:rsidP="009E461F">
      <w:pPr>
        <w:pStyle w:val="Popis"/>
        <w:keepNext/>
        <w:rPr>
          <w:color w:val="314364"/>
        </w:rPr>
      </w:pPr>
      <w:r w:rsidRPr="00BC3CA3">
        <w:rPr>
          <w:color w:val="314364"/>
        </w:rPr>
        <w:lastRenderedPageBreak/>
        <w:t>Graf</w:t>
      </w:r>
      <w:r>
        <w:rPr>
          <w:color w:val="314364"/>
        </w:rPr>
        <w:t>y 2</w:t>
      </w:r>
      <w:r w:rsidR="00D31A51">
        <w:rPr>
          <w:color w:val="314364"/>
        </w:rPr>
        <w:t>4</w:t>
      </w:r>
      <w:r>
        <w:rPr>
          <w:color w:val="314364"/>
        </w:rPr>
        <w:t xml:space="preserve"> a 2</w:t>
      </w:r>
      <w:r w:rsidR="00D31A51">
        <w:rPr>
          <w:color w:val="314364"/>
        </w:rPr>
        <w:t>5</w:t>
      </w:r>
      <w:r w:rsidRPr="00BC3CA3">
        <w:rPr>
          <w:color w:val="314364"/>
        </w:rPr>
        <w:t>:</w:t>
      </w:r>
      <w:r>
        <w:rPr>
          <w:color w:val="314364"/>
        </w:rPr>
        <w:t xml:space="preserve"> </w:t>
      </w:r>
      <w:r w:rsidRPr="009371F5">
        <w:rPr>
          <w:color w:val="314364"/>
        </w:rPr>
        <w:t>Nepedagogickí zamestnanci VŠ</w:t>
      </w:r>
      <w:r>
        <w:rPr>
          <w:color w:val="314364"/>
        </w:rPr>
        <w:t xml:space="preserve"> – počet a priemerný plat </w:t>
      </w:r>
      <w:r w:rsidRPr="00783674">
        <w:rPr>
          <w:color w:val="314364"/>
        </w:rPr>
        <w:t>podľa jednotlivých kategórií</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35"/>
        <w:gridCol w:w="4535"/>
      </w:tblGrid>
      <w:tr w:rsidR="009E461F" w:rsidRPr="00C75134" w14:paraId="23DB736C" w14:textId="77777777" w:rsidTr="0035229D">
        <w:trPr>
          <w:trHeight w:val="3288"/>
        </w:trPr>
        <w:tc>
          <w:tcPr>
            <w:tcW w:w="4970" w:type="dxa"/>
            <w:tcBorders>
              <w:top w:val="single" w:sz="4" w:space="0" w:color="314364"/>
              <w:bottom w:val="single" w:sz="4" w:space="0" w:color="314364"/>
            </w:tcBorders>
            <w:vAlign w:val="center"/>
          </w:tcPr>
          <w:p w14:paraId="6FBE3468" w14:textId="77777777" w:rsidR="009E461F" w:rsidRPr="00C75134" w:rsidRDefault="009E461F" w:rsidP="00C119D8">
            <w:pPr>
              <w:spacing w:after="0"/>
              <w:rPr>
                <w:b/>
                <w:color w:val="576431"/>
              </w:rPr>
            </w:pPr>
            <w:r>
              <w:rPr>
                <w:noProof/>
                <w:lang w:eastAsia="sk-SK"/>
              </w:rPr>
              <w:drawing>
                <wp:inline distT="0" distB="0" distL="0" distR="0" wp14:anchorId="74F8FE9F" wp14:editId="50DD28BC">
                  <wp:extent cx="2879725" cy="2049780"/>
                  <wp:effectExtent l="0" t="0" r="0" b="7620"/>
                  <wp:docPr id="56" name="Graf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100" w:type="dxa"/>
            <w:tcBorders>
              <w:top w:val="single" w:sz="4" w:space="0" w:color="314364"/>
              <w:bottom w:val="single" w:sz="4" w:space="0" w:color="314364"/>
            </w:tcBorders>
            <w:vAlign w:val="center"/>
          </w:tcPr>
          <w:p w14:paraId="6EED6227" w14:textId="77777777" w:rsidR="009E461F" w:rsidRPr="00C75134" w:rsidRDefault="009E461F" w:rsidP="00C119D8">
            <w:pPr>
              <w:spacing w:after="0"/>
              <w:rPr>
                <w:b/>
                <w:color w:val="576431"/>
              </w:rPr>
            </w:pPr>
            <w:r>
              <w:rPr>
                <w:noProof/>
                <w:lang w:eastAsia="sk-SK"/>
              </w:rPr>
              <w:drawing>
                <wp:inline distT="0" distB="0" distL="0" distR="0" wp14:anchorId="1C1228AB" wp14:editId="2FACFBAA">
                  <wp:extent cx="2879725" cy="2034540"/>
                  <wp:effectExtent l="0" t="0" r="0" b="3810"/>
                  <wp:docPr id="57" name="Graf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34E7B673" w14:textId="77777777" w:rsidR="009E461F" w:rsidRPr="005761F4" w:rsidRDefault="009E461F" w:rsidP="009E461F">
      <w:pPr>
        <w:pStyle w:val="Zdroj"/>
      </w:pPr>
      <w:r w:rsidRPr="00CD7042">
        <w:t xml:space="preserve">Zdroj: </w:t>
      </w:r>
      <w:r>
        <w:t>CVTI SR</w:t>
      </w:r>
      <w:r w:rsidRPr="00B40242">
        <w:t>; výpočty a spracovanie NKÚ SR.</w:t>
      </w:r>
    </w:p>
    <w:p w14:paraId="25EB2998" w14:textId="55F2F860" w:rsidR="00A95428" w:rsidRDefault="002C027A" w:rsidP="002C027A">
      <w:pPr>
        <w:pStyle w:val="Nadpis2"/>
      </w:pPr>
      <w:bookmarkStart w:id="33" w:name="_Toc136418406"/>
      <w:r>
        <w:t xml:space="preserve">4.3 </w:t>
      </w:r>
      <w:r w:rsidR="00B67559">
        <w:t>Sociáln</w:t>
      </w:r>
      <w:r w:rsidR="00C50B0E">
        <w:t>e politiky</w:t>
      </w:r>
      <w:bookmarkEnd w:id="33"/>
    </w:p>
    <w:p w14:paraId="2926DD6C" w14:textId="32DB45CF" w:rsidR="00004B07" w:rsidRDefault="00004B07" w:rsidP="00004B07">
      <w:pPr>
        <w:rPr>
          <w:rFonts w:cs="Segoe UI"/>
        </w:rPr>
      </w:pPr>
      <w:r w:rsidRPr="00004B07">
        <w:rPr>
          <w:b/>
        </w:rPr>
        <w:t>Novelizovaný rozpočet mal výrazný vplyv na rozpočet kapitoly ministerstva práce.</w:t>
      </w:r>
      <w:r>
        <w:t xml:space="preserve"> Pôvodne plánované výdavky kapitoly sa navýšili o</w:t>
      </w:r>
      <w:r w:rsidR="00D34562">
        <w:t xml:space="preserve"> 11,5 </w:t>
      </w:r>
      <w:r w:rsidRPr="00D34562">
        <w:t>% a</w:t>
      </w:r>
      <w:r>
        <w:t> skutočné</w:t>
      </w:r>
      <w:r w:rsidRPr="00422487">
        <w:t xml:space="preserve"> výdavky kapitoly sa oproti </w:t>
      </w:r>
      <w:r>
        <w:t>novelizovanému</w:t>
      </w:r>
      <w:r w:rsidRPr="00422487">
        <w:t xml:space="preserve"> rozpočtu zvýšili </w:t>
      </w:r>
      <w:r>
        <w:t xml:space="preserve">ešte </w:t>
      </w:r>
      <w:r w:rsidRPr="00422487">
        <w:t>o 7,7 %.</w:t>
      </w:r>
      <w:r>
        <w:t xml:space="preserve"> Naplánované výdavky vo v</w:t>
      </w:r>
      <w:r w:rsidRPr="00422487">
        <w:t>šetk</w:t>
      </w:r>
      <w:r>
        <w:t>ých</w:t>
      </w:r>
      <w:r w:rsidRPr="00422487">
        <w:t xml:space="preserve"> tr</w:t>
      </w:r>
      <w:r>
        <w:t>och</w:t>
      </w:r>
      <w:r w:rsidRPr="00422487">
        <w:t xml:space="preserve"> hlavn</w:t>
      </w:r>
      <w:r>
        <w:t>ých</w:t>
      </w:r>
      <w:r w:rsidRPr="00422487">
        <w:t xml:space="preserve"> program</w:t>
      </w:r>
      <w:r>
        <w:t>och</w:t>
      </w:r>
      <w:r w:rsidRPr="00422487">
        <w:t xml:space="preserve"> sa </w:t>
      </w:r>
      <w:r>
        <w:t xml:space="preserve">tak prekročili, v programe sociálna inklúzia </w:t>
      </w:r>
      <w:r w:rsidR="00846EB5">
        <w:t>o 12 %, v tvorbe a implementácii</w:t>
      </w:r>
      <w:r>
        <w:t xml:space="preserve"> politík o 21,5 % a v ľudských zdrojoch o 102,8 % (graf 26)</w:t>
      </w:r>
      <w:r w:rsidRPr="00422487">
        <w:t xml:space="preserve">. Najväčšie rozpočtové zmeny prebehli </w:t>
      </w:r>
      <w:r>
        <w:t>v</w:t>
      </w:r>
      <w:r w:rsidRPr="00422487">
        <w:rPr>
          <w:rFonts w:cs="Segoe UI"/>
        </w:rPr>
        <w:t xml:space="preserve"> národn</w:t>
      </w:r>
      <w:r>
        <w:rPr>
          <w:rFonts w:cs="Segoe UI"/>
        </w:rPr>
        <w:t>ých</w:t>
      </w:r>
      <w:r w:rsidRPr="00422487">
        <w:rPr>
          <w:rFonts w:cs="Segoe UI"/>
        </w:rPr>
        <w:t xml:space="preserve"> program</w:t>
      </w:r>
      <w:r>
        <w:rPr>
          <w:rFonts w:cs="Segoe UI"/>
        </w:rPr>
        <w:t>och</w:t>
      </w:r>
      <w:r w:rsidRPr="00422487">
        <w:rPr>
          <w:rFonts w:cs="Segoe UI"/>
        </w:rPr>
        <w:t xml:space="preserve"> na rozvoj aktívnej politiky trhu práce a zvýšenie zamestnateľnosti, kde sa zvýšil rozpočet z 32,8 mil. eur na 339,1 mil. eur. Príčinou bolo čerpanie </w:t>
      </w:r>
      <w:r w:rsidR="0063315A">
        <w:rPr>
          <w:rFonts w:cs="Segoe UI"/>
        </w:rPr>
        <w:t>P</w:t>
      </w:r>
      <w:r w:rsidRPr="00422487">
        <w:rPr>
          <w:rFonts w:cs="Segoe UI"/>
        </w:rPr>
        <w:t>rvej pomoci v prvých dvoch mesiacoch roka, podpora SZČO v čase pandémie, pomoc utečencom z Ukrajiny a aktívne opatrenia trhu práce, aj keď v skutočnosti medziročne tieto výdavky klesli o viac ako 880,9 mil. eur.</w:t>
      </w:r>
    </w:p>
    <w:p w14:paraId="5771F495" w14:textId="77777777" w:rsidR="009C0919" w:rsidRPr="00422487" w:rsidRDefault="009C0919" w:rsidP="009C0919">
      <w:pPr>
        <w:keepNext/>
        <w:spacing w:after="0" w:line="240" w:lineRule="auto"/>
        <w:rPr>
          <w:b/>
          <w:iCs/>
          <w:color w:val="314364"/>
          <w:szCs w:val="18"/>
        </w:rPr>
      </w:pPr>
      <w:r w:rsidRPr="00422487">
        <w:rPr>
          <w:b/>
          <w:iCs/>
          <w:color w:val="314364"/>
          <w:szCs w:val="18"/>
        </w:rPr>
        <w:t xml:space="preserve">Graf </w:t>
      </w:r>
      <w:r>
        <w:rPr>
          <w:b/>
          <w:iCs/>
          <w:color w:val="314364"/>
          <w:szCs w:val="18"/>
        </w:rPr>
        <w:t>26</w:t>
      </w:r>
      <w:r w:rsidRPr="00422487">
        <w:rPr>
          <w:b/>
          <w:iCs/>
          <w:color w:val="314364"/>
          <w:szCs w:val="18"/>
        </w:rPr>
        <w:t xml:space="preserve">: Výdavky kapitoly MPSVR SR na </w:t>
      </w:r>
      <w:r>
        <w:rPr>
          <w:b/>
          <w:iCs/>
          <w:color w:val="314364"/>
          <w:szCs w:val="18"/>
        </w:rPr>
        <w:t xml:space="preserve">vybrané </w:t>
      </w:r>
      <w:r w:rsidRPr="00422487">
        <w:rPr>
          <w:b/>
          <w:iCs/>
          <w:color w:val="314364"/>
          <w:szCs w:val="18"/>
        </w:rPr>
        <w:t>programy (v mil. eur)</w:t>
      </w:r>
    </w:p>
    <w:tbl>
      <w:tblPr>
        <w:tblStyle w:val="Mriekatabuky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9C0919" w:rsidRPr="00422487" w14:paraId="049D3045" w14:textId="77777777" w:rsidTr="00454460">
        <w:trPr>
          <w:trHeight w:val="3402"/>
        </w:trPr>
        <w:tc>
          <w:tcPr>
            <w:tcW w:w="9070" w:type="dxa"/>
            <w:tcBorders>
              <w:top w:val="single" w:sz="4" w:space="0" w:color="314364" w:themeColor="text2"/>
              <w:bottom w:val="single" w:sz="4" w:space="0" w:color="314364"/>
            </w:tcBorders>
            <w:vAlign w:val="center"/>
          </w:tcPr>
          <w:p w14:paraId="49C0CD9F" w14:textId="77777777" w:rsidR="009C0919" w:rsidRPr="00422487" w:rsidRDefault="009C0919" w:rsidP="00454460">
            <w:pPr>
              <w:spacing w:after="0"/>
              <w:rPr>
                <w:b/>
                <w:color w:val="576431"/>
              </w:rPr>
            </w:pPr>
            <w:r>
              <w:rPr>
                <w:noProof/>
                <w:lang w:eastAsia="sk-SK"/>
              </w:rPr>
              <w:drawing>
                <wp:inline distT="0" distB="0" distL="0" distR="0" wp14:anchorId="5B18E9AF" wp14:editId="65C9B6C3">
                  <wp:extent cx="5759450" cy="2120265"/>
                  <wp:effectExtent l="0" t="0" r="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78835AD5" w14:textId="1C0A8247" w:rsidR="00A74DAE" w:rsidRDefault="009C0919" w:rsidP="00422487">
      <w:pPr>
        <w:rPr>
          <w:i/>
          <w:color w:val="314364" w:themeColor="text2"/>
          <w:sz w:val="16"/>
          <w:szCs w:val="16"/>
        </w:rPr>
      </w:pPr>
      <w:r w:rsidRPr="00422487">
        <w:rPr>
          <w:i/>
          <w:color w:val="314364" w:themeColor="text2"/>
          <w:sz w:val="16"/>
          <w:szCs w:val="16"/>
        </w:rPr>
        <w:t>Zdroj: RIS BI</w:t>
      </w:r>
      <w:r w:rsidR="0024233A">
        <w:rPr>
          <w:i/>
          <w:color w:val="314364" w:themeColor="text2"/>
          <w:sz w:val="16"/>
          <w:szCs w:val="16"/>
        </w:rPr>
        <w:t>.</w:t>
      </w:r>
    </w:p>
    <w:p w14:paraId="1310692B" w14:textId="3D476C2D" w:rsidR="00422487" w:rsidRPr="00A74DAE" w:rsidRDefault="00A91F9B" w:rsidP="00422487">
      <w:pPr>
        <w:rPr>
          <w:i/>
          <w:color w:val="314364" w:themeColor="text2"/>
          <w:sz w:val="16"/>
          <w:szCs w:val="16"/>
        </w:rPr>
      </w:pPr>
      <w:r>
        <w:t>V sociálnej inklúzii</w:t>
      </w:r>
      <w:r w:rsidR="00422487" w:rsidRPr="00422487">
        <w:t xml:space="preserve"> dominovala podpora rodinnej politiky (1</w:t>
      </w:r>
      <w:r w:rsidR="00A96E60">
        <w:t>,</w:t>
      </w:r>
      <w:r w:rsidR="00422487" w:rsidRPr="00422487">
        <w:t>5</w:t>
      </w:r>
      <w:r w:rsidR="00A96E60">
        <w:t xml:space="preserve"> mld</w:t>
      </w:r>
      <w:r w:rsidR="00422487" w:rsidRPr="00422487">
        <w:t xml:space="preserve">. eur), kde výdavky boli vyššie o viac ako 10 % oproti </w:t>
      </w:r>
      <w:r w:rsidR="00EC2651">
        <w:t xml:space="preserve">pôvodne </w:t>
      </w:r>
      <w:r w:rsidR="00422487" w:rsidRPr="00422487">
        <w:t>schválenému</w:t>
      </w:r>
      <w:r w:rsidR="00EC2651">
        <w:t xml:space="preserve"> aj novelizovanému</w:t>
      </w:r>
      <w:r w:rsidR="00422487" w:rsidRPr="00422487">
        <w:t xml:space="preserve"> rozpočtu, kompenzácia sociálnych dôsledkov ŤZP (540</w:t>
      </w:r>
      <w:r w:rsidR="0046703F">
        <w:t>,</w:t>
      </w:r>
      <w:r w:rsidR="00422487" w:rsidRPr="00422487">
        <w:t xml:space="preserve">9 </w:t>
      </w:r>
      <w:r w:rsidR="0046703F">
        <w:t>mil</w:t>
      </w:r>
      <w:r w:rsidR="00422487" w:rsidRPr="00422487">
        <w:t>. eur) a 13. dôchodok (51</w:t>
      </w:r>
      <w:r w:rsidR="0046703F">
        <w:t>3,0</w:t>
      </w:r>
      <w:r w:rsidR="00422487" w:rsidRPr="00422487">
        <w:t xml:space="preserve"> </w:t>
      </w:r>
      <w:r w:rsidR="0046703F">
        <w:t>mil</w:t>
      </w:r>
      <w:r w:rsidR="00422487" w:rsidRPr="00422487">
        <w:t xml:space="preserve">. eur); všetky tieto položky každý rok rastú. </w:t>
      </w:r>
    </w:p>
    <w:p w14:paraId="779F430D" w14:textId="372B4DC0" w:rsidR="00422487" w:rsidRPr="00422487" w:rsidRDefault="00422487" w:rsidP="00422487">
      <w:pPr>
        <w:rPr>
          <w:rFonts w:cs="Segoe UI"/>
          <w:szCs w:val="20"/>
        </w:rPr>
      </w:pPr>
      <w:r w:rsidRPr="00422487">
        <w:rPr>
          <w:rFonts w:cs="Segoe UI"/>
          <w:szCs w:val="20"/>
        </w:rPr>
        <w:t>Okrem plánového zvýšenia dôchodkov vo výške 1,3 % z rozpočtu S</w:t>
      </w:r>
      <w:r w:rsidR="002E2965">
        <w:rPr>
          <w:rFonts w:cs="Segoe UI"/>
          <w:szCs w:val="20"/>
        </w:rPr>
        <w:t>P</w:t>
      </w:r>
      <w:r w:rsidRPr="00422487">
        <w:rPr>
          <w:rFonts w:cs="Segoe UI"/>
          <w:szCs w:val="20"/>
        </w:rPr>
        <w:t xml:space="preserve">, MPSVR SR poukázalo SP finančné prostriedky v sume </w:t>
      </w:r>
      <w:r w:rsidRPr="00AB6CF7">
        <w:rPr>
          <w:rFonts w:cs="Segoe UI"/>
          <w:szCs w:val="20"/>
        </w:rPr>
        <w:t>512 mil. eur.</w:t>
      </w:r>
      <w:r w:rsidRPr="00422487">
        <w:rPr>
          <w:rFonts w:cs="Segoe UI"/>
          <w:szCs w:val="20"/>
        </w:rPr>
        <w:t xml:space="preserve"> V čiastke bol zahrnutý plánovaný 13. dôchodok (od 50 do 300 eur) vyplatený predčasne v júli 2022 a ďalší  tzv. 14. dôchodok, </w:t>
      </w:r>
      <w:r w:rsidR="002E2965">
        <w:rPr>
          <w:rFonts w:cs="Segoe UI"/>
          <w:szCs w:val="20"/>
        </w:rPr>
        <w:t xml:space="preserve">ktorý bol </w:t>
      </w:r>
      <w:r w:rsidRPr="00422487">
        <w:rPr>
          <w:rFonts w:cs="Segoe UI"/>
          <w:szCs w:val="20"/>
        </w:rPr>
        <w:t xml:space="preserve">poskytnutý dôchodcom v novembri 2022 vo výške 70 % zo sumy 13. dôchodku (od 35 do 210 eur) s cieľom zmierniť negatívne dôsledky </w:t>
      </w:r>
      <w:r w:rsidRPr="00422487">
        <w:rPr>
          <w:rFonts w:cs="Segoe UI"/>
          <w:szCs w:val="20"/>
        </w:rPr>
        <w:lastRenderedPageBreak/>
        <w:t>vysokej inflácie na domácnosti dôchodcov. Aj napriek týmto opatreniam sa životn</w:t>
      </w:r>
      <w:r w:rsidR="00A74DAE">
        <w:rPr>
          <w:rFonts w:cs="Segoe UI"/>
          <w:szCs w:val="20"/>
        </w:rPr>
        <w:t>á</w:t>
      </w:r>
      <w:r w:rsidRPr="00422487">
        <w:rPr>
          <w:rFonts w:cs="Segoe UI"/>
          <w:szCs w:val="20"/>
        </w:rPr>
        <w:t xml:space="preserve"> úroveň dôchodcov znižuje. Dôkazom znižovania životnej úrovne seniorov je historický najnižší podiel priemernej výšky starobného sólo dôchodku (518,8 eur) na priemernej mesačnej mzde (1 304 eur), ktorý sa koncom roka </w:t>
      </w:r>
      <w:r w:rsidR="002E2965">
        <w:rPr>
          <w:rFonts w:cs="Segoe UI"/>
          <w:szCs w:val="20"/>
        </w:rPr>
        <w:t xml:space="preserve">2022 </w:t>
      </w:r>
      <w:r w:rsidR="007E4889">
        <w:rPr>
          <w:rFonts w:cs="Segoe UI"/>
          <w:szCs w:val="20"/>
        </w:rPr>
        <w:t>znížil</w:t>
      </w:r>
      <w:r w:rsidRPr="00422487">
        <w:rPr>
          <w:rFonts w:cs="Segoe UI"/>
          <w:szCs w:val="20"/>
        </w:rPr>
        <w:t xml:space="preserve"> na 39,8 %.</w:t>
      </w:r>
      <w:r w:rsidR="007E4889">
        <w:rPr>
          <w:rFonts w:cs="Segoe UI"/>
          <w:szCs w:val="20"/>
        </w:rPr>
        <w:t xml:space="preserve"> Tento podiel klesá už od roku 2013, kedy predstavoval 47,4 %.</w:t>
      </w:r>
    </w:p>
    <w:p w14:paraId="33DC3EE9" w14:textId="055C639A" w:rsidR="00422487" w:rsidRPr="00422487" w:rsidRDefault="00422487" w:rsidP="00422487">
      <w:pPr>
        <w:rPr>
          <w:rFonts w:cs="Segoe UI"/>
          <w:szCs w:val="20"/>
        </w:rPr>
      </w:pPr>
      <w:r w:rsidRPr="00422487">
        <w:rPr>
          <w:rFonts w:cs="Segoe UI"/>
          <w:szCs w:val="20"/>
        </w:rPr>
        <w:t>V sociálnej politike si vyža</w:t>
      </w:r>
      <w:r w:rsidR="00DF08D1">
        <w:rPr>
          <w:rFonts w:cs="Segoe UI"/>
          <w:szCs w:val="20"/>
        </w:rPr>
        <w:t>duje pozornosť stav v realizácii</w:t>
      </w:r>
      <w:r w:rsidRPr="00422487">
        <w:rPr>
          <w:rFonts w:cs="Segoe UI"/>
          <w:szCs w:val="20"/>
        </w:rPr>
        <w:t xml:space="preserve"> POO. Finančné prostriedky POO vo výške viac ako 39 mil. eur sa nepodarilo vyčerpať, v skutočnosti sa minulo 166 tis. eur za vypracovanie architektonických štúdií na objekty poskytovania sociálnych služieb. Dôvodom bola prebiehajúca príprava implementácie, proces </w:t>
      </w:r>
      <w:r w:rsidR="00DF08D1">
        <w:rPr>
          <w:rFonts w:cs="Segoe UI"/>
          <w:szCs w:val="20"/>
        </w:rPr>
        <w:t>VO</w:t>
      </w:r>
      <w:r w:rsidRPr="00422487">
        <w:rPr>
          <w:rFonts w:cs="Segoe UI"/>
          <w:szCs w:val="20"/>
        </w:rPr>
        <w:t xml:space="preserve"> a príprava výziev.</w:t>
      </w:r>
    </w:p>
    <w:p w14:paraId="23664DC8" w14:textId="1AFAF8E1" w:rsidR="00422487" w:rsidRDefault="00422487" w:rsidP="00422487">
      <w:pPr>
        <w:rPr>
          <w:rFonts w:cs="Segoe UI"/>
        </w:rPr>
      </w:pPr>
      <w:r w:rsidRPr="00422487">
        <w:t>Z ostatných medzirezortných podprogramov sa nepodarilo vyčerpať finančné prostriedky v  protidrogovej polit</w:t>
      </w:r>
      <w:r w:rsidR="00DF08D1">
        <w:t>ike a v hospodárskej mobilizácii</w:t>
      </w:r>
      <w:r w:rsidRPr="00422487">
        <w:t xml:space="preserve">. V prípade hospodárskej mobilizácie bol schválený rozpočet zvýšený o 1,25 mil. eur </w:t>
      </w:r>
      <w:r w:rsidR="00DF08D1">
        <w:t>cez RO</w:t>
      </w:r>
      <w:r w:rsidRPr="00422487">
        <w:rPr>
          <w:rFonts w:cs="Segoe UI"/>
        </w:rPr>
        <w:t xml:space="preserve"> na obstaranie ochranných prostriedkov a dezinfekcie pre zariadenia sociálnych služieb v súvislosti s COVID-19, pričom skutočn</w:t>
      </w:r>
      <w:r w:rsidR="00DF08D1">
        <w:rPr>
          <w:rFonts w:cs="Segoe UI"/>
        </w:rPr>
        <w:t>é čerpanie bolo 652,3 tis. eur.</w:t>
      </w:r>
    </w:p>
    <w:p w14:paraId="0BC0B6F5" w14:textId="01EAB73D" w:rsidR="00DF08D1" w:rsidRPr="00422487" w:rsidRDefault="00DF08D1" w:rsidP="00DF08D1">
      <w:pPr>
        <w:rPr>
          <w:rFonts w:eastAsia="Times New Roman" w:cs="Segoe UI"/>
          <w:color w:val="37383A"/>
          <w:szCs w:val="20"/>
          <w:lang w:eastAsia="sk-SK"/>
        </w:rPr>
      </w:pPr>
      <w:r w:rsidRPr="00422487">
        <w:rPr>
          <w:rFonts w:cs="Segoe UI"/>
          <w:szCs w:val="20"/>
        </w:rPr>
        <w:t>Na čerpanie rozpočtu mali vplyv</w:t>
      </w:r>
      <w:r>
        <w:rPr>
          <w:rFonts w:cs="Segoe UI"/>
          <w:szCs w:val="20"/>
        </w:rPr>
        <w:t xml:space="preserve"> aj</w:t>
      </w:r>
      <w:r w:rsidRPr="00422487">
        <w:rPr>
          <w:rFonts w:cs="Segoe UI"/>
          <w:szCs w:val="20"/>
        </w:rPr>
        <w:t xml:space="preserve"> viaceré legislatívne zmeny, týkajúce sa dôchodkov, podpory rodiny a sociálnych služieb. K nim pribudli legislatívne zmeny súvisiace s pandémiou COVID-19 a s hromadným prílevom cudzincov na územie SR v dôsledku ozbrojeného konfliktu na Ukrajine. </w:t>
      </w:r>
    </w:p>
    <w:p w14:paraId="1FE8B215" w14:textId="04820497" w:rsidR="008C6F2C" w:rsidRDefault="00131776" w:rsidP="005603E6">
      <w:pPr>
        <w:pStyle w:val="Nadpis3"/>
      </w:pPr>
      <w:bookmarkStart w:id="34" w:name="_Toc136418407"/>
      <w:r>
        <w:t xml:space="preserve">4.3.1 </w:t>
      </w:r>
      <w:r w:rsidR="00422487">
        <w:t>Výdavky na COVID-19 a</w:t>
      </w:r>
      <w:r w:rsidR="008C6F2C">
        <w:t> </w:t>
      </w:r>
      <w:r w:rsidR="00422487">
        <w:t>Ukrajinu</w:t>
      </w:r>
      <w:bookmarkEnd w:id="34"/>
    </w:p>
    <w:p w14:paraId="2A3E6960" w14:textId="407D6F29" w:rsidR="008C6F2C" w:rsidRPr="008C6F2C" w:rsidRDefault="008C6F2C" w:rsidP="00F467D9">
      <w:r w:rsidRPr="008C6F2C">
        <w:t>Pretrvávajúce výdavky na COVID-19 a výdavky na podporu Ukrajiny sa minuli predovšetkým z program</w:t>
      </w:r>
      <w:r w:rsidR="00DF08D1">
        <w:t>ov</w:t>
      </w:r>
      <w:r w:rsidRPr="008C6F2C">
        <w:t xml:space="preserve"> sociálna inklúzia a </w:t>
      </w:r>
      <w:r w:rsidR="00DF08D1">
        <w:t>ľ</w:t>
      </w:r>
      <w:r w:rsidRPr="008C6F2C">
        <w:t>udské zdroje.</w:t>
      </w:r>
    </w:p>
    <w:p w14:paraId="5CC4B399" w14:textId="77777777" w:rsidR="00642FF1" w:rsidRPr="008C6F2C" w:rsidRDefault="00642FF1" w:rsidP="00642FF1">
      <w:r w:rsidRPr="008C6F2C">
        <w:t>Celkové covid výdavky sa vyčerpali v sume 407</w:t>
      </w:r>
      <w:r>
        <w:t>,3</w:t>
      </w:r>
      <w:r w:rsidRPr="008C6F2C">
        <w:t xml:space="preserve"> </w:t>
      </w:r>
      <w:r>
        <w:t>mil</w:t>
      </w:r>
      <w:r w:rsidRPr="008C6F2C">
        <w:t>. eur, z nich najviac sa využilo v projekte Prvá pomoc (278</w:t>
      </w:r>
      <w:r>
        <w:t>,</w:t>
      </w:r>
      <w:r w:rsidRPr="008C6F2C">
        <w:t>1</w:t>
      </w:r>
      <w:r>
        <w:t xml:space="preserve"> mil</w:t>
      </w:r>
      <w:r w:rsidRPr="008C6F2C">
        <w:t>. eur). V programe sociálna inklúzia (125</w:t>
      </w:r>
      <w:r>
        <w:t>,</w:t>
      </w:r>
      <w:r w:rsidRPr="008C6F2C">
        <w:t xml:space="preserve">5 </w:t>
      </w:r>
      <w:r>
        <w:t>mil.</w:t>
      </w:r>
      <w:r w:rsidRPr="008C6F2C">
        <w:t xml:space="preserve"> eur) dominovala inflačná pomoc v rámci tzv. 1. a 2. inflačného balíčka v čiastke 100</w:t>
      </w:r>
      <w:r>
        <w:t>,</w:t>
      </w:r>
      <w:r w:rsidRPr="008C6F2C">
        <w:t xml:space="preserve">4 </w:t>
      </w:r>
      <w:r>
        <w:t>mil</w:t>
      </w:r>
      <w:r w:rsidRPr="008C6F2C">
        <w:t>. eur a dotácia na podporu humanitárnej pomoci pre právnické osoby vo výške 14</w:t>
      </w:r>
      <w:r>
        <w:t>,5</w:t>
      </w:r>
      <w:r w:rsidRPr="008C6F2C">
        <w:t xml:space="preserve"> </w:t>
      </w:r>
      <w:r>
        <w:t>mil</w:t>
      </w:r>
      <w:r w:rsidRPr="008C6F2C">
        <w:t>. eur (</w:t>
      </w:r>
      <w:r w:rsidRPr="00EC2651">
        <w:t xml:space="preserve">tabuľka </w:t>
      </w:r>
      <w:r>
        <w:t>14</w:t>
      </w:r>
      <w:r w:rsidRPr="008C6F2C">
        <w:t>). Najväčšou položkou bolo jednorazové zvýšenie prídavku na dieťa o 74,12 eur na 100 eur za mesiac máj (83</w:t>
      </w:r>
      <w:r>
        <w:t>,</w:t>
      </w:r>
      <w:r w:rsidRPr="008C6F2C">
        <w:t xml:space="preserve">8 </w:t>
      </w:r>
      <w:r>
        <w:t>mil</w:t>
      </w:r>
      <w:r w:rsidRPr="008C6F2C">
        <w:t>. eur) a v rámci humanitárnej pomoci dotácia na mimoriadne odmeny pre zamestnancov neverejných poskytovateľov sociálnych služieb a zariadení sociálnoprávnej ochrany detí a sociálnej kurately, ktorým sa vyplatilo 8</w:t>
      </w:r>
      <w:r>
        <w:t>,3</w:t>
      </w:r>
      <w:r w:rsidRPr="008C6F2C">
        <w:t xml:space="preserve"> </w:t>
      </w:r>
      <w:r>
        <w:t>mil</w:t>
      </w:r>
      <w:r w:rsidRPr="008C6F2C">
        <w:t xml:space="preserve">. eur. </w:t>
      </w:r>
    </w:p>
    <w:p w14:paraId="14490A49" w14:textId="09243159" w:rsidR="009E461F" w:rsidRPr="008C6F2C" w:rsidRDefault="009E461F" w:rsidP="009E461F">
      <w:pPr>
        <w:keepNext/>
        <w:spacing w:after="0" w:line="240" w:lineRule="auto"/>
        <w:rPr>
          <w:b/>
          <w:iCs/>
          <w:color w:val="314364" w:themeColor="text2"/>
          <w:szCs w:val="18"/>
        </w:rPr>
      </w:pPr>
      <w:r w:rsidRPr="008C6F2C">
        <w:rPr>
          <w:b/>
          <w:iCs/>
          <w:color w:val="314364" w:themeColor="text2"/>
          <w:szCs w:val="18"/>
        </w:rPr>
        <w:t xml:space="preserve">Tabuľka </w:t>
      </w:r>
      <w:r>
        <w:rPr>
          <w:b/>
          <w:iCs/>
          <w:color w:val="314364" w:themeColor="text2"/>
          <w:szCs w:val="18"/>
        </w:rPr>
        <w:t>14</w:t>
      </w:r>
      <w:r w:rsidRPr="008C6F2C">
        <w:rPr>
          <w:b/>
          <w:iCs/>
          <w:color w:val="314364" w:themeColor="text2"/>
          <w:szCs w:val="18"/>
        </w:rPr>
        <w:t>: Výdavky kapitoly MPSVR SR</w:t>
      </w:r>
      <w:r w:rsidR="00BA45B8">
        <w:rPr>
          <w:b/>
          <w:iCs/>
          <w:color w:val="314364" w:themeColor="text2"/>
          <w:szCs w:val="18"/>
        </w:rPr>
        <w:t>,</w:t>
      </w:r>
      <w:r w:rsidRPr="008C6F2C">
        <w:rPr>
          <w:b/>
          <w:iCs/>
          <w:color w:val="314364" w:themeColor="text2"/>
          <w:szCs w:val="18"/>
        </w:rPr>
        <w:t xml:space="preserve"> súvisiace s opatreniami prijatými na zmiernenie negatívnych následkov COVID-19 (v tis. eur)</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1702"/>
        <w:gridCol w:w="6378"/>
        <w:gridCol w:w="990"/>
      </w:tblGrid>
      <w:tr w:rsidR="009E461F" w:rsidRPr="008C6F2C" w14:paraId="6E450E51" w14:textId="77777777" w:rsidTr="00C119D8">
        <w:trPr>
          <w:trHeight w:val="255"/>
        </w:trPr>
        <w:tc>
          <w:tcPr>
            <w:tcW w:w="938" w:type="pct"/>
            <w:tcBorders>
              <w:bottom w:val="single" w:sz="4" w:space="0" w:color="314364"/>
            </w:tcBorders>
            <w:shd w:val="clear" w:color="auto" w:fill="314364"/>
            <w:vAlign w:val="center"/>
          </w:tcPr>
          <w:p w14:paraId="511C3EE0" w14:textId="77777777" w:rsidR="009E461F" w:rsidRPr="008C6F2C" w:rsidRDefault="009E461F" w:rsidP="00C119D8">
            <w:pPr>
              <w:spacing w:after="0" w:line="259" w:lineRule="auto"/>
              <w:jc w:val="left"/>
              <w:rPr>
                <w:b/>
                <w:color w:val="FFFFFF" w:themeColor="background1"/>
                <w:sz w:val="18"/>
              </w:rPr>
            </w:pPr>
            <w:r w:rsidRPr="008C6F2C">
              <w:rPr>
                <w:b/>
                <w:color w:val="FFFFFF" w:themeColor="background1"/>
                <w:sz w:val="18"/>
              </w:rPr>
              <w:t>Kód programovej štruktúry</w:t>
            </w:r>
          </w:p>
        </w:tc>
        <w:tc>
          <w:tcPr>
            <w:tcW w:w="3516" w:type="pct"/>
            <w:tcBorders>
              <w:bottom w:val="single" w:sz="4" w:space="0" w:color="314364"/>
            </w:tcBorders>
            <w:shd w:val="clear" w:color="auto" w:fill="314364"/>
            <w:vAlign w:val="center"/>
          </w:tcPr>
          <w:p w14:paraId="43A50598" w14:textId="77777777" w:rsidR="009E461F" w:rsidRPr="008C6F2C" w:rsidRDefault="009E461F" w:rsidP="00C119D8">
            <w:pPr>
              <w:spacing w:after="0" w:line="259" w:lineRule="auto"/>
              <w:jc w:val="left"/>
              <w:rPr>
                <w:b/>
                <w:color w:val="FFFFFF" w:themeColor="background1"/>
                <w:sz w:val="18"/>
              </w:rPr>
            </w:pPr>
            <w:r w:rsidRPr="008C6F2C">
              <w:rPr>
                <w:b/>
                <w:color w:val="FFFFFF" w:themeColor="background1"/>
                <w:sz w:val="18"/>
              </w:rPr>
              <w:t>Opatrenie</w:t>
            </w:r>
          </w:p>
        </w:tc>
        <w:tc>
          <w:tcPr>
            <w:tcW w:w="546" w:type="pct"/>
            <w:tcBorders>
              <w:bottom w:val="single" w:sz="4" w:space="0" w:color="314364"/>
            </w:tcBorders>
            <w:shd w:val="clear" w:color="auto" w:fill="314364"/>
            <w:vAlign w:val="center"/>
          </w:tcPr>
          <w:p w14:paraId="2CD4797A" w14:textId="77777777" w:rsidR="009E461F" w:rsidRPr="008C6F2C" w:rsidRDefault="009E461F" w:rsidP="00C119D8">
            <w:pPr>
              <w:spacing w:after="0" w:line="259" w:lineRule="auto"/>
              <w:jc w:val="right"/>
              <w:rPr>
                <w:b/>
                <w:color w:val="FFFFFF" w:themeColor="background1"/>
                <w:sz w:val="18"/>
              </w:rPr>
            </w:pPr>
            <w:r w:rsidRPr="008C6F2C">
              <w:rPr>
                <w:b/>
                <w:color w:val="FFFFFF" w:themeColor="background1"/>
                <w:sz w:val="18"/>
              </w:rPr>
              <w:t>Suma</w:t>
            </w:r>
          </w:p>
        </w:tc>
      </w:tr>
      <w:tr w:rsidR="009E461F" w:rsidRPr="008C6F2C" w14:paraId="368A70A1" w14:textId="77777777" w:rsidTr="00C119D8">
        <w:trPr>
          <w:trHeight w:val="255"/>
        </w:trPr>
        <w:tc>
          <w:tcPr>
            <w:tcW w:w="938" w:type="pct"/>
            <w:tcBorders>
              <w:top w:val="single" w:sz="4" w:space="0" w:color="314364"/>
            </w:tcBorders>
            <w:vAlign w:val="center"/>
          </w:tcPr>
          <w:p w14:paraId="6A4320D3"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06G0404</w:t>
            </w:r>
          </w:p>
        </w:tc>
        <w:tc>
          <w:tcPr>
            <w:tcW w:w="3516" w:type="pct"/>
            <w:tcBorders>
              <w:top w:val="single" w:sz="4" w:space="0" w:color="314364"/>
            </w:tcBorders>
            <w:vAlign w:val="center"/>
          </w:tcPr>
          <w:p w14:paraId="2C4F31F8"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Projekt Prvá pomoc</w:t>
            </w:r>
          </w:p>
        </w:tc>
        <w:tc>
          <w:tcPr>
            <w:tcW w:w="546" w:type="pct"/>
            <w:tcBorders>
              <w:top w:val="single" w:sz="4" w:space="0" w:color="314364"/>
            </w:tcBorders>
            <w:vAlign w:val="center"/>
          </w:tcPr>
          <w:p w14:paraId="753CBF79" w14:textId="77777777" w:rsidR="009E461F" w:rsidRPr="008C6F2C" w:rsidRDefault="009E461F" w:rsidP="00C119D8">
            <w:pPr>
              <w:spacing w:after="0" w:line="259" w:lineRule="auto"/>
              <w:jc w:val="right"/>
              <w:rPr>
                <w:sz w:val="18"/>
              </w:rPr>
            </w:pPr>
            <w:r w:rsidRPr="008C6F2C">
              <w:rPr>
                <w:sz w:val="18"/>
              </w:rPr>
              <w:t>278 130</w:t>
            </w:r>
          </w:p>
        </w:tc>
      </w:tr>
      <w:tr w:rsidR="009E461F" w:rsidRPr="008C6F2C" w14:paraId="5FC45144" w14:textId="77777777" w:rsidTr="00C119D8">
        <w:trPr>
          <w:trHeight w:val="255"/>
        </w:trPr>
        <w:tc>
          <w:tcPr>
            <w:tcW w:w="938" w:type="pct"/>
            <w:vAlign w:val="center"/>
          </w:tcPr>
          <w:p w14:paraId="780FAB13"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06G0404</w:t>
            </w:r>
          </w:p>
        </w:tc>
        <w:tc>
          <w:tcPr>
            <w:tcW w:w="3516" w:type="pct"/>
            <w:vAlign w:val="center"/>
          </w:tcPr>
          <w:p w14:paraId="0C22E8E6"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Projekt na podporu udržania pracovných miest SZČO</w:t>
            </w:r>
          </w:p>
        </w:tc>
        <w:tc>
          <w:tcPr>
            <w:tcW w:w="546" w:type="pct"/>
            <w:vAlign w:val="center"/>
          </w:tcPr>
          <w:p w14:paraId="324D6FBC" w14:textId="77777777" w:rsidR="009E461F" w:rsidRPr="008C6F2C" w:rsidRDefault="009E461F" w:rsidP="00C119D8">
            <w:pPr>
              <w:spacing w:after="0" w:line="259" w:lineRule="auto"/>
              <w:jc w:val="right"/>
              <w:rPr>
                <w:sz w:val="18"/>
              </w:rPr>
            </w:pPr>
            <w:r w:rsidRPr="008C6F2C">
              <w:rPr>
                <w:sz w:val="18"/>
              </w:rPr>
              <w:t>2 820</w:t>
            </w:r>
          </w:p>
        </w:tc>
      </w:tr>
      <w:tr w:rsidR="009E461F" w:rsidRPr="008C6F2C" w14:paraId="013171A6" w14:textId="77777777" w:rsidTr="00C119D8">
        <w:trPr>
          <w:trHeight w:val="255"/>
        </w:trPr>
        <w:tc>
          <w:tcPr>
            <w:tcW w:w="938" w:type="pct"/>
            <w:vAlign w:val="center"/>
          </w:tcPr>
          <w:p w14:paraId="096E92F8" w14:textId="77777777" w:rsidR="009E461F" w:rsidRPr="008C6F2C" w:rsidRDefault="009E461F" w:rsidP="00C119D8">
            <w:pPr>
              <w:spacing w:after="0" w:line="259" w:lineRule="auto"/>
              <w:jc w:val="left"/>
              <w:rPr>
                <w:rFonts w:eastAsia="Times New Roman" w:cs="Segoe UI"/>
                <w:color w:val="000000"/>
                <w:sz w:val="18"/>
                <w:szCs w:val="18"/>
                <w:lang w:eastAsia="sk-SK"/>
              </w:rPr>
            </w:pPr>
            <w:r w:rsidRPr="008C6F2C">
              <w:rPr>
                <w:rFonts w:eastAsia="Times New Roman" w:cs="Segoe UI"/>
                <w:color w:val="000000"/>
                <w:sz w:val="18"/>
                <w:szCs w:val="18"/>
                <w:lang w:eastAsia="sk-SK"/>
              </w:rPr>
              <w:t>06G1S05</w:t>
            </w:r>
          </w:p>
          <w:p w14:paraId="7208F1D5" w14:textId="77777777" w:rsidR="009E461F" w:rsidRPr="008C6F2C" w:rsidRDefault="009E461F" w:rsidP="00C119D8">
            <w:pPr>
              <w:spacing w:after="0" w:line="259" w:lineRule="auto"/>
              <w:jc w:val="left"/>
              <w:rPr>
                <w:rFonts w:eastAsia="Times New Roman" w:cs="Segoe UI"/>
                <w:color w:val="000000"/>
                <w:sz w:val="18"/>
                <w:szCs w:val="18"/>
                <w:lang w:eastAsia="sk-SK"/>
              </w:rPr>
            </w:pPr>
          </w:p>
          <w:p w14:paraId="5C326BFE"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07C</w:t>
            </w:r>
          </w:p>
        </w:tc>
        <w:tc>
          <w:tcPr>
            <w:tcW w:w="3516" w:type="pct"/>
            <w:vAlign w:val="center"/>
          </w:tcPr>
          <w:p w14:paraId="1565D39B" w14:textId="77777777" w:rsidR="009E461F" w:rsidRPr="008C6F2C" w:rsidRDefault="009E461F" w:rsidP="00C119D8">
            <w:pPr>
              <w:spacing w:after="0" w:line="259" w:lineRule="auto"/>
              <w:jc w:val="left"/>
              <w:rPr>
                <w:rFonts w:eastAsia="Times New Roman" w:cs="Segoe UI"/>
                <w:color w:val="000000"/>
                <w:sz w:val="18"/>
                <w:szCs w:val="18"/>
                <w:lang w:eastAsia="sk-SK"/>
              </w:rPr>
            </w:pPr>
            <w:r w:rsidRPr="008C6F2C">
              <w:rPr>
                <w:rFonts w:eastAsia="Times New Roman" w:cs="Segoe UI"/>
                <w:color w:val="000000"/>
                <w:sz w:val="18"/>
                <w:szCs w:val="18"/>
                <w:lang w:eastAsia="sk-SK"/>
              </w:rPr>
              <w:t>Dotácia na odmeny v 1. línii pre poskytovateľov soc. služieb a sociálnoprávnej ochrany detí a soc. kurately</w:t>
            </w:r>
          </w:p>
          <w:p w14:paraId="7E739D19"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Sociálna inklúzia</w:t>
            </w:r>
          </w:p>
        </w:tc>
        <w:tc>
          <w:tcPr>
            <w:tcW w:w="546" w:type="pct"/>
            <w:vAlign w:val="center"/>
          </w:tcPr>
          <w:p w14:paraId="345EC656" w14:textId="77777777" w:rsidR="009E461F" w:rsidRPr="008C6F2C" w:rsidRDefault="009E461F" w:rsidP="00C119D8">
            <w:pPr>
              <w:spacing w:after="0" w:line="259" w:lineRule="auto"/>
              <w:jc w:val="right"/>
              <w:rPr>
                <w:sz w:val="18"/>
              </w:rPr>
            </w:pPr>
            <w:r w:rsidRPr="008C6F2C">
              <w:rPr>
                <w:sz w:val="18"/>
              </w:rPr>
              <w:t>168</w:t>
            </w:r>
          </w:p>
          <w:p w14:paraId="32EBADA1" w14:textId="77777777" w:rsidR="009E461F" w:rsidRPr="008C6F2C" w:rsidRDefault="009E461F" w:rsidP="00C119D8">
            <w:pPr>
              <w:spacing w:after="0" w:line="259" w:lineRule="auto"/>
              <w:jc w:val="right"/>
              <w:rPr>
                <w:sz w:val="18"/>
              </w:rPr>
            </w:pPr>
          </w:p>
          <w:p w14:paraId="1670D1E8" w14:textId="77777777" w:rsidR="009E461F" w:rsidRPr="008C6F2C" w:rsidRDefault="009E461F" w:rsidP="00C119D8">
            <w:pPr>
              <w:spacing w:after="0" w:line="259" w:lineRule="auto"/>
              <w:jc w:val="right"/>
              <w:rPr>
                <w:sz w:val="18"/>
              </w:rPr>
            </w:pPr>
            <w:r w:rsidRPr="008C6F2C">
              <w:rPr>
                <w:sz w:val="18"/>
              </w:rPr>
              <w:t>125 521</w:t>
            </w:r>
          </w:p>
        </w:tc>
      </w:tr>
      <w:tr w:rsidR="009E461F" w:rsidRPr="008C6F2C" w14:paraId="183A1EC4" w14:textId="77777777" w:rsidTr="00C119D8">
        <w:trPr>
          <w:trHeight w:val="255"/>
        </w:trPr>
        <w:tc>
          <w:tcPr>
            <w:tcW w:w="938" w:type="pct"/>
            <w:vAlign w:val="center"/>
          </w:tcPr>
          <w:p w14:paraId="60E1A1E7"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06H09</w:t>
            </w:r>
          </w:p>
        </w:tc>
        <w:tc>
          <w:tcPr>
            <w:tcW w:w="3516" w:type="pct"/>
            <w:vAlign w:val="center"/>
          </w:tcPr>
          <w:p w14:paraId="4B0D0864" w14:textId="77777777" w:rsidR="009E461F" w:rsidRPr="008C6F2C" w:rsidRDefault="009E461F" w:rsidP="00C119D8">
            <w:pPr>
              <w:spacing w:after="0" w:line="259" w:lineRule="auto"/>
              <w:jc w:val="left"/>
              <w:rPr>
                <w:sz w:val="18"/>
              </w:rPr>
            </w:pPr>
            <w:r w:rsidRPr="008C6F2C">
              <w:rPr>
                <w:rFonts w:eastAsia="Times New Roman" w:cs="Segoe UI"/>
                <w:color w:val="000000"/>
                <w:sz w:val="18"/>
                <w:szCs w:val="18"/>
                <w:lang w:eastAsia="sk-SK"/>
              </w:rPr>
              <w:t>Nákup materiálového vybavenia pre poskytovateľov sociálnych služieb</w:t>
            </w:r>
          </w:p>
        </w:tc>
        <w:tc>
          <w:tcPr>
            <w:tcW w:w="546" w:type="pct"/>
            <w:vAlign w:val="center"/>
          </w:tcPr>
          <w:p w14:paraId="4E07B1BB" w14:textId="77777777" w:rsidR="009E461F" w:rsidRPr="008C6F2C" w:rsidRDefault="009E461F" w:rsidP="00C119D8">
            <w:pPr>
              <w:spacing w:after="0" w:line="259" w:lineRule="auto"/>
              <w:jc w:val="right"/>
              <w:rPr>
                <w:sz w:val="18"/>
              </w:rPr>
            </w:pPr>
            <w:r w:rsidRPr="008C6F2C">
              <w:rPr>
                <w:sz w:val="18"/>
              </w:rPr>
              <w:t>615</w:t>
            </w:r>
          </w:p>
        </w:tc>
      </w:tr>
      <w:tr w:rsidR="009E461F" w:rsidRPr="008C6F2C" w14:paraId="04193459" w14:textId="77777777" w:rsidTr="00C119D8">
        <w:trPr>
          <w:trHeight w:val="255"/>
        </w:trPr>
        <w:tc>
          <w:tcPr>
            <w:tcW w:w="938" w:type="pct"/>
            <w:tcBorders>
              <w:bottom w:val="single" w:sz="4" w:space="0" w:color="314364" w:themeColor="text2"/>
            </w:tcBorders>
            <w:vAlign w:val="center"/>
          </w:tcPr>
          <w:p w14:paraId="08BAF1CA" w14:textId="77777777" w:rsidR="009E461F" w:rsidRPr="008C6F2C" w:rsidRDefault="009E461F" w:rsidP="00C119D8">
            <w:pPr>
              <w:spacing w:after="0" w:line="259" w:lineRule="auto"/>
              <w:jc w:val="left"/>
              <w:rPr>
                <w:sz w:val="18"/>
              </w:rPr>
            </w:pPr>
          </w:p>
        </w:tc>
        <w:tc>
          <w:tcPr>
            <w:tcW w:w="3516" w:type="pct"/>
            <w:tcBorders>
              <w:bottom w:val="single" w:sz="4" w:space="0" w:color="314364" w:themeColor="text2"/>
            </w:tcBorders>
            <w:vAlign w:val="center"/>
          </w:tcPr>
          <w:p w14:paraId="06DA88C9" w14:textId="77777777" w:rsidR="009E461F" w:rsidRPr="008C6F2C" w:rsidRDefault="009E461F" w:rsidP="00C119D8">
            <w:pPr>
              <w:spacing w:after="0" w:line="259" w:lineRule="auto"/>
              <w:jc w:val="left"/>
              <w:rPr>
                <w:b/>
                <w:sz w:val="18"/>
              </w:rPr>
            </w:pPr>
            <w:r w:rsidRPr="008C6F2C">
              <w:rPr>
                <w:b/>
                <w:sz w:val="18"/>
              </w:rPr>
              <w:t>Spolu</w:t>
            </w:r>
          </w:p>
        </w:tc>
        <w:tc>
          <w:tcPr>
            <w:tcW w:w="546" w:type="pct"/>
            <w:tcBorders>
              <w:bottom w:val="single" w:sz="4" w:space="0" w:color="314364" w:themeColor="text2"/>
            </w:tcBorders>
            <w:vAlign w:val="center"/>
          </w:tcPr>
          <w:p w14:paraId="08BE358E" w14:textId="77777777" w:rsidR="009E461F" w:rsidRPr="008C6F2C" w:rsidRDefault="009E461F" w:rsidP="00C119D8">
            <w:pPr>
              <w:spacing w:after="0" w:line="259" w:lineRule="auto"/>
              <w:jc w:val="right"/>
              <w:rPr>
                <w:b/>
                <w:sz w:val="18"/>
              </w:rPr>
            </w:pPr>
            <w:r w:rsidRPr="008C6F2C">
              <w:rPr>
                <w:b/>
                <w:sz w:val="18"/>
              </w:rPr>
              <w:t> 407 254</w:t>
            </w:r>
          </w:p>
        </w:tc>
      </w:tr>
    </w:tbl>
    <w:p w14:paraId="53DA2C94" w14:textId="47019858" w:rsidR="008C6F2C" w:rsidRPr="008C6F2C" w:rsidRDefault="008C6F2C" w:rsidP="0035229D">
      <w:pPr>
        <w:pStyle w:val="Zdroj"/>
      </w:pPr>
      <w:r w:rsidRPr="008C6F2C">
        <w:t>Zdroj: MPSVR SR</w:t>
      </w:r>
      <w:r w:rsidR="0024233A">
        <w:t>.</w:t>
      </w:r>
    </w:p>
    <w:p w14:paraId="235B67EC" w14:textId="77777777" w:rsidR="00642FF1" w:rsidRPr="00DF08D1" w:rsidRDefault="00642FF1" w:rsidP="00642FF1">
      <w:r w:rsidRPr="00DF08D1">
        <w:t xml:space="preserve">Rozpočtované výdavky na Ukrajinu sa neminuli všetky, zo 16,8 mil. eur sa využilo 82,6 %. Najviac sa na tom podieľali výdavky programu sociálna inklúzia 64,7 % a ľudské zdroje 27,2 % (tabuľka 15). Dominoval podprogram pomoc v hmotnej núdzi, kam smerovalo až 95 % výdavkov sociálnej inklúzie a 61,4 % z celkových výdavkov na Ukrajinu. Odídencom z Ukrajiny sa poskytli sociálne dávky a príspevky v celkovej sume 8,7 mil. eur, z toho dávky v hmotnej núdzi, dotácie na stravu a na školské potreby pre deti v čiastke 8,5 mil. eur a ostatné príspevky na starostlivosť o dieťa a na náhradnú rodinnú starostlivosť </w:t>
      </w:r>
      <w:r w:rsidRPr="00DF08D1">
        <w:lastRenderedPageBreak/>
        <w:t xml:space="preserve">v sume 120,9 tis. eur. </w:t>
      </w:r>
      <w:r>
        <w:t>T</w:t>
      </w:r>
      <w:r w:rsidRPr="00DF08D1">
        <w:t>akmer 40 % výdavkov na Ukrajinu sa vyčerpalo v mesiacoch apríl a máj 2022</w:t>
      </w:r>
      <w:r w:rsidRPr="00DF08D1">
        <w:rPr>
          <w:rStyle w:val="Odkaznapoznmkupodiarou"/>
        </w:rPr>
        <w:footnoteReference w:id="36"/>
      </w:r>
      <w:r w:rsidRPr="00DF08D1">
        <w:t>, potom sa ich objem znížil a ich opätovný nárast nastal v posledných troch mesiacoch roka (graf 28).</w:t>
      </w:r>
    </w:p>
    <w:p w14:paraId="6895623F" w14:textId="0F13CFB7" w:rsidR="00376C8E" w:rsidRPr="008C6F2C" w:rsidRDefault="00376C8E" w:rsidP="00376C8E">
      <w:pPr>
        <w:keepNext/>
        <w:spacing w:after="0" w:line="240" w:lineRule="auto"/>
        <w:rPr>
          <w:b/>
          <w:iCs/>
          <w:color w:val="314364" w:themeColor="text2"/>
          <w:szCs w:val="18"/>
        </w:rPr>
      </w:pPr>
      <w:r w:rsidRPr="008C6F2C">
        <w:rPr>
          <w:b/>
          <w:iCs/>
          <w:color w:val="314364" w:themeColor="text2"/>
          <w:szCs w:val="18"/>
        </w:rPr>
        <w:t xml:space="preserve">Tabuľka </w:t>
      </w:r>
      <w:r>
        <w:rPr>
          <w:b/>
          <w:iCs/>
          <w:color w:val="314364" w:themeColor="text2"/>
          <w:szCs w:val="18"/>
        </w:rPr>
        <w:t>15</w:t>
      </w:r>
      <w:r w:rsidRPr="008C6F2C">
        <w:rPr>
          <w:b/>
          <w:iCs/>
          <w:color w:val="314364" w:themeColor="text2"/>
          <w:szCs w:val="18"/>
        </w:rPr>
        <w:t>: Výdavk</w:t>
      </w:r>
      <w:r w:rsidR="00EC2651">
        <w:rPr>
          <w:b/>
          <w:iCs/>
          <w:color w:val="314364" w:themeColor="text2"/>
          <w:szCs w:val="18"/>
        </w:rPr>
        <w:t>y kapitoly MPSVR SR na Ukrajinu</w:t>
      </w:r>
    </w:p>
    <w:tbl>
      <w:tblPr>
        <w:tblpPr w:leftFromText="141" w:rightFromText="141" w:vertAnchor="text" w:horzAnchor="margin" w:tblpXSpec="right" w:tblpY="118"/>
        <w:tblOverlap w:val="never"/>
        <w:tblW w:w="5000" w:type="pct"/>
        <w:tblCellMar>
          <w:top w:w="28" w:type="dxa"/>
        </w:tblCellMar>
        <w:tblLook w:val="04A0" w:firstRow="1" w:lastRow="0" w:firstColumn="1" w:lastColumn="0" w:noHBand="0" w:noVBand="1"/>
      </w:tblPr>
      <w:tblGrid>
        <w:gridCol w:w="4254"/>
        <w:gridCol w:w="3401"/>
        <w:gridCol w:w="1415"/>
      </w:tblGrid>
      <w:tr w:rsidR="00376C8E" w:rsidRPr="008C6F2C" w14:paraId="5604AA33" w14:textId="77777777" w:rsidTr="00C119D8">
        <w:trPr>
          <w:trHeight w:val="255"/>
        </w:trPr>
        <w:tc>
          <w:tcPr>
            <w:tcW w:w="2345" w:type="pct"/>
            <w:tcBorders>
              <w:bottom w:val="single" w:sz="4" w:space="0" w:color="314364"/>
            </w:tcBorders>
            <w:shd w:val="clear" w:color="auto" w:fill="314364"/>
            <w:vAlign w:val="center"/>
          </w:tcPr>
          <w:p w14:paraId="45E6FEF3" w14:textId="77777777" w:rsidR="00376C8E" w:rsidRPr="008C6F2C" w:rsidRDefault="00376C8E" w:rsidP="00C119D8">
            <w:pPr>
              <w:spacing w:after="0" w:line="259" w:lineRule="auto"/>
              <w:jc w:val="left"/>
              <w:rPr>
                <w:b/>
                <w:color w:val="FFFFFF" w:themeColor="background1"/>
                <w:sz w:val="18"/>
              </w:rPr>
            </w:pPr>
            <w:r w:rsidRPr="008C6F2C">
              <w:rPr>
                <w:b/>
                <w:color w:val="FFFFFF" w:themeColor="background1"/>
                <w:sz w:val="18"/>
              </w:rPr>
              <w:t>Program</w:t>
            </w:r>
          </w:p>
        </w:tc>
        <w:tc>
          <w:tcPr>
            <w:tcW w:w="1875" w:type="pct"/>
            <w:tcBorders>
              <w:bottom w:val="single" w:sz="4" w:space="0" w:color="314364"/>
            </w:tcBorders>
            <w:shd w:val="clear" w:color="auto" w:fill="314364"/>
          </w:tcPr>
          <w:p w14:paraId="49CF97FA" w14:textId="028C8CAD" w:rsidR="00376C8E" w:rsidRPr="008C6F2C" w:rsidRDefault="00376C8E" w:rsidP="00EC2651">
            <w:pPr>
              <w:spacing w:after="0" w:line="259" w:lineRule="auto"/>
              <w:jc w:val="center"/>
              <w:rPr>
                <w:b/>
                <w:color w:val="FFFFFF" w:themeColor="background1"/>
                <w:sz w:val="18"/>
              </w:rPr>
            </w:pPr>
            <w:r w:rsidRPr="008C6F2C">
              <w:rPr>
                <w:b/>
                <w:color w:val="FFFFFF" w:themeColor="background1"/>
                <w:sz w:val="18"/>
              </w:rPr>
              <w:t>Výdavky na Ukrajinu</w:t>
            </w:r>
            <w:r w:rsidR="00EC2651">
              <w:rPr>
                <w:b/>
                <w:color w:val="FFFFFF" w:themeColor="background1"/>
                <w:sz w:val="18"/>
              </w:rPr>
              <w:t xml:space="preserve"> (tis. eur)</w:t>
            </w:r>
          </w:p>
        </w:tc>
        <w:tc>
          <w:tcPr>
            <w:tcW w:w="780" w:type="pct"/>
            <w:tcBorders>
              <w:bottom w:val="single" w:sz="4" w:space="0" w:color="314364"/>
            </w:tcBorders>
            <w:shd w:val="clear" w:color="auto" w:fill="314364"/>
            <w:vAlign w:val="center"/>
          </w:tcPr>
          <w:p w14:paraId="3C063AA5" w14:textId="14C53A3B" w:rsidR="00376C8E" w:rsidRPr="008C6F2C" w:rsidRDefault="00EC2651" w:rsidP="00C119D8">
            <w:pPr>
              <w:spacing w:after="0" w:line="259" w:lineRule="auto"/>
              <w:jc w:val="right"/>
              <w:rPr>
                <w:b/>
                <w:color w:val="FFFFFF" w:themeColor="background1"/>
                <w:sz w:val="18"/>
              </w:rPr>
            </w:pPr>
            <w:r w:rsidRPr="008C6F2C">
              <w:rPr>
                <w:b/>
                <w:color w:val="FFFFFF" w:themeColor="background1"/>
                <w:sz w:val="18"/>
              </w:rPr>
              <w:t>P</w:t>
            </w:r>
            <w:r w:rsidR="00376C8E" w:rsidRPr="008C6F2C">
              <w:rPr>
                <w:b/>
                <w:color w:val="FFFFFF" w:themeColor="background1"/>
                <w:sz w:val="18"/>
              </w:rPr>
              <w:t>odiel</w:t>
            </w:r>
            <w:r>
              <w:rPr>
                <w:b/>
                <w:color w:val="FFFFFF" w:themeColor="background1"/>
                <w:sz w:val="18"/>
              </w:rPr>
              <w:t xml:space="preserve"> (%)</w:t>
            </w:r>
          </w:p>
        </w:tc>
      </w:tr>
      <w:tr w:rsidR="00376C8E" w:rsidRPr="008C6F2C" w14:paraId="1CE4C1C1" w14:textId="77777777" w:rsidTr="00C119D8">
        <w:trPr>
          <w:trHeight w:val="255"/>
        </w:trPr>
        <w:tc>
          <w:tcPr>
            <w:tcW w:w="2345" w:type="pct"/>
            <w:tcBorders>
              <w:top w:val="single" w:sz="4" w:space="0" w:color="314364"/>
            </w:tcBorders>
            <w:vAlign w:val="center"/>
          </w:tcPr>
          <w:p w14:paraId="0C0253B4" w14:textId="77777777" w:rsidR="00376C8E" w:rsidRPr="008C6F2C" w:rsidRDefault="00376C8E" w:rsidP="00C119D8">
            <w:pPr>
              <w:spacing w:after="0" w:line="259" w:lineRule="auto"/>
              <w:jc w:val="left"/>
              <w:rPr>
                <w:sz w:val="18"/>
              </w:rPr>
            </w:pPr>
            <w:r w:rsidRPr="008C6F2C">
              <w:rPr>
                <w:sz w:val="18"/>
              </w:rPr>
              <w:t>Ľudské zdroje</w:t>
            </w:r>
          </w:p>
        </w:tc>
        <w:tc>
          <w:tcPr>
            <w:tcW w:w="1875" w:type="pct"/>
            <w:tcBorders>
              <w:top w:val="single" w:sz="4" w:space="0" w:color="314364"/>
            </w:tcBorders>
          </w:tcPr>
          <w:p w14:paraId="5051C674" w14:textId="77777777" w:rsidR="00376C8E" w:rsidRPr="008C6F2C" w:rsidRDefault="00376C8E" w:rsidP="00C119D8">
            <w:pPr>
              <w:spacing w:after="0" w:line="259" w:lineRule="auto"/>
              <w:jc w:val="right"/>
              <w:rPr>
                <w:sz w:val="18"/>
              </w:rPr>
            </w:pPr>
            <w:r w:rsidRPr="008C6F2C">
              <w:rPr>
                <w:sz w:val="18"/>
              </w:rPr>
              <w:t>3 722,5</w:t>
            </w:r>
          </w:p>
        </w:tc>
        <w:tc>
          <w:tcPr>
            <w:tcW w:w="780" w:type="pct"/>
            <w:tcBorders>
              <w:top w:val="single" w:sz="4" w:space="0" w:color="314364"/>
            </w:tcBorders>
            <w:vAlign w:val="center"/>
          </w:tcPr>
          <w:p w14:paraId="6C373478" w14:textId="77777777" w:rsidR="00376C8E" w:rsidRPr="008C6F2C" w:rsidRDefault="00376C8E" w:rsidP="00C119D8">
            <w:pPr>
              <w:spacing w:after="0" w:line="259" w:lineRule="auto"/>
              <w:jc w:val="right"/>
              <w:rPr>
                <w:sz w:val="18"/>
              </w:rPr>
            </w:pPr>
            <w:r w:rsidRPr="008C6F2C">
              <w:rPr>
                <w:sz w:val="18"/>
              </w:rPr>
              <w:t>27,2</w:t>
            </w:r>
          </w:p>
        </w:tc>
      </w:tr>
      <w:tr w:rsidR="00376C8E" w:rsidRPr="008C6F2C" w14:paraId="71615DAE" w14:textId="77777777" w:rsidTr="00C119D8">
        <w:trPr>
          <w:trHeight w:val="255"/>
        </w:trPr>
        <w:tc>
          <w:tcPr>
            <w:tcW w:w="2345" w:type="pct"/>
            <w:vAlign w:val="center"/>
          </w:tcPr>
          <w:p w14:paraId="0EE9BACB" w14:textId="77777777" w:rsidR="00376C8E" w:rsidRPr="008C6F2C" w:rsidRDefault="00376C8E" w:rsidP="00C119D8">
            <w:pPr>
              <w:spacing w:after="0" w:line="259" w:lineRule="auto"/>
              <w:jc w:val="left"/>
              <w:rPr>
                <w:sz w:val="18"/>
              </w:rPr>
            </w:pPr>
            <w:r w:rsidRPr="008C6F2C">
              <w:rPr>
                <w:sz w:val="18"/>
              </w:rPr>
              <w:t>Sociálna inklúzia</w:t>
            </w:r>
          </w:p>
        </w:tc>
        <w:tc>
          <w:tcPr>
            <w:tcW w:w="1875" w:type="pct"/>
          </w:tcPr>
          <w:p w14:paraId="37AFC1A2" w14:textId="77777777" w:rsidR="00376C8E" w:rsidRPr="008C6F2C" w:rsidRDefault="00376C8E" w:rsidP="00C119D8">
            <w:pPr>
              <w:spacing w:after="0" w:line="259" w:lineRule="auto"/>
              <w:jc w:val="right"/>
              <w:rPr>
                <w:sz w:val="18"/>
              </w:rPr>
            </w:pPr>
            <w:r w:rsidRPr="008C6F2C">
              <w:rPr>
                <w:sz w:val="18"/>
              </w:rPr>
              <w:t>8 980,1</w:t>
            </w:r>
          </w:p>
        </w:tc>
        <w:tc>
          <w:tcPr>
            <w:tcW w:w="780" w:type="pct"/>
            <w:vAlign w:val="center"/>
          </w:tcPr>
          <w:p w14:paraId="6CA42D0E" w14:textId="77777777" w:rsidR="00376C8E" w:rsidRPr="008C6F2C" w:rsidRDefault="00376C8E" w:rsidP="00C119D8">
            <w:pPr>
              <w:spacing w:after="0" w:line="259" w:lineRule="auto"/>
              <w:jc w:val="right"/>
              <w:rPr>
                <w:sz w:val="18"/>
              </w:rPr>
            </w:pPr>
            <w:r w:rsidRPr="008C6F2C">
              <w:rPr>
                <w:sz w:val="18"/>
              </w:rPr>
              <w:t>64,7</w:t>
            </w:r>
          </w:p>
        </w:tc>
      </w:tr>
      <w:tr w:rsidR="00376C8E" w:rsidRPr="008C6F2C" w14:paraId="139D7288" w14:textId="77777777" w:rsidTr="00C119D8">
        <w:trPr>
          <w:trHeight w:val="255"/>
        </w:trPr>
        <w:tc>
          <w:tcPr>
            <w:tcW w:w="2345" w:type="pct"/>
            <w:vAlign w:val="center"/>
          </w:tcPr>
          <w:p w14:paraId="3F53D61F" w14:textId="77777777" w:rsidR="00376C8E" w:rsidRPr="008C6F2C" w:rsidRDefault="00376C8E" w:rsidP="00C119D8">
            <w:pPr>
              <w:spacing w:after="0" w:line="259" w:lineRule="auto"/>
              <w:jc w:val="left"/>
              <w:rPr>
                <w:sz w:val="18"/>
              </w:rPr>
            </w:pPr>
            <w:r w:rsidRPr="008C6F2C">
              <w:rPr>
                <w:sz w:val="18"/>
              </w:rPr>
              <w:t>Tvorba a implementácia politík</w:t>
            </w:r>
          </w:p>
        </w:tc>
        <w:tc>
          <w:tcPr>
            <w:tcW w:w="1875" w:type="pct"/>
          </w:tcPr>
          <w:p w14:paraId="0E4A2B1F" w14:textId="77777777" w:rsidR="00376C8E" w:rsidRPr="008C6F2C" w:rsidRDefault="00376C8E" w:rsidP="00C119D8">
            <w:pPr>
              <w:spacing w:after="0" w:line="259" w:lineRule="auto"/>
              <w:jc w:val="right"/>
              <w:rPr>
                <w:sz w:val="18"/>
              </w:rPr>
            </w:pPr>
            <w:r w:rsidRPr="008C6F2C">
              <w:rPr>
                <w:sz w:val="18"/>
              </w:rPr>
              <w:t>1 019,9</w:t>
            </w:r>
          </w:p>
        </w:tc>
        <w:tc>
          <w:tcPr>
            <w:tcW w:w="780" w:type="pct"/>
            <w:vAlign w:val="center"/>
          </w:tcPr>
          <w:p w14:paraId="4E64FF28" w14:textId="77777777" w:rsidR="00376C8E" w:rsidRPr="008C6F2C" w:rsidRDefault="00376C8E" w:rsidP="00C119D8">
            <w:pPr>
              <w:spacing w:after="0" w:line="259" w:lineRule="auto"/>
              <w:jc w:val="right"/>
              <w:rPr>
                <w:sz w:val="18"/>
              </w:rPr>
            </w:pPr>
            <w:r w:rsidRPr="008C6F2C">
              <w:rPr>
                <w:sz w:val="18"/>
              </w:rPr>
              <w:t xml:space="preserve">7,3 </w:t>
            </w:r>
          </w:p>
        </w:tc>
      </w:tr>
      <w:tr w:rsidR="00376C8E" w:rsidRPr="008C6F2C" w14:paraId="5C33E845" w14:textId="77777777" w:rsidTr="00C119D8">
        <w:trPr>
          <w:trHeight w:val="255"/>
        </w:trPr>
        <w:tc>
          <w:tcPr>
            <w:tcW w:w="2345" w:type="pct"/>
            <w:vAlign w:val="center"/>
          </w:tcPr>
          <w:p w14:paraId="1A3F8C72" w14:textId="77777777" w:rsidR="00376C8E" w:rsidRPr="008C6F2C" w:rsidRDefault="00376C8E" w:rsidP="00C119D8">
            <w:pPr>
              <w:spacing w:after="0" w:line="259" w:lineRule="auto"/>
              <w:jc w:val="left"/>
              <w:rPr>
                <w:sz w:val="18"/>
              </w:rPr>
            </w:pPr>
            <w:r w:rsidRPr="008C6F2C">
              <w:rPr>
                <w:sz w:val="18"/>
              </w:rPr>
              <w:t>Hospodárska mobilizácia</w:t>
            </w:r>
          </w:p>
          <w:p w14:paraId="12FBBE5E" w14:textId="77777777" w:rsidR="00376C8E" w:rsidRPr="008C6F2C" w:rsidRDefault="00376C8E" w:rsidP="00C119D8">
            <w:pPr>
              <w:spacing w:after="0" w:line="259" w:lineRule="auto"/>
              <w:jc w:val="left"/>
              <w:rPr>
                <w:sz w:val="18"/>
              </w:rPr>
            </w:pPr>
            <w:r w:rsidRPr="008C6F2C">
              <w:rPr>
                <w:sz w:val="18"/>
              </w:rPr>
              <w:t>Informačné technológie financované zo ŠR</w:t>
            </w:r>
          </w:p>
        </w:tc>
        <w:tc>
          <w:tcPr>
            <w:tcW w:w="1875" w:type="pct"/>
            <w:vAlign w:val="center"/>
          </w:tcPr>
          <w:p w14:paraId="5EC2E487" w14:textId="77777777" w:rsidR="00376C8E" w:rsidRPr="008C6F2C" w:rsidRDefault="00376C8E" w:rsidP="00C119D8">
            <w:pPr>
              <w:spacing w:after="0" w:line="259" w:lineRule="auto"/>
              <w:jc w:val="right"/>
              <w:rPr>
                <w:sz w:val="18"/>
              </w:rPr>
            </w:pPr>
            <w:r w:rsidRPr="008C6F2C">
              <w:rPr>
                <w:sz w:val="18"/>
              </w:rPr>
              <w:t>6,0</w:t>
            </w:r>
          </w:p>
          <w:p w14:paraId="75C5FAB6" w14:textId="77777777" w:rsidR="00376C8E" w:rsidRPr="008C6F2C" w:rsidRDefault="00376C8E" w:rsidP="00C119D8">
            <w:pPr>
              <w:spacing w:after="0" w:line="259" w:lineRule="auto"/>
              <w:jc w:val="right"/>
              <w:rPr>
                <w:sz w:val="18"/>
              </w:rPr>
            </w:pPr>
            <w:r w:rsidRPr="008C6F2C">
              <w:rPr>
                <w:sz w:val="18"/>
              </w:rPr>
              <w:t>106,7</w:t>
            </w:r>
          </w:p>
        </w:tc>
        <w:tc>
          <w:tcPr>
            <w:tcW w:w="780" w:type="pct"/>
            <w:vAlign w:val="center"/>
          </w:tcPr>
          <w:p w14:paraId="473018FE" w14:textId="77777777" w:rsidR="00376C8E" w:rsidRPr="008C6F2C" w:rsidRDefault="00376C8E" w:rsidP="00C119D8">
            <w:pPr>
              <w:spacing w:after="0" w:line="259" w:lineRule="auto"/>
              <w:jc w:val="right"/>
              <w:rPr>
                <w:sz w:val="18"/>
              </w:rPr>
            </w:pPr>
            <w:r w:rsidRPr="008C6F2C">
              <w:rPr>
                <w:sz w:val="18"/>
              </w:rPr>
              <w:t>0,0</w:t>
            </w:r>
          </w:p>
          <w:p w14:paraId="1B3BB24D" w14:textId="77777777" w:rsidR="00376C8E" w:rsidRPr="008C6F2C" w:rsidRDefault="00376C8E" w:rsidP="00C119D8">
            <w:pPr>
              <w:spacing w:after="0" w:line="259" w:lineRule="auto"/>
              <w:jc w:val="right"/>
              <w:rPr>
                <w:sz w:val="18"/>
              </w:rPr>
            </w:pPr>
            <w:r w:rsidRPr="008C6F2C">
              <w:rPr>
                <w:sz w:val="18"/>
              </w:rPr>
              <w:t>0,8</w:t>
            </w:r>
          </w:p>
        </w:tc>
      </w:tr>
      <w:tr w:rsidR="00376C8E" w:rsidRPr="008C6F2C" w14:paraId="019CC9A6" w14:textId="77777777" w:rsidTr="00C119D8">
        <w:trPr>
          <w:trHeight w:val="255"/>
        </w:trPr>
        <w:tc>
          <w:tcPr>
            <w:tcW w:w="2345" w:type="pct"/>
            <w:tcBorders>
              <w:bottom w:val="single" w:sz="4" w:space="0" w:color="314364" w:themeColor="text2"/>
            </w:tcBorders>
            <w:vAlign w:val="center"/>
          </w:tcPr>
          <w:p w14:paraId="4E629707" w14:textId="77777777" w:rsidR="00376C8E" w:rsidRPr="008C6F2C" w:rsidRDefault="00376C8E" w:rsidP="00C119D8">
            <w:pPr>
              <w:spacing w:after="0" w:line="259" w:lineRule="auto"/>
              <w:jc w:val="left"/>
              <w:rPr>
                <w:sz w:val="18"/>
              </w:rPr>
            </w:pPr>
            <w:r w:rsidRPr="008C6F2C">
              <w:rPr>
                <w:sz w:val="18"/>
              </w:rPr>
              <w:t>Spolu</w:t>
            </w:r>
          </w:p>
        </w:tc>
        <w:tc>
          <w:tcPr>
            <w:tcW w:w="1875" w:type="pct"/>
            <w:tcBorders>
              <w:bottom w:val="single" w:sz="4" w:space="0" w:color="314364" w:themeColor="text2"/>
            </w:tcBorders>
          </w:tcPr>
          <w:p w14:paraId="3748B9F7" w14:textId="77777777" w:rsidR="00376C8E" w:rsidRPr="008C6F2C" w:rsidRDefault="00376C8E" w:rsidP="00C119D8">
            <w:pPr>
              <w:spacing w:after="0" w:line="259" w:lineRule="auto"/>
              <w:jc w:val="right"/>
              <w:rPr>
                <w:b/>
                <w:sz w:val="18"/>
              </w:rPr>
            </w:pPr>
            <w:r w:rsidRPr="008C6F2C">
              <w:rPr>
                <w:b/>
                <w:sz w:val="18"/>
              </w:rPr>
              <w:t>13 885,3</w:t>
            </w:r>
          </w:p>
        </w:tc>
        <w:tc>
          <w:tcPr>
            <w:tcW w:w="780" w:type="pct"/>
            <w:tcBorders>
              <w:bottom w:val="single" w:sz="4" w:space="0" w:color="314364" w:themeColor="text2"/>
            </w:tcBorders>
            <w:vAlign w:val="center"/>
          </w:tcPr>
          <w:p w14:paraId="7C130B13" w14:textId="77777777" w:rsidR="00376C8E" w:rsidRPr="008C6F2C" w:rsidRDefault="00376C8E" w:rsidP="00C119D8">
            <w:pPr>
              <w:spacing w:after="0" w:line="259" w:lineRule="auto"/>
              <w:jc w:val="right"/>
              <w:rPr>
                <w:b/>
                <w:sz w:val="18"/>
              </w:rPr>
            </w:pPr>
            <w:r w:rsidRPr="008C6F2C">
              <w:rPr>
                <w:b/>
                <w:sz w:val="18"/>
              </w:rPr>
              <w:t> 100,0</w:t>
            </w:r>
          </w:p>
        </w:tc>
      </w:tr>
    </w:tbl>
    <w:p w14:paraId="76F08E96" w14:textId="5647D3C5" w:rsidR="00376C8E" w:rsidRPr="00EC2651" w:rsidRDefault="00376C8E" w:rsidP="00376C8E">
      <w:pPr>
        <w:pStyle w:val="Zdroj"/>
      </w:pPr>
      <w:r w:rsidRPr="008C6F2C">
        <w:t>Zdroj: RIS BI</w:t>
      </w:r>
      <w:r w:rsidR="00EC2651">
        <w:rPr>
          <w:lang w:val="en-US"/>
        </w:rPr>
        <w:t>;</w:t>
      </w:r>
      <w:r w:rsidR="00EC2651">
        <w:t xml:space="preserve"> </w:t>
      </w:r>
      <w:r w:rsidR="00EC2651" w:rsidRPr="00EC2651">
        <w:t>kód zdroja 11UA</w:t>
      </w:r>
      <w:r w:rsidR="0024233A">
        <w:t>.</w:t>
      </w:r>
    </w:p>
    <w:p w14:paraId="2351FDAD" w14:textId="2E09B184" w:rsidR="00376C8E" w:rsidRPr="00810DE8" w:rsidRDefault="00376C8E" w:rsidP="00376C8E">
      <w:pPr>
        <w:keepNext/>
        <w:spacing w:after="0" w:line="240" w:lineRule="auto"/>
        <w:rPr>
          <w:b/>
          <w:iCs/>
          <w:color w:val="314364"/>
          <w:szCs w:val="18"/>
        </w:rPr>
      </w:pPr>
      <w:r w:rsidRPr="00810DE8">
        <w:rPr>
          <w:b/>
          <w:iCs/>
          <w:color w:val="314364"/>
          <w:szCs w:val="18"/>
        </w:rPr>
        <w:t xml:space="preserve">Graf </w:t>
      </w:r>
      <w:r>
        <w:rPr>
          <w:b/>
          <w:iCs/>
          <w:color w:val="314364"/>
          <w:szCs w:val="18"/>
        </w:rPr>
        <w:t>28</w:t>
      </w:r>
      <w:r w:rsidRPr="00810DE8">
        <w:rPr>
          <w:b/>
          <w:iCs/>
          <w:color w:val="314364"/>
          <w:szCs w:val="18"/>
        </w:rPr>
        <w:t>: Výdavky kapitoly MPSVR SR na Ukrajinu za apríl až december 2022 (v mil. eur)</w:t>
      </w:r>
    </w:p>
    <w:tbl>
      <w:tblPr>
        <w:tblStyle w:val="Mriekatabuky9"/>
        <w:tblW w:w="497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23"/>
      </w:tblGrid>
      <w:tr w:rsidR="00376C8E" w:rsidRPr="00810DE8" w14:paraId="3E42D633" w14:textId="77777777" w:rsidTr="00846EB5">
        <w:trPr>
          <w:trHeight w:val="2127"/>
        </w:trPr>
        <w:tc>
          <w:tcPr>
            <w:tcW w:w="9022" w:type="dxa"/>
            <w:tcBorders>
              <w:top w:val="single" w:sz="4" w:space="0" w:color="314364" w:themeColor="text2"/>
              <w:bottom w:val="single" w:sz="4" w:space="0" w:color="314364"/>
            </w:tcBorders>
            <w:vAlign w:val="center"/>
          </w:tcPr>
          <w:p w14:paraId="1B7DA580" w14:textId="77777777" w:rsidR="00376C8E" w:rsidRPr="00810DE8" w:rsidRDefault="00376C8E" w:rsidP="00C119D8">
            <w:pPr>
              <w:spacing w:after="0"/>
              <w:rPr>
                <w:b/>
                <w:color w:val="576431"/>
              </w:rPr>
            </w:pPr>
            <w:r w:rsidRPr="00810DE8">
              <w:rPr>
                <w:noProof/>
                <w:lang w:eastAsia="sk-SK"/>
              </w:rPr>
              <w:drawing>
                <wp:inline distT="0" distB="0" distL="0" distR="0" wp14:anchorId="5E688E76" wp14:editId="149D23D7">
                  <wp:extent cx="5608320" cy="1514475"/>
                  <wp:effectExtent l="0" t="0" r="0" b="0"/>
                  <wp:docPr id="59" name="Graf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25202CEF" w14:textId="2FA5B45A" w:rsidR="00376C8E" w:rsidRPr="00810DE8" w:rsidRDefault="00376C8E" w:rsidP="00376C8E">
      <w:pPr>
        <w:rPr>
          <w:i/>
          <w:color w:val="314364" w:themeColor="text2"/>
          <w:sz w:val="16"/>
          <w:szCs w:val="16"/>
        </w:rPr>
      </w:pPr>
      <w:r w:rsidRPr="00810DE8">
        <w:rPr>
          <w:i/>
          <w:color w:val="314364" w:themeColor="text2"/>
          <w:sz w:val="16"/>
          <w:szCs w:val="16"/>
        </w:rPr>
        <w:t>Zdroj: RIS BI</w:t>
      </w:r>
      <w:r w:rsidR="0024233A">
        <w:rPr>
          <w:i/>
          <w:color w:val="314364" w:themeColor="text2"/>
          <w:sz w:val="16"/>
          <w:szCs w:val="16"/>
        </w:rPr>
        <w:t>.</w:t>
      </w:r>
    </w:p>
    <w:p w14:paraId="3050BD9D" w14:textId="5EE3C7C6" w:rsidR="00422487" w:rsidRDefault="00131776" w:rsidP="005603E6">
      <w:pPr>
        <w:pStyle w:val="Nadpis3"/>
      </w:pPr>
      <w:bookmarkStart w:id="35" w:name="_Toc136418408"/>
      <w:r>
        <w:t xml:space="preserve">4.3.2 </w:t>
      </w:r>
      <w:r w:rsidR="00401055">
        <w:t xml:space="preserve">Podpora udržania zamestnanosti </w:t>
      </w:r>
      <w:r w:rsidR="002363F5">
        <w:t>– projekt Prvá pomoc</w:t>
      </w:r>
      <w:bookmarkEnd w:id="35"/>
      <w:r w:rsidR="00422487">
        <w:t xml:space="preserve"> </w:t>
      </w:r>
    </w:p>
    <w:p w14:paraId="0386C9C7" w14:textId="0B6B56FD" w:rsidR="00422487" w:rsidRDefault="00422487" w:rsidP="00F467D9">
      <w:pPr>
        <w:rPr>
          <w:rFonts w:cs="Segoe UI"/>
          <w:bCs/>
        </w:rPr>
      </w:pPr>
      <w:r w:rsidRPr="00422487">
        <w:t xml:space="preserve">Preveriť splnenie </w:t>
      </w:r>
      <w:r w:rsidRPr="00422487">
        <w:rPr>
          <w:rFonts w:cs="Segoe UI"/>
          <w:bCs/>
        </w:rPr>
        <w:t>vybraných podmienok poskytovania dotácií zo schém Prvej pomoci z MPSVR SR</w:t>
      </w:r>
      <w:r w:rsidRPr="00422487">
        <w:t>, vrátane upozornenia na niektoré nezrovnalosti v poskytnutých dátach</w:t>
      </w:r>
      <w:r w:rsidR="00DF08D1">
        <w:t>,</w:t>
      </w:r>
      <w:r w:rsidRPr="00422487">
        <w:t xml:space="preserve"> bolo cieľom komentára NKÚ SR k tzv. Prvej pomoci</w:t>
      </w:r>
      <w:r w:rsidR="00DF08D1">
        <w:t xml:space="preserve"> (box </w:t>
      </w:r>
      <w:r w:rsidR="004C18E7">
        <w:t>5</w:t>
      </w:r>
      <w:r w:rsidR="00DF08D1">
        <w:t>)</w:t>
      </w:r>
      <w:r w:rsidRPr="00422487">
        <w:rPr>
          <w:rFonts w:cs="Segoe UI"/>
        </w:rPr>
        <w:t>.</w:t>
      </w:r>
      <w:r w:rsidRPr="00422487">
        <w:rPr>
          <w:rFonts w:cs="Segoe UI"/>
          <w:bCs/>
        </w:rPr>
        <w:t xml:space="preserve"> Komentár bol doplnený o výšku Prvej pomoci na úrovni okresov a o duplicity pri súbežnom čerpaní dotácií z iných rezortov, nielen z rezortu práce.</w:t>
      </w:r>
    </w:p>
    <w:tbl>
      <w:tblPr>
        <w:tblStyle w:val="Mriekatabuky61"/>
        <w:tblW w:w="0" w:type="auto"/>
        <w:jc w:val="center"/>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376C8E" w:rsidRPr="00F90A92" w14:paraId="0F158936" w14:textId="77777777" w:rsidTr="00C119D8">
        <w:trPr>
          <w:jc w:val="center"/>
        </w:trPr>
        <w:tc>
          <w:tcPr>
            <w:tcW w:w="9060" w:type="dxa"/>
            <w:shd w:val="clear" w:color="auto" w:fill="EBF0FB" w:themeFill="background2" w:themeFillTint="33"/>
          </w:tcPr>
          <w:p w14:paraId="282B3E8D" w14:textId="59759EE0" w:rsidR="00376C8E" w:rsidRDefault="00376C8E" w:rsidP="004C18E7">
            <w:pPr>
              <w:pStyle w:val="Nzov"/>
              <w:spacing w:before="120" w:after="120"/>
              <w:jc w:val="left"/>
              <w:rPr>
                <w:rFonts w:cs="Segoe UI"/>
                <w:smallCaps w:val="0"/>
                <w:color w:val="auto"/>
                <w:sz w:val="20"/>
                <w:szCs w:val="20"/>
              </w:rPr>
            </w:pPr>
            <w:r w:rsidRPr="00EF16AA">
              <w:rPr>
                <w:rFonts w:cs="Segoe UI"/>
                <w:color w:val="auto"/>
                <w:sz w:val="20"/>
                <w:szCs w:val="20"/>
              </w:rPr>
              <w:t xml:space="preserve">BOX </w:t>
            </w:r>
            <w:r w:rsidR="004C18E7">
              <w:rPr>
                <w:rFonts w:cs="Segoe UI"/>
                <w:color w:val="auto"/>
                <w:sz w:val="20"/>
                <w:szCs w:val="20"/>
              </w:rPr>
              <w:t>5</w:t>
            </w:r>
            <w:r w:rsidRPr="00EF16AA">
              <w:rPr>
                <w:rFonts w:cs="Segoe UI"/>
                <w:color w:val="auto"/>
                <w:sz w:val="20"/>
                <w:szCs w:val="20"/>
              </w:rPr>
              <w:t xml:space="preserve">:  </w:t>
            </w:r>
            <w:r w:rsidRPr="00EF16AA">
              <w:rPr>
                <w:rFonts w:cs="Segoe UI"/>
                <w:smallCaps w:val="0"/>
                <w:color w:val="auto"/>
                <w:sz w:val="20"/>
                <w:szCs w:val="20"/>
              </w:rPr>
              <w:t>Závery z komentára AKO SA POSKYTOVALA PRVÁ POMOC</w:t>
            </w:r>
            <w:r w:rsidR="00BA45B8">
              <w:rPr>
                <w:rFonts w:cs="Segoe UI"/>
                <w:smallCaps w:val="0"/>
                <w:color w:val="auto"/>
                <w:sz w:val="20"/>
                <w:szCs w:val="20"/>
              </w:rPr>
              <w:t>.</w:t>
            </w:r>
            <w:r w:rsidRPr="00EF16AA">
              <w:rPr>
                <w:rFonts w:cs="Segoe UI"/>
                <w:smallCaps w:val="0"/>
                <w:color w:val="auto"/>
                <w:sz w:val="20"/>
                <w:szCs w:val="20"/>
              </w:rPr>
              <w:t xml:space="preserve"> Splnili prijímatelia prvej pomoci nastavené podmienky ministerstva práce?</w:t>
            </w:r>
          </w:p>
          <w:p w14:paraId="1E0B68CA" w14:textId="56BC8EF3" w:rsidR="00376C8E" w:rsidRPr="00943DC6" w:rsidRDefault="00376C8E" w:rsidP="00C119D8">
            <w:pPr>
              <w:rPr>
                <w:rFonts w:cs="Segoe UI"/>
                <w:sz w:val="18"/>
                <w:szCs w:val="18"/>
              </w:rPr>
            </w:pPr>
            <w:r>
              <w:rPr>
                <w:rFonts w:cs="Segoe UI"/>
                <w:sz w:val="18"/>
                <w:szCs w:val="18"/>
              </w:rPr>
              <w:t>Za obdobie</w:t>
            </w:r>
            <w:r w:rsidR="00DF08D1">
              <w:t xml:space="preserve"> </w:t>
            </w:r>
            <w:r w:rsidR="00DF08D1" w:rsidRPr="00DF08D1">
              <w:rPr>
                <w:rFonts w:cs="Segoe UI"/>
                <w:sz w:val="18"/>
                <w:szCs w:val="18"/>
              </w:rPr>
              <w:t>od marca 2020 do júna 2022</w:t>
            </w:r>
            <w:r>
              <w:rPr>
                <w:rFonts w:cs="Segoe UI"/>
                <w:sz w:val="18"/>
                <w:szCs w:val="18"/>
              </w:rPr>
              <w:t xml:space="preserve"> </w:t>
            </w:r>
            <w:r w:rsidR="00DF08D1">
              <w:rPr>
                <w:rFonts w:cs="Segoe UI"/>
                <w:sz w:val="18"/>
                <w:szCs w:val="18"/>
              </w:rPr>
              <w:t>podporilo MPSVR SR</w:t>
            </w:r>
            <w:r>
              <w:rPr>
                <w:rFonts w:cs="Segoe UI"/>
                <w:sz w:val="18"/>
                <w:szCs w:val="18"/>
              </w:rPr>
              <w:t xml:space="preserve"> podnikateľov prostredníctvom projektu</w:t>
            </w:r>
            <w:r w:rsidR="0039524E">
              <w:rPr>
                <w:rFonts w:cs="Segoe UI"/>
                <w:sz w:val="18"/>
                <w:szCs w:val="18"/>
              </w:rPr>
              <w:t xml:space="preserve"> Prvá pomoc sumou 2,46 mld. eur.</w:t>
            </w:r>
            <w:r>
              <w:rPr>
                <w:rFonts w:cs="Segoe UI"/>
                <w:sz w:val="18"/>
                <w:szCs w:val="18"/>
              </w:rPr>
              <w:t xml:space="preserve"> 71 % </w:t>
            </w:r>
            <w:r w:rsidR="0039524E">
              <w:rPr>
                <w:rFonts w:cs="Segoe UI"/>
                <w:sz w:val="18"/>
                <w:szCs w:val="18"/>
              </w:rPr>
              <w:t xml:space="preserve">dotácií </w:t>
            </w:r>
            <w:r>
              <w:rPr>
                <w:rFonts w:cs="Segoe UI"/>
                <w:sz w:val="18"/>
                <w:szCs w:val="18"/>
              </w:rPr>
              <w:t xml:space="preserve">využili zamestnávatelia na udržanie svojich zamestnancov a zvyšok čerpali SZČO. </w:t>
            </w:r>
            <w:r w:rsidRPr="00943DC6">
              <w:rPr>
                <w:rFonts w:cs="Segoe UI"/>
                <w:sz w:val="18"/>
                <w:szCs w:val="18"/>
              </w:rPr>
              <w:t>Prvú pomoc poberalo 26 % zo všetkých registrovaných podnikateľských subjektov.</w:t>
            </w:r>
            <w:r>
              <w:rPr>
                <w:rFonts w:cs="Segoe UI"/>
                <w:sz w:val="18"/>
                <w:szCs w:val="18"/>
              </w:rPr>
              <w:t xml:space="preserve"> </w:t>
            </w:r>
            <w:r w:rsidRPr="00943DC6">
              <w:rPr>
                <w:rFonts w:cs="Segoe UI"/>
                <w:sz w:val="18"/>
                <w:szCs w:val="18"/>
              </w:rPr>
              <w:t>Najväčší objem pomoci smeroval do okresov Bratislavy a západného Slovenska, do okresu Žilina a Prešov. Najmenej ju využili v troch okresoch východného Slovenska – Medzilaborce, Sobrance a Gelnica a </w:t>
            </w:r>
            <w:r w:rsidR="0039524E">
              <w:rPr>
                <w:rFonts w:cs="Segoe UI"/>
                <w:sz w:val="18"/>
                <w:szCs w:val="18"/>
              </w:rPr>
              <w:t>v</w:t>
            </w:r>
            <w:r w:rsidRPr="00943DC6">
              <w:rPr>
                <w:rFonts w:cs="Segoe UI"/>
                <w:sz w:val="18"/>
                <w:szCs w:val="18"/>
              </w:rPr>
              <w:t xml:space="preserve"> jednom okrese stredného Slovenska – Poltár.</w:t>
            </w:r>
          </w:p>
          <w:p w14:paraId="36BFBE63" w14:textId="717CBE89" w:rsidR="00376C8E" w:rsidRPr="00B050E0" w:rsidRDefault="00376C8E" w:rsidP="00C119D8">
            <w:pPr>
              <w:rPr>
                <w:rFonts w:cs="Segoe UI"/>
                <w:sz w:val="18"/>
                <w:szCs w:val="18"/>
              </w:rPr>
            </w:pPr>
            <w:r w:rsidRPr="00943DC6">
              <w:rPr>
                <w:rFonts w:cs="Segoe UI"/>
                <w:sz w:val="18"/>
                <w:szCs w:val="18"/>
              </w:rPr>
              <w:t>Z hľadiska počtu prijímateľov bola situácia odlišná.</w:t>
            </w:r>
            <w:r w:rsidR="00A96E60">
              <w:rPr>
                <w:rStyle w:val="Odkaznapoznmkupodiarou"/>
                <w:rFonts w:cs="Segoe UI"/>
                <w:sz w:val="18"/>
                <w:szCs w:val="18"/>
              </w:rPr>
              <w:footnoteReference w:id="37"/>
            </w:r>
            <w:r w:rsidRPr="00943DC6">
              <w:rPr>
                <w:rFonts w:cs="Segoe UI"/>
                <w:sz w:val="18"/>
                <w:szCs w:val="18"/>
              </w:rPr>
              <w:t xml:space="preserve"> Najviac prijímateľov bolo z okresov Stará Ľubovňa, Kežmarok a Námestovo. Najnižší počet registrovaných podnikateľov využívajúcich Prvú pomoc bol z okresov Bratislavy a okresu Krupina.</w:t>
            </w:r>
            <w:r>
              <w:rPr>
                <w:rFonts w:cs="Segoe UI"/>
                <w:sz w:val="18"/>
                <w:szCs w:val="18"/>
              </w:rPr>
              <w:t xml:space="preserve"> </w:t>
            </w:r>
            <w:r w:rsidRPr="00943DC6">
              <w:rPr>
                <w:rFonts w:cs="Segoe UI"/>
                <w:sz w:val="18"/>
                <w:szCs w:val="18"/>
              </w:rPr>
              <w:t>Prijímatelia Prvej pomoci mohli čerpať finančnú pomoc súbežne aj z ďalších rezortov. Viacnásobných prijímateľov bolo najviac v Bratislave, Žiline, Banskej Bystrici a Prešove. Okrem Prvej pomoci bolo najviac žiadostí o dotáciu aj z M</w:t>
            </w:r>
            <w:r w:rsidR="0039524E">
              <w:rPr>
                <w:rFonts w:cs="Segoe UI"/>
                <w:sz w:val="18"/>
                <w:szCs w:val="18"/>
              </w:rPr>
              <w:t>H</w:t>
            </w:r>
            <w:r w:rsidRPr="00943DC6">
              <w:rPr>
                <w:rFonts w:cs="Segoe UI"/>
                <w:sz w:val="18"/>
                <w:szCs w:val="18"/>
              </w:rPr>
              <w:t xml:space="preserve"> SR (takmer 15 tis. prijímateľov) a z M</w:t>
            </w:r>
            <w:r w:rsidR="0039524E">
              <w:rPr>
                <w:rFonts w:cs="Segoe UI"/>
                <w:sz w:val="18"/>
                <w:szCs w:val="18"/>
              </w:rPr>
              <w:t>DV</w:t>
            </w:r>
            <w:r w:rsidRPr="00943DC6">
              <w:rPr>
                <w:rFonts w:cs="Segoe UI"/>
                <w:sz w:val="18"/>
                <w:szCs w:val="18"/>
              </w:rPr>
              <w:t xml:space="preserve"> SR (viac ako sedem tis. prijímateľov).</w:t>
            </w:r>
          </w:p>
          <w:p w14:paraId="74F7ADDC" w14:textId="22A18DCB" w:rsidR="00376C8E" w:rsidRDefault="00376C8E" w:rsidP="00C119D8">
            <w:pPr>
              <w:rPr>
                <w:rFonts w:cs="Segoe UI"/>
                <w:bCs/>
                <w:sz w:val="18"/>
                <w:szCs w:val="18"/>
              </w:rPr>
            </w:pPr>
            <w:r w:rsidRPr="00C676B8">
              <w:rPr>
                <w:rFonts w:cs="Segoe UI"/>
                <w:bCs/>
                <w:sz w:val="18"/>
                <w:szCs w:val="18"/>
              </w:rPr>
              <w:t>Aj napriek mnohým problémom na začiatku spustenia projektu Prvej pomoci, schéma pomohla udržať pracovné miesta na Slovensku a po</w:t>
            </w:r>
            <w:r>
              <w:rPr>
                <w:rFonts w:cs="Segoe UI"/>
                <w:bCs/>
                <w:sz w:val="18"/>
                <w:szCs w:val="18"/>
              </w:rPr>
              <w:t>dporila</w:t>
            </w:r>
            <w:r w:rsidRPr="00C676B8">
              <w:rPr>
                <w:rFonts w:cs="Segoe UI"/>
                <w:bCs/>
                <w:sz w:val="18"/>
                <w:szCs w:val="18"/>
              </w:rPr>
              <w:t xml:space="preserve"> mnohý</w:t>
            </w:r>
            <w:r>
              <w:rPr>
                <w:rFonts w:cs="Segoe UI"/>
                <w:bCs/>
                <w:sz w:val="18"/>
                <w:szCs w:val="18"/>
              </w:rPr>
              <w:t>ch</w:t>
            </w:r>
            <w:r w:rsidRPr="00C676B8">
              <w:rPr>
                <w:rFonts w:cs="Segoe UI"/>
                <w:bCs/>
                <w:sz w:val="18"/>
                <w:szCs w:val="18"/>
              </w:rPr>
              <w:t xml:space="preserve"> podnikateľo</w:t>
            </w:r>
            <w:r>
              <w:rPr>
                <w:rFonts w:cs="Segoe UI"/>
                <w:bCs/>
                <w:sz w:val="18"/>
                <w:szCs w:val="18"/>
              </w:rPr>
              <w:t>v v čase pandémie</w:t>
            </w:r>
            <w:r w:rsidRPr="00C676B8">
              <w:rPr>
                <w:rFonts w:cs="Segoe UI"/>
                <w:bCs/>
                <w:sz w:val="18"/>
                <w:szCs w:val="18"/>
              </w:rPr>
              <w:t>. Zníženie administratívnej náročnosti pre žiadateľov a elektronic</w:t>
            </w:r>
            <w:r w:rsidR="00234C44">
              <w:rPr>
                <w:rFonts w:cs="Segoe UI"/>
                <w:bCs/>
                <w:sz w:val="18"/>
                <w:szCs w:val="18"/>
              </w:rPr>
              <w:t>ké spracovanie žiadostí prispelo</w:t>
            </w:r>
            <w:r w:rsidRPr="00C676B8">
              <w:rPr>
                <w:rFonts w:cs="Segoe UI"/>
                <w:bCs/>
                <w:sz w:val="18"/>
                <w:szCs w:val="18"/>
              </w:rPr>
              <w:t xml:space="preserve"> k rýchlemu prístupu k podpore. </w:t>
            </w:r>
            <w:r w:rsidRPr="00A96E60">
              <w:rPr>
                <w:rFonts w:cs="Segoe UI"/>
                <w:b/>
                <w:bCs/>
                <w:sz w:val="18"/>
                <w:szCs w:val="18"/>
              </w:rPr>
              <w:t xml:space="preserve">Pred dôslednou </w:t>
            </w:r>
            <w:r w:rsidRPr="00A96E60">
              <w:rPr>
                <w:rFonts w:cs="Segoe UI"/>
                <w:b/>
                <w:bCs/>
                <w:sz w:val="18"/>
                <w:szCs w:val="18"/>
              </w:rPr>
              <w:lastRenderedPageBreak/>
              <w:t>kontrolou údajov a informácií žiadateľov MPSVR SR uprednostnilo čo najrýchlejšie poskytnutie pomoci</w:t>
            </w:r>
            <w:r w:rsidRPr="00C676B8">
              <w:rPr>
                <w:rFonts w:cs="Segoe UI"/>
                <w:bCs/>
                <w:sz w:val="18"/>
                <w:szCs w:val="18"/>
              </w:rPr>
              <w:t xml:space="preserve">. Následkom boli chyby v ISSZ, na ktoré NKÚ SR upozornil a ktoré ministerstvo muselo riešiť (chýbajúce údaje v databáze, nesprávne vyplnené dáta žiadateľmi i úradmi práce, nedostatky pri prenose údajov z výkazov a žiadostí do ISSZ a pod.). NKÚ SR zistil </w:t>
            </w:r>
            <w:r>
              <w:rPr>
                <w:rFonts w:cs="Segoe UI"/>
                <w:bCs/>
                <w:sz w:val="18"/>
                <w:szCs w:val="18"/>
              </w:rPr>
              <w:t>niektoré nezrovnalosti</w:t>
            </w:r>
            <w:r w:rsidRPr="00C676B8">
              <w:rPr>
                <w:rFonts w:cs="Segoe UI"/>
                <w:bCs/>
                <w:sz w:val="18"/>
                <w:szCs w:val="18"/>
              </w:rPr>
              <w:t xml:space="preserve"> poskytovania Prvej pomoci týkajúc</w:t>
            </w:r>
            <w:r w:rsidR="0039524E">
              <w:rPr>
                <w:rFonts w:cs="Segoe UI"/>
                <w:bCs/>
                <w:sz w:val="18"/>
                <w:szCs w:val="18"/>
              </w:rPr>
              <w:t>e</w:t>
            </w:r>
            <w:r w:rsidRPr="00C676B8">
              <w:rPr>
                <w:rFonts w:cs="Segoe UI"/>
                <w:bCs/>
                <w:sz w:val="18"/>
                <w:szCs w:val="18"/>
              </w:rPr>
              <w:t xml:space="preserve"> sa oprávnenosti žiadateľov, zamestnancov, sídl</w:t>
            </w:r>
            <w:r w:rsidR="00234C44">
              <w:rPr>
                <w:rFonts w:cs="Segoe UI"/>
                <w:bCs/>
                <w:sz w:val="18"/>
                <w:szCs w:val="18"/>
              </w:rPr>
              <w:t>a</w:t>
            </w:r>
            <w:r w:rsidRPr="00C676B8">
              <w:rPr>
                <w:rFonts w:cs="Segoe UI"/>
                <w:bCs/>
                <w:sz w:val="18"/>
                <w:szCs w:val="18"/>
              </w:rPr>
              <w:t xml:space="preserve"> viacerých prijímateľov na tej istej adrese a pod., ktoré mohli znamenať aj neoprávnené poskytnutie pomoci. NKÚ SR upozor</w:t>
            </w:r>
            <w:r>
              <w:rPr>
                <w:rFonts w:cs="Segoe UI"/>
                <w:bCs/>
                <w:sz w:val="18"/>
                <w:szCs w:val="18"/>
              </w:rPr>
              <w:t>nil</w:t>
            </w:r>
            <w:r w:rsidRPr="00C676B8">
              <w:rPr>
                <w:rFonts w:cs="Segoe UI"/>
                <w:bCs/>
                <w:sz w:val="18"/>
                <w:szCs w:val="18"/>
              </w:rPr>
              <w:t xml:space="preserve"> na tieto skutočnosti s cieľom zabrániť ich výskytu v budúcnosti pri navrhovaní nových foriem pomoci.</w:t>
            </w:r>
          </w:p>
          <w:p w14:paraId="5CD5BF37" w14:textId="38AF582B" w:rsidR="00376C8E" w:rsidRPr="005F406C" w:rsidRDefault="00376C8E" w:rsidP="00EC2651">
            <w:pPr>
              <w:pStyle w:val="Nzov"/>
              <w:spacing w:before="0" w:after="120" w:line="276" w:lineRule="auto"/>
              <w:jc w:val="left"/>
              <w:rPr>
                <w:rFonts w:cs="Segoe UI"/>
                <w:b w:val="0"/>
                <w:smallCaps w:val="0"/>
                <w:color w:val="auto"/>
                <w:sz w:val="16"/>
                <w:szCs w:val="16"/>
              </w:rPr>
            </w:pPr>
            <w:r w:rsidRPr="00943DC6">
              <w:rPr>
                <w:rFonts w:cs="Segoe UI"/>
                <w:b w:val="0"/>
                <w:i/>
                <w:smallCaps w:val="0"/>
                <w:color w:val="auto"/>
                <w:sz w:val="16"/>
                <w:szCs w:val="16"/>
              </w:rPr>
              <w:t xml:space="preserve">Zdroj: Komentár </w:t>
            </w:r>
            <w:r w:rsidR="00EC2651">
              <w:rPr>
                <w:rFonts w:cs="Segoe UI"/>
                <w:b w:val="0"/>
                <w:i/>
                <w:smallCaps w:val="0"/>
                <w:color w:val="auto"/>
                <w:sz w:val="16"/>
                <w:szCs w:val="16"/>
              </w:rPr>
              <w:t>1</w:t>
            </w:r>
            <w:r w:rsidRPr="00943DC6">
              <w:rPr>
                <w:rFonts w:cs="Segoe UI"/>
                <w:b w:val="0"/>
                <w:i/>
                <w:smallCaps w:val="0"/>
                <w:color w:val="auto"/>
                <w:sz w:val="16"/>
                <w:szCs w:val="16"/>
              </w:rPr>
              <w:t>/202</w:t>
            </w:r>
            <w:r w:rsidR="00EC2651">
              <w:rPr>
                <w:rFonts w:cs="Segoe UI"/>
                <w:b w:val="0"/>
                <w:i/>
                <w:smallCaps w:val="0"/>
                <w:color w:val="auto"/>
                <w:sz w:val="16"/>
                <w:szCs w:val="16"/>
              </w:rPr>
              <w:t>3</w:t>
            </w:r>
            <w:r w:rsidRPr="00943DC6">
              <w:rPr>
                <w:rFonts w:cs="Segoe UI"/>
                <w:b w:val="0"/>
                <w:i/>
                <w:smallCaps w:val="0"/>
                <w:color w:val="auto"/>
                <w:sz w:val="16"/>
                <w:szCs w:val="16"/>
              </w:rPr>
              <w:t xml:space="preserve"> NKÚ  SR, </w:t>
            </w:r>
            <w:r w:rsidR="00EC2651">
              <w:rPr>
                <w:rFonts w:cs="Segoe UI"/>
                <w:b w:val="0"/>
                <w:i/>
                <w:smallCaps w:val="0"/>
                <w:color w:val="auto"/>
                <w:sz w:val="16"/>
                <w:szCs w:val="16"/>
              </w:rPr>
              <w:t>máj</w:t>
            </w:r>
            <w:r w:rsidRPr="00943DC6">
              <w:rPr>
                <w:rFonts w:cs="Segoe UI"/>
                <w:b w:val="0"/>
                <w:i/>
                <w:smallCaps w:val="0"/>
                <w:color w:val="auto"/>
                <w:sz w:val="16"/>
                <w:szCs w:val="16"/>
              </w:rPr>
              <w:t xml:space="preserve"> 202</w:t>
            </w:r>
            <w:r w:rsidR="00EC2651">
              <w:rPr>
                <w:rFonts w:cs="Segoe UI"/>
                <w:b w:val="0"/>
                <w:i/>
                <w:smallCaps w:val="0"/>
                <w:color w:val="auto"/>
                <w:sz w:val="16"/>
                <w:szCs w:val="16"/>
              </w:rPr>
              <w:t>3</w:t>
            </w:r>
            <w:r w:rsidRPr="00943DC6">
              <w:rPr>
                <w:rFonts w:cs="Segoe UI"/>
                <w:b w:val="0"/>
                <w:i/>
                <w:smallCaps w:val="0"/>
                <w:color w:val="auto"/>
                <w:sz w:val="16"/>
                <w:szCs w:val="16"/>
              </w:rPr>
              <w:t xml:space="preserve"> .</w:t>
            </w:r>
            <w:r w:rsidRPr="00943DC6">
              <w:rPr>
                <w:rFonts w:cs="Segoe UI"/>
                <w:b w:val="0"/>
                <w:smallCaps w:val="0"/>
                <w:color w:val="auto"/>
                <w:sz w:val="16"/>
                <w:szCs w:val="16"/>
              </w:rPr>
              <w:t xml:space="preserve"> AKO SA POSKYTOVALA PRVÁ POMOC, Splnili prijímatelia prvej pomoci nastavené podmienky ministerstva práce</w:t>
            </w:r>
            <w:r w:rsidR="00EC2651">
              <w:rPr>
                <w:rFonts w:cs="Segoe UI"/>
                <w:b w:val="0"/>
                <w:smallCaps w:val="0"/>
                <w:color w:val="auto"/>
                <w:sz w:val="16"/>
                <w:szCs w:val="16"/>
              </w:rPr>
              <w:t>?</w:t>
            </w:r>
            <w:r w:rsidR="00106764">
              <w:rPr>
                <w:rFonts w:cs="Segoe UI"/>
                <w:b w:val="0"/>
                <w:smallCaps w:val="0"/>
                <w:color w:val="auto"/>
                <w:sz w:val="16"/>
                <w:szCs w:val="16"/>
              </w:rPr>
              <w:t xml:space="preserve"> </w:t>
            </w:r>
            <w:r w:rsidR="00106764" w:rsidRPr="00106764">
              <w:rPr>
                <w:rFonts w:cs="Segoe UI"/>
                <w:b w:val="0"/>
                <w:i/>
                <w:smallCaps w:val="0"/>
                <w:color w:val="auto"/>
                <w:sz w:val="16"/>
                <w:szCs w:val="16"/>
              </w:rPr>
              <w:t>Zdroj údajov: MPSVR SR</w:t>
            </w:r>
            <w:r w:rsidR="00852E67">
              <w:rPr>
                <w:rFonts w:cs="Segoe UI"/>
                <w:b w:val="0"/>
                <w:i/>
                <w:smallCaps w:val="0"/>
                <w:color w:val="auto"/>
                <w:sz w:val="16"/>
                <w:szCs w:val="16"/>
              </w:rPr>
              <w:t xml:space="preserve">, spracované NKÚ SR vo webovej  aplikácii </w:t>
            </w:r>
            <w:proofErr w:type="spellStart"/>
            <w:r w:rsidR="00852E67">
              <w:rPr>
                <w:rFonts w:cs="Segoe UI"/>
                <w:b w:val="0"/>
                <w:i/>
                <w:smallCaps w:val="0"/>
                <w:color w:val="auto"/>
                <w:sz w:val="16"/>
                <w:szCs w:val="16"/>
              </w:rPr>
              <w:t>MuMap</w:t>
            </w:r>
            <w:proofErr w:type="spellEnd"/>
            <w:r w:rsidR="00852E67">
              <w:rPr>
                <w:rFonts w:cs="Segoe UI"/>
                <w:b w:val="0"/>
                <w:i/>
                <w:smallCaps w:val="0"/>
                <w:color w:val="auto"/>
                <w:sz w:val="16"/>
                <w:szCs w:val="16"/>
              </w:rPr>
              <w:t>.</w:t>
            </w:r>
            <w:r w:rsidR="00106764" w:rsidRPr="00106764">
              <w:rPr>
                <w:rFonts w:cs="Segoe UI"/>
                <w:b w:val="0"/>
                <w:i/>
                <w:smallCaps w:val="0"/>
                <w:color w:val="auto"/>
                <w:sz w:val="16"/>
                <w:szCs w:val="16"/>
              </w:rPr>
              <w:t xml:space="preserve"> [</w:t>
            </w:r>
            <w:hyperlink r:id="rId37" w:history="1">
              <w:r w:rsidR="00106764" w:rsidRPr="00106764">
                <w:rPr>
                  <w:rStyle w:val="Hypertextovprepojenie"/>
                  <w:rFonts w:cs="Segoe UI"/>
                  <w:b w:val="0"/>
                  <w:i/>
                  <w:smallCaps w:val="0"/>
                  <w:sz w:val="16"/>
                  <w:szCs w:val="16"/>
                </w:rPr>
                <w:t>online</w:t>
              </w:r>
            </w:hyperlink>
            <w:r w:rsidR="00106764" w:rsidRPr="00106764">
              <w:rPr>
                <w:rFonts w:cs="Segoe UI"/>
                <w:b w:val="0"/>
                <w:i/>
                <w:smallCaps w:val="0"/>
                <w:color w:val="auto"/>
                <w:sz w:val="16"/>
                <w:szCs w:val="16"/>
              </w:rPr>
              <w:t>]</w:t>
            </w:r>
            <w:r w:rsidR="00852E67">
              <w:rPr>
                <w:rFonts w:cs="Segoe UI"/>
                <w:b w:val="0"/>
                <w:i/>
                <w:smallCaps w:val="0"/>
                <w:color w:val="auto"/>
                <w:sz w:val="16"/>
                <w:szCs w:val="16"/>
              </w:rPr>
              <w:t>.</w:t>
            </w:r>
          </w:p>
        </w:tc>
      </w:tr>
    </w:tbl>
    <w:p w14:paraId="46C4B098" w14:textId="62F81463" w:rsidR="008038BA" w:rsidRDefault="00131776" w:rsidP="002C027A">
      <w:pPr>
        <w:pStyle w:val="Nadpis2"/>
      </w:pPr>
      <w:bookmarkStart w:id="36" w:name="_Toc136418409"/>
      <w:r>
        <w:lastRenderedPageBreak/>
        <w:t xml:space="preserve">4.4 </w:t>
      </w:r>
      <w:r w:rsidR="00846EB5">
        <w:t>Obrana a b</w:t>
      </w:r>
      <w:r w:rsidR="00B67559">
        <w:t>ezpečnosť</w:t>
      </w:r>
      <w:bookmarkEnd w:id="36"/>
    </w:p>
    <w:p w14:paraId="50D40FEA" w14:textId="297BC859" w:rsidR="00BD0CCF" w:rsidRDefault="00BD0CCF" w:rsidP="00BD0CCF">
      <w:bookmarkStart w:id="37" w:name="_Toc104991346"/>
      <w:r w:rsidRPr="00006881">
        <w:rPr>
          <w:b/>
        </w:rPr>
        <w:t xml:space="preserve">K 31. 12. 2022 vyčerpala kapitola </w:t>
      </w:r>
      <w:r w:rsidR="00006881" w:rsidRPr="00006881">
        <w:rPr>
          <w:b/>
        </w:rPr>
        <w:t xml:space="preserve">obrany </w:t>
      </w:r>
      <w:r w:rsidRPr="00006881">
        <w:rPr>
          <w:b/>
        </w:rPr>
        <w:t>1</w:t>
      </w:r>
      <w:r w:rsidR="00006881" w:rsidRPr="00006881">
        <w:rPr>
          <w:b/>
        </w:rPr>
        <w:t>,</w:t>
      </w:r>
      <w:r w:rsidRPr="00006881">
        <w:rPr>
          <w:b/>
        </w:rPr>
        <w:t>96 ml</w:t>
      </w:r>
      <w:r w:rsidR="00006881" w:rsidRPr="00006881">
        <w:rPr>
          <w:b/>
        </w:rPr>
        <w:t>d</w:t>
      </w:r>
      <w:r w:rsidRPr="00006881">
        <w:rPr>
          <w:b/>
        </w:rPr>
        <w:t xml:space="preserve">. eur, čím bol o 6,93 % prekročený </w:t>
      </w:r>
      <w:r w:rsidR="00006881" w:rsidRPr="00006881">
        <w:rPr>
          <w:b/>
        </w:rPr>
        <w:t xml:space="preserve">pôvodne </w:t>
      </w:r>
      <w:r w:rsidRPr="00006881">
        <w:rPr>
          <w:b/>
        </w:rPr>
        <w:t>schválený rozpočet.</w:t>
      </w:r>
      <w:r>
        <w:t xml:space="preserve"> Pomer vyčerpaných finančných prostriedkov </w:t>
      </w:r>
      <w:r w:rsidR="00A90FA2">
        <w:t>na</w:t>
      </w:r>
      <w:r>
        <w:t xml:space="preserve"> rozvoj a pr</w:t>
      </w:r>
      <w:r w:rsidR="004C18E7">
        <w:t>evádzku bol 39,53 % ku 60,47 %.</w:t>
      </w:r>
    </w:p>
    <w:p w14:paraId="0B9FEC7A" w14:textId="0DEC5C24" w:rsidR="004C18E7" w:rsidRDefault="004C18E7" w:rsidP="004C18E7">
      <w:r w:rsidRPr="002772C7">
        <w:rPr>
          <w:b/>
        </w:rPr>
        <w:t xml:space="preserve">Najdôležitejšími programami s podielom na čerpaní výdavkov vo výške 99,8 </w:t>
      </w:r>
      <w:r w:rsidRPr="002772C7">
        <w:rPr>
          <w:b/>
          <w:lang w:val="en-US"/>
        </w:rPr>
        <w:t>%</w:t>
      </w:r>
      <w:r w:rsidRPr="002772C7">
        <w:rPr>
          <w:b/>
        </w:rPr>
        <w:t xml:space="preserve"> boli obrana a rozvoj obrany</w:t>
      </w:r>
      <w:r>
        <w:t xml:space="preserve"> (</w:t>
      </w:r>
      <w:r w:rsidRPr="007351BC">
        <w:t>graf</w:t>
      </w:r>
      <w:r w:rsidR="00642FF1">
        <w:t xml:space="preserve"> 29).</w:t>
      </w:r>
    </w:p>
    <w:bookmarkEnd w:id="37"/>
    <w:p w14:paraId="086726FA" w14:textId="77777777" w:rsidR="00006881" w:rsidRPr="00BC3CA3" w:rsidRDefault="00006881" w:rsidP="00006881">
      <w:pPr>
        <w:pStyle w:val="Popis"/>
        <w:keepNext/>
        <w:rPr>
          <w:color w:val="314364"/>
        </w:rPr>
      </w:pPr>
      <w:r w:rsidRPr="00BC3CA3">
        <w:rPr>
          <w:color w:val="314364"/>
        </w:rPr>
        <w:t>Graf</w:t>
      </w:r>
      <w:r>
        <w:rPr>
          <w:color w:val="314364"/>
        </w:rPr>
        <w:t xml:space="preserve"> 29</w:t>
      </w:r>
      <w:r w:rsidRPr="00BC3CA3">
        <w:rPr>
          <w:color w:val="314364"/>
        </w:rPr>
        <w:t xml:space="preserve">: </w:t>
      </w:r>
      <w:r>
        <w:rPr>
          <w:color w:val="314364"/>
        </w:rPr>
        <w:t xml:space="preserve">Výdavky kapitoly MO SR na vybrané (pod)programy v roku 2022(v mil. eur, v </w:t>
      </w:r>
      <w:r>
        <w:rPr>
          <w:color w:val="314364"/>
          <w:lang w:val="en-US"/>
        </w:rPr>
        <w:t>%</w:t>
      </w:r>
      <w:r>
        <w:rPr>
          <w:color w:val="314364"/>
        </w:rPr>
        <w:t>)</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006881" w:rsidRPr="00C75134" w14:paraId="07B257A2" w14:textId="77777777" w:rsidTr="00F24D0F">
        <w:trPr>
          <w:trHeight w:val="3402"/>
        </w:trPr>
        <w:tc>
          <w:tcPr>
            <w:tcW w:w="9070" w:type="dxa"/>
            <w:tcBorders>
              <w:top w:val="single" w:sz="4" w:space="0" w:color="314364"/>
              <w:bottom w:val="single" w:sz="4" w:space="0" w:color="314364"/>
            </w:tcBorders>
            <w:vAlign w:val="center"/>
          </w:tcPr>
          <w:p w14:paraId="784EF24C" w14:textId="77777777" w:rsidR="00006881" w:rsidRPr="00C75134" w:rsidRDefault="00006881" w:rsidP="00F24D0F">
            <w:pPr>
              <w:spacing w:after="0"/>
              <w:rPr>
                <w:b/>
                <w:color w:val="576431"/>
              </w:rPr>
            </w:pPr>
            <w:r>
              <w:rPr>
                <w:noProof/>
                <w:lang w:eastAsia="sk-SK"/>
              </w:rPr>
              <w:drawing>
                <wp:inline distT="0" distB="0" distL="0" distR="0" wp14:anchorId="1084249C" wp14:editId="387D1F02">
                  <wp:extent cx="5759450" cy="2354580"/>
                  <wp:effectExtent l="0" t="0" r="0" b="762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5FD88571" w14:textId="00530DC6" w:rsidR="00006881" w:rsidRDefault="00006881" w:rsidP="00006881">
      <w:pPr>
        <w:pStyle w:val="Zdroj"/>
      </w:pPr>
      <w:r>
        <w:t xml:space="preserve">Zdroj: RIS; výpočty a </w:t>
      </w:r>
      <w:r w:rsidRPr="00E6404F">
        <w:t>spracovanie NKÚ SR</w:t>
      </w:r>
      <w:r>
        <w:t>.</w:t>
      </w:r>
    </w:p>
    <w:p w14:paraId="1365ACAF" w14:textId="77777777" w:rsidR="00642FF1" w:rsidRDefault="00642FF1" w:rsidP="00642FF1">
      <w:r>
        <w:t xml:space="preserve">Nárast objemu finančných prostriedkov pri týchto dvoch najväčších programoch bol za posledných päť rokov o 80 </w:t>
      </w:r>
      <w:r>
        <w:rPr>
          <w:lang w:val="en-US"/>
        </w:rPr>
        <w:t xml:space="preserve">%, t. j. o </w:t>
      </w:r>
      <w:r>
        <w:t>871,3 mil. eur (graf 30).</w:t>
      </w:r>
    </w:p>
    <w:p w14:paraId="11CA3B7B" w14:textId="77777777" w:rsidR="00017CA7" w:rsidRPr="00BC3CA3" w:rsidRDefault="00017CA7" w:rsidP="00017CA7">
      <w:pPr>
        <w:pStyle w:val="Popis"/>
        <w:keepNext/>
        <w:rPr>
          <w:color w:val="314364"/>
        </w:rPr>
      </w:pPr>
      <w:r w:rsidRPr="00BC3CA3">
        <w:rPr>
          <w:color w:val="314364"/>
        </w:rPr>
        <w:t>Graf</w:t>
      </w:r>
      <w:r>
        <w:rPr>
          <w:color w:val="314364"/>
        </w:rPr>
        <w:t xml:space="preserve"> 30</w:t>
      </w:r>
      <w:r w:rsidRPr="00BC3CA3">
        <w:rPr>
          <w:color w:val="314364"/>
        </w:rPr>
        <w:t xml:space="preserve">: </w:t>
      </w:r>
      <w:r>
        <w:rPr>
          <w:color w:val="314364"/>
        </w:rPr>
        <w:t>Vývoj čerpania výdavkov podľa programovej štruktúry rozpočtu MO SR (v mil. eur)*</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070"/>
      </w:tblGrid>
      <w:tr w:rsidR="00017CA7" w:rsidRPr="00C75134" w14:paraId="5DD70E4D" w14:textId="77777777" w:rsidTr="00DD5D9D">
        <w:trPr>
          <w:trHeight w:val="2948"/>
        </w:trPr>
        <w:tc>
          <w:tcPr>
            <w:tcW w:w="9070" w:type="dxa"/>
            <w:tcBorders>
              <w:top w:val="single" w:sz="4" w:space="0" w:color="314364"/>
              <w:bottom w:val="single" w:sz="4" w:space="0" w:color="314364"/>
            </w:tcBorders>
            <w:vAlign w:val="center"/>
          </w:tcPr>
          <w:p w14:paraId="16588AF1" w14:textId="77777777" w:rsidR="00017CA7" w:rsidRPr="00C75134" w:rsidRDefault="00017CA7" w:rsidP="00DD5D9D">
            <w:pPr>
              <w:spacing w:after="0"/>
              <w:rPr>
                <w:b/>
                <w:color w:val="576431"/>
              </w:rPr>
            </w:pPr>
            <w:r>
              <w:rPr>
                <w:noProof/>
                <w:lang w:eastAsia="sk-SK"/>
              </w:rPr>
              <w:drawing>
                <wp:inline distT="0" distB="0" distL="0" distR="0" wp14:anchorId="6C847C8B" wp14:editId="0D23C62B">
                  <wp:extent cx="5759450" cy="1952625"/>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p w14:paraId="1E4C7624" w14:textId="77777777" w:rsidR="00017CA7" w:rsidRDefault="00017CA7" w:rsidP="00017CA7">
      <w:pPr>
        <w:pStyle w:val="Zdroj"/>
        <w:spacing w:after="0"/>
      </w:pPr>
      <w:r>
        <w:t xml:space="preserve">Zdroj: RIS; </w:t>
      </w:r>
      <w:r w:rsidRPr="00E6404F">
        <w:t>spracovanie NKÚ SR</w:t>
      </w:r>
      <w:r>
        <w:t>.</w:t>
      </w:r>
    </w:p>
    <w:p w14:paraId="765D1891" w14:textId="4C229BE2" w:rsidR="00017CA7" w:rsidRDefault="00017CA7" w:rsidP="00017CA7">
      <w:pPr>
        <w:pStyle w:val="Zdroj"/>
      </w:pPr>
      <w:r>
        <w:t>* v grafe sú zobrazené všetky uvedené programy, avšak štyri z nich sú objemovo nevýznamné.</w:t>
      </w:r>
    </w:p>
    <w:p w14:paraId="4D435241" w14:textId="07373FB8" w:rsidR="00BD0CCF" w:rsidRDefault="00BD0CCF" w:rsidP="00BD0CCF">
      <w:r>
        <w:lastRenderedPageBreak/>
        <w:t xml:space="preserve">Objemovo najväčším je program </w:t>
      </w:r>
      <w:r w:rsidR="002772C7" w:rsidRPr="002772C7">
        <w:t>o</w:t>
      </w:r>
      <w:r w:rsidRPr="002772C7">
        <w:t>brana</w:t>
      </w:r>
      <w:r>
        <w:t>, vďaka ktorému bol zabezpečovaný e</w:t>
      </w:r>
      <w:r w:rsidRPr="004377BD">
        <w:t xml:space="preserve">fektívny a hospodárny systém riadenia, velenia, zaručovania a podpory obrany </w:t>
      </w:r>
      <w:r>
        <w:t>SR. Čerpanie výdavkov bolo v objeme 1 185,6 mil. eur, čím bolo dosiahnuté naplnenie schváleného rozpočtu (vrátane VPS) na úrovni 99,49 </w:t>
      </w:r>
      <w:r w:rsidRPr="00CD14A0">
        <w:t xml:space="preserve">%. Najvýznamnejším nedostatkom </w:t>
      </w:r>
      <w:r>
        <w:t>je, že v</w:t>
      </w:r>
      <w:r w:rsidRPr="00CD14A0">
        <w:t>äčšia časť jednotiek</w:t>
      </w:r>
      <w:r w:rsidR="00C00AFB">
        <w:t>,</w:t>
      </w:r>
      <w:r w:rsidRPr="00CD14A0">
        <w:t xml:space="preserve"> deklarovaných a budovaných na základe </w:t>
      </w:r>
      <w:r w:rsidR="005E0F72">
        <w:t>c</w:t>
      </w:r>
      <w:r w:rsidRPr="00CD14A0">
        <w:t xml:space="preserve">ieľov spôsobilostí má nedostatky spôsobené zastaranou výzbrojou, výstrojom a materiálom, nedostatkom personálu, ako aj obmedzenou </w:t>
      </w:r>
      <w:proofErr w:type="spellStart"/>
      <w:r w:rsidRPr="00CD14A0">
        <w:t>interoperabilitou</w:t>
      </w:r>
      <w:proofErr w:type="spellEnd"/>
      <w:r w:rsidRPr="00CD14A0">
        <w:t xml:space="preserve"> komunikačných a in</w:t>
      </w:r>
      <w:r>
        <w:t xml:space="preserve">formačných systémov. </w:t>
      </w:r>
      <w:r w:rsidRPr="00CD14A0">
        <w:t xml:space="preserve">Problematická je </w:t>
      </w:r>
      <w:r>
        <w:t xml:space="preserve">aj </w:t>
      </w:r>
      <w:r w:rsidRPr="00CD14A0">
        <w:t>nízka personálna naplnenosť jednotlivých jednotiek</w:t>
      </w:r>
      <w:r w:rsidR="00C00AFB">
        <w:t>,</w:t>
      </w:r>
      <w:r w:rsidRPr="00CD14A0">
        <w:t xml:space="preserve"> deklarovaných pre plnenie </w:t>
      </w:r>
      <w:r>
        <w:t xml:space="preserve">cieľov </w:t>
      </w:r>
      <w:r w:rsidRPr="00CD14A0">
        <w:t>v silách vysokej pripravenosti (nutnosť doplnenia zo síl nižšej pripravenosti). Prebiehajúce modernizačné a akvizičné projekty sú zamerané na doplnenie zásob munície a ďalšieho materiálu, nevyhnutného pre dosiahnutie požadovanej úro</w:t>
      </w:r>
      <w:r>
        <w:t>vne deklarovaných spôsobilostí.</w:t>
      </w:r>
    </w:p>
    <w:p w14:paraId="689192D7" w14:textId="77777777" w:rsidR="005E0F72" w:rsidRDefault="005E0F72" w:rsidP="005E0F72">
      <w:r w:rsidRPr="005E0F72">
        <w:rPr>
          <w:b/>
        </w:rPr>
        <w:t xml:space="preserve">Druhým najväčším programom je rozvoj obrany, kde bolo v roku 2022 vyčerpaných 774,3 mil. eur, pričom schválený rozpočet </w:t>
      </w:r>
      <w:r w:rsidRPr="005E0F72">
        <w:t>(vrátane VPS)</w:t>
      </w:r>
      <w:r w:rsidRPr="005E0F72">
        <w:rPr>
          <w:b/>
        </w:rPr>
        <w:t xml:space="preserve"> bol prekročený o 21,36 </w:t>
      </w:r>
      <w:r w:rsidRPr="005E0F72">
        <w:rPr>
          <w:b/>
          <w:lang w:val="en-US"/>
        </w:rPr>
        <w:t>%</w:t>
      </w:r>
      <w:r w:rsidRPr="005E0F72">
        <w:rPr>
          <w:b/>
        </w:rPr>
        <w:t>.</w:t>
      </w:r>
      <w:r>
        <w:t xml:space="preserve"> </w:t>
      </w:r>
      <w:r w:rsidRPr="00CD14A0">
        <w:t xml:space="preserve">Najväčší vplyv na čerpanie finančných prostriedkov v hodnotenom období mali uhradené platby v rámci projektov </w:t>
      </w:r>
      <w:r>
        <w:t>PBOV</w:t>
      </w:r>
      <w:r w:rsidRPr="00CD14A0">
        <w:t xml:space="preserve">, </w:t>
      </w:r>
      <w:r>
        <w:t>BOV</w:t>
      </w:r>
      <w:r w:rsidRPr="00CD14A0">
        <w:t xml:space="preserve">, </w:t>
      </w:r>
      <w:r>
        <w:t>D</w:t>
      </w:r>
      <w:r w:rsidRPr="00CD14A0">
        <w:t>elostrelec</w:t>
      </w:r>
      <w:r>
        <w:t>ké</w:t>
      </w:r>
      <w:r w:rsidRPr="00CD14A0">
        <w:t xml:space="preserve"> palebné systémy, Pasívne prostriedky </w:t>
      </w:r>
      <w:proofErr w:type="spellStart"/>
      <w:r w:rsidRPr="00CD14A0">
        <w:t>rádiolokačného</w:t>
      </w:r>
      <w:proofErr w:type="spellEnd"/>
      <w:r w:rsidRPr="00CD14A0">
        <w:t xml:space="preserve"> prieskumu, Rádiolokátor 3D malý dosah, Rádiolokátor prehľadový letiskový, Rádiolokátor 3D stredný dosah, Viacúčelové vrtuľníky a Špeciálne rádiové systémy.</w:t>
      </w:r>
    </w:p>
    <w:p w14:paraId="54CC5A92" w14:textId="48B8D509" w:rsidR="008038BA" w:rsidRDefault="00131776" w:rsidP="005603E6">
      <w:pPr>
        <w:pStyle w:val="Nadpis3"/>
      </w:pPr>
      <w:bookmarkStart w:id="38" w:name="_Toc136418410"/>
      <w:r>
        <w:t xml:space="preserve">4.4.1 </w:t>
      </w:r>
      <w:r w:rsidR="008038BA">
        <w:t>Výdavky na Ukrajinu</w:t>
      </w:r>
      <w:bookmarkEnd w:id="38"/>
    </w:p>
    <w:p w14:paraId="4811C1E7" w14:textId="4C774A7B" w:rsidR="00C074E2" w:rsidRPr="008405F3" w:rsidRDefault="00C074E2" w:rsidP="00C074E2">
      <w:pPr>
        <w:ind w:right="-2"/>
        <w:rPr>
          <w:rFonts w:cs="Segoe UI"/>
          <w:szCs w:val="20"/>
        </w:rPr>
      </w:pPr>
      <w:r w:rsidRPr="00A90FA2">
        <w:rPr>
          <w:rFonts w:cs="Segoe UI"/>
          <w:b/>
          <w:szCs w:val="20"/>
        </w:rPr>
        <w:t xml:space="preserve">SR </w:t>
      </w:r>
      <w:r w:rsidR="006B7D1B" w:rsidRPr="00A90FA2">
        <w:rPr>
          <w:rFonts w:cs="Segoe UI"/>
          <w:b/>
          <w:szCs w:val="20"/>
        </w:rPr>
        <w:t>mala</w:t>
      </w:r>
      <w:r w:rsidRPr="00A90FA2">
        <w:rPr>
          <w:rFonts w:cs="Segoe UI"/>
          <w:b/>
          <w:szCs w:val="20"/>
        </w:rPr>
        <w:t xml:space="preserve"> v roku 2022 </w:t>
      </w:r>
      <w:r w:rsidR="006B7D1B" w:rsidRPr="00A90FA2">
        <w:rPr>
          <w:rFonts w:cs="Segoe UI"/>
          <w:b/>
          <w:szCs w:val="20"/>
        </w:rPr>
        <w:t>podiel celkových</w:t>
      </w:r>
      <w:r w:rsidRPr="00A90FA2">
        <w:rPr>
          <w:rFonts w:cs="Segoe UI"/>
          <w:b/>
          <w:szCs w:val="20"/>
        </w:rPr>
        <w:t xml:space="preserve"> priamych bilaterálnych záväzkov voči Ukrajine</w:t>
      </w:r>
      <w:r w:rsidR="006B7D1B" w:rsidRPr="00A90FA2">
        <w:rPr>
          <w:rFonts w:cs="Segoe UI"/>
          <w:b/>
          <w:szCs w:val="20"/>
        </w:rPr>
        <w:t xml:space="preserve"> vo výške 0,21 % HDP</w:t>
      </w:r>
      <w:r w:rsidR="006B7D1B">
        <w:rPr>
          <w:rFonts w:cs="Segoe UI"/>
          <w:szCs w:val="20"/>
        </w:rPr>
        <w:t xml:space="preserve"> (215,2 mil. eur).</w:t>
      </w:r>
      <w:r w:rsidRPr="008405F3">
        <w:rPr>
          <w:rFonts w:cs="Segoe UI"/>
          <w:szCs w:val="20"/>
        </w:rPr>
        <w:t xml:space="preserve"> </w:t>
      </w:r>
      <w:r w:rsidR="006B7D1B">
        <w:rPr>
          <w:rFonts w:cs="Segoe UI"/>
          <w:szCs w:val="20"/>
        </w:rPr>
        <w:t>Táto hodnota radí SR v rebríčku 40 vybraných štátov sveta na 10 miesto.</w:t>
      </w:r>
      <w:r w:rsidR="006B7D1B" w:rsidRPr="006B7D1B">
        <w:rPr>
          <w:rStyle w:val="Odkaznapoznmkupodiarou"/>
          <w:rFonts w:cs="Segoe UI"/>
          <w:szCs w:val="20"/>
        </w:rPr>
        <w:t xml:space="preserve"> </w:t>
      </w:r>
      <w:r w:rsidR="006B7D1B" w:rsidRPr="00351F78">
        <w:rPr>
          <w:rStyle w:val="Odkaznapoznmkupodiarou"/>
          <w:rFonts w:cs="Segoe UI"/>
          <w:szCs w:val="20"/>
        </w:rPr>
        <w:footnoteReference w:id="38"/>
      </w:r>
      <w:r w:rsidR="006B7D1B">
        <w:rPr>
          <w:rFonts w:cs="Segoe UI"/>
          <w:szCs w:val="20"/>
        </w:rPr>
        <w:t xml:space="preserve"> </w:t>
      </w:r>
      <w:r w:rsidRPr="008405F3">
        <w:rPr>
          <w:rFonts w:cs="Segoe UI"/>
          <w:szCs w:val="20"/>
        </w:rPr>
        <w:t xml:space="preserve">Takmer celý objem týchto záväzkov voči Ukrajine tvorili vojenské záväzky </w:t>
      </w:r>
      <w:r w:rsidR="00C00AFB">
        <w:rPr>
          <w:rFonts w:cs="Segoe UI"/>
          <w:szCs w:val="20"/>
        </w:rPr>
        <w:t xml:space="preserve">– </w:t>
      </w:r>
      <w:r w:rsidRPr="008405F3">
        <w:rPr>
          <w:rFonts w:cs="Segoe UI"/>
          <w:szCs w:val="20"/>
        </w:rPr>
        <w:t xml:space="preserve">210,2 mil. eur; 97,7 </w:t>
      </w:r>
      <w:r w:rsidRPr="008405F3">
        <w:rPr>
          <w:rFonts w:cs="Segoe UI"/>
          <w:szCs w:val="20"/>
          <w:lang w:val="en-US"/>
        </w:rPr>
        <w:t>%</w:t>
      </w:r>
      <w:r w:rsidRPr="008405F3">
        <w:rPr>
          <w:rFonts w:cs="Segoe UI"/>
          <w:szCs w:val="20"/>
        </w:rPr>
        <w:t>.</w:t>
      </w:r>
    </w:p>
    <w:p w14:paraId="4333BAD8" w14:textId="3C469568" w:rsidR="00C074E2" w:rsidRDefault="00C074E2" w:rsidP="00C074E2">
      <w:pPr>
        <w:spacing w:before="120"/>
        <w:ind w:right="-2"/>
        <w:rPr>
          <w:rFonts w:cs="Segoe UI"/>
          <w:szCs w:val="20"/>
        </w:rPr>
      </w:pPr>
      <w:r w:rsidRPr="00681766">
        <w:rPr>
          <w:rFonts w:cs="Segoe UI"/>
          <w:b/>
        </w:rPr>
        <w:t>Finančné prostriedky čerpané zo ŠR na Ukrajinu dosiahli v</w:t>
      </w:r>
      <w:r w:rsidR="00C03836">
        <w:rPr>
          <w:rFonts w:cs="Segoe UI"/>
          <w:b/>
        </w:rPr>
        <w:t xml:space="preserve"> minulom </w:t>
      </w:r>
      <w:r w:rsidRPr="00681766">
        <w:rPr>
          <w:rFonts w:cs="Segoe UI"/>
          <w:b/>
        </w:rPr>
        <w:t>roku 194,5 mil. eur.</w:t>
      </w:r>
      <w:r>
        <w:rPr>
          <w:rFonts w:cs="Segoe UI"/>
        </w:rPr>
        <w:t xml:space="preserve"> </w:t>
      </w:r>
      <w:r>
        <w:rPr>
          <w:rFonts w:cs="Segoe UI"/>
          <w:szCs w:val="20"/>
        </w:rPr>
        <w:t xml:space="preserve">Skutočné čerpanie rozpočtu dosiahlo v decembri 2022 hodnotu 97,3 </w:t>
      </w:r>
      <w:r>
        <w:rPr>
          <w:rFonts w:cs="Segoe UI"/>
          <w:szCs w:val="20"/>
          <w:lang w:val="en-US"/>
        </w:rPr>
        <w:t>%</w:t>
      </w:r>
      <w:r>
        <w:rPr>
          <w:rFonts w:cs="Segoe UI"/>
          <w:szCs w:val="20"/>
        </w:rPr>
        <w:t>. Z pohľadu kapitol ŠR n</w:t>
      </w:r>
      <w:r w:rsidRPr="006429BD">
        <w:rPr>
          <w:rFonts w:cs="Segoe UI"/>
          <w:szCs w:val="20"/>
        </w:rPr>
        <w:t>ajväčšie výdavky vynaložili MV SR</w:t>
      </w:r>
      <w:r>
        <w:rPr>
          <w:rFonts w:cs="Segoe UI"/>
          <w:szCs w:val="20"/>
        </w:rPr>
        <w:t xml:space="preserve"> </w:t>
      </w:r>
      <w:r w:rsidRPr="006429BD">
        <w:rPr>
          <w:rFonts w:cs="Segoe UI"/>
          <w:szCs w:val="20"/>
        </w:rPr>
        <w:t xml:space="preserve">– </w:t>
      </w:r>
      <w:r>
        <w:rPr>
          <w:rFonts w:cs="Segoe UI"/>
          <w:szCs w:val="20"/>
        </w:rPr>
        <w:t>101</w:t>
      </w:r>
      <w:r w:rsidRPr="006429BD">
        <w:rPr>
          <w:rFonts w:cs="Segoe UI"/>
          <w:szCs w:val="20"/>
        </w:rPr>
        <w:t>,</w:t>
      </w:r>
      <w:r>
        <w:rPr>
          <w:rFonts w:cs="Segoe UI"/>
          <w:szCs w:val="20"/>
        </w:rPr>
        <w:t>52</w:t>
      </w:r>
      <w:r w:rsidRPr="006429BD">
        <w:rPr>
          <w:rFonts w:cs="Segoe UI"/>
          <w:szCs w:val="20"/>
        </w:rPr>
        <w:t> mil</w:t>
      </w:r>
      <w:r>
        <w:rPr>
          <w:rFonts w:cs="Segoe UI"/>
          <w:szCs w:val="20"/>
        </w:rPr>
        <w:t>. </w:t>
      </w:r>
      <w:r w:rsidRPr="006429BD">
        <w:rPr>
          <w:rFonts w:cs="Segoe UI"/>
          <w:szCs w:val="20"/>
        </w:rPr>
        <w:t xml:space="preserve">eur, MO SR – </w:t>
      </w:r>
      <w:r>
        <w:rPr>
          <w:rFonts w:cs="Segoe UI"/>
          <w:szCs w:val="20"/>
        </w:rPr>
        <w:t>20</w:t>
      </w:r>
      <w:r w:rsidRPr="006429BD">
        <w:rPr>
          <w:rFonts w:cs="Segoe UI"/>
          <w:szCs w:val="20"/>
        </w:rPr>
        <w:t>,</w:t>
      </w:r>
      <w:r>
        <w:rPr>
          <w:rFonts w:cs="Segoe UI"/>
          <w:szCs w:val="20"/>
        </w:rPr>
        <w:t>74</w:t>
      </w:r>
      <w:r w:rsidRPr="006429BD">
        <w:rPr>
          <w:rFonts w:cs="Segoe UI"/>
          <w:szCs w:val="20"/>
        </w:rPr>
        <w:t xml:space="preserve"> mil. eur a</w:t>
      </w:r>
      <w:r>
        <w:rPr>
          <w:rFonts w:cs="Segoe UI"/>
          <w:szCs w:val="20"/>
        </w:rPr>
        <w:t> </w:t>
      </w:r>
      <w:r w:rsidRPr="006429BD">
        <w:rPr>
          <w:rFonts w:cs="Segoe UI"/>
          <w:szCs w:val="20"/>
        </w:rPr>
        <w:t>M</w:t>
      </w:r>
      <w:r>
        <w:rPr>
          <w:rFonts w:cs="Segoe UI"/>
          <w:szCs w:val="20"/>
        </w:rPr>
        <w:t>ŠVVaŠ</w:t>
      </w:r>
      <w:r w:rsidRPr="006429BD">
        <w:rPr>
          <w:rFonts w:cs="Segoe UI"/>
          <w:szCs w:val="20"/>
        </w:rPr>
        <w:t xml:space="preserve"> SR – </w:t>
      </w:r>
      <w:r>
        <w:rPr>
          <w:rFonts w:cs="Segoe UI"/>
          <w:szCs w:val="20"/>
        </w:rPr>
        <w:t>19</w:t>
      </w:r>
      <w:r w:rsidRPr="006429BD">
        <w:rPr>
          <w:rFonts w:cs="Segoe UI"/>
          <w:szCs w:val="20"/>
        </w:rPr>
        <w:t>,</w:t>
      </w:r>
      <w:r>
        <w:rPr>
          <w:rFonts w:cs="Segoe UI"/>
          <w:szCs w:val="20"/>
        </w:rPr>
        <w:t>95</w:t>
      </w:r>
      <w:r w:rsidRPr="006429BD">
        <w:rPr>
          <w:rFonts w:cs="Segoe UI"/>
          <w:szCs w:val="20"/>
        </w:rPr>
        <w:t xml:space="preserve"> mil. eur (graf </w:t>
      </w:r>
      <w:r w:rsidR="00376C8E">
        <w:rPr>
          <w:rFonts w:cs="Segoe UI"/>
          <w:szCs w:val="20"/>
        </w:rPr>
        <w:t>3</w:t>
      </w:r>
      <w:r w:rsidR="00A90FA2">
        <w:rPr>
          <w:rFonts w:cs="Segoe UI"/>
          <w:szCs w:val="20"/>
        </w:rPr>
        <w:t>1</w:t>
      </w:r>
      <w:r w:rsidRPr="006429BD">
        <w:rPr>
          <w:rFonts w:cs="Segoe UI"/>
          <w:szCs w:val="20"/>
        </w:rPr>
        <w:t>)</w:t>
      </w:r>
      <w:r w:rsidR="00376C8E">
        <w:rPr>
          <w:rFonts w:cs="Segoe UI"/>
          <w:szCs w:val="20"/>
        </w:rPr>
        <w:t>.</w:t>
      </w:r>
    </w:p>
    <w:p w14:paraId="151A439E" w14:textId="05D46782" w:rsidR="009D3948" w:rsidRPr="006A796C" w:rsidRDefault="009D3948" w:rsidP="009D3948">
      <w:pPr>
        <w:pStyle w:val="Popis"/>
        <w:keepNext/>
        <w:rPr>
          <w:color w:val="314364"/>
        </w:rPr>
      </w:pPr>
      <w:r w:rsidRPr="006A796C">
        <w:rPr>
          <w:color w:val="314364"/>
        </w:rPr>
        <w:t>Graf 3</w:t>
      </w:r>
      <w:r w:rsidR="00A90FA2">
        <w:rPr>
          <w:color w:val="314364"/>
        </w:rPr>
        <w:t>1</w:t>
      </w:r>
      <w:r w:rsidRPr="006A796C">
        <w:rPr>
          <w:color w:val="314364"/>
        </w:rPr>
        <w:t>: Čerpanie výdavkov ŠR v súvislosti s konfliktom na Ukrajine v roku 2022</w:t>
      </w:r>
      <w:r w:rsidR="00C00AFB">
        <w:rPr>
          <w:color w:val="314364"/>
          <w:lang w:val="en-US"/>
        </w:rPr>
        <w:t>;</w:t>
      </w:r>
      <w:r w:rsidRPr="006A796C">
        <w:rPr>
          <w:color w:val="314364"/>
        </w:rPr>
        <w:t xml:space="preserve"> podľa kapitol ŠR (v mil. eur)</w:t>
      </w:r>
    </w:p>
    <w:tbl>
      <w:tblPr>
        <w:tblStyle w:val="Mriekatabuky"/>
        <w:tblW w:w="0" w:type="auto"/>
        <w:tblCellMar>
          <w:left w:w="70" w:type="dxa"/>
          <w:right w:w="70" w:type="dxa"/>
        </w:tblCellMar>
        <w:tblLook w:val="04A0" w:firstRow="1" w:lastRow="0" w:firstColumn="1" w:lastColumn="0" w:noHBand="0" w:noVBand="1"/>
      </w:tblPr>
      <w:tblGrid>
        <w:gridCol w:w="9070"/>
      </w:tblGrid>
      <w:tr w:rsidR="009D3948" w14:paraId="538C3213" w14:textId="77777777" w:rsidTr="009859F8">
        <w:tc>
          <w:tcPr>
            <w:tcW w:w="9060" w:type="dxa"/>
            <w:tcBorders>
              <w:top w:val="single" w:sz="4" w:space="0" w:color="314364" w:themeColor="text2"/>
              <w:left w:val="nil"/>
              <w:bottom w:val="single" w:sz="4" w:space="0" w:color="314364" w:themeColor="text2"/>
              <w:right w:val="nil"/>
            </w:tcBorders>
          </w:tcPr>
          <w:p w14:paraId="2BA0D15A" w14:textId="77777777" w:rsidR="009D3948" w:rsidRDefault="009D3948" w:rsidP="009859F8">
            <w:pPr>
              <w:spacing w:after="0"/>
              <w:jc w:val="center"/>
            </w:pPr>
            <w:r>
              <w:rPr>
                <w:noProof/>
                <w:lang w:eastAsia="sk-SK"/>
              </w:rPr>
              <w:drawing>
                <wp:inline distT="0" distB="0" distL="0" distR="0" wp14:anchorId="2EF257EB" wp14:editId="22239609">
                  <wp:extent cx="5759450" cy="2006221"/>
                  <wp:effectExtent l="0" t="0" r="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4469EE93" w14:textId="2D1C229A" w:rsidR="009D3948" w:rsidRPr="00086439" w:rsidRDefault="009D3948" w:rsidP="009D3948">
      <w:pPr>
        <w:pStyle w:val="Zdroj"/>
      </w:pPr>
      <w:r w:rsidRPr="00086439">
        <w:t>Zdroj: RIS BI dňa 1</w:t>
      </w:r>
      <w:r>
        <w:t>2</w:t>
      </w:r>
      <w:r w:rsidRPr="00086439">
        <w:t xml:space="preserve">. </w:t>
      </w:r>
      <w:r>
        <w:t>4</w:t>
      </w:r>
      <w:r w:rsidRPr="00086439">
        <w:t>. 2023</w:t>
      </w:r>
      <w:r w:rsidR="0024233A">
        <w:t>.</w:t>
      </w:r>
    </w:p>
    <w:p w14:paraId="7DF018F3" w14:textId="466EC6BA" w:rsidR="00C074E2" w:rsidRPr="006429BD" w:rsidRDefault="00C074E2" w:rsidP="00C074E2">
      <w:pPr>
        <w:spacing w:before="120"/>
        <w:ind w:right="-2"/>
        <w:rPr>
          <w:rFonts w:cs="Segoe UI"/>
          <w:szCs w:val="20"/>
        </w:rPr>
      </w:pPr>
      <w:r w:rsidRPr="006429BD">
        <w:rPr>
          <w:rFonts w:cs="Segoe UI"/>
          <w:szCs w:val="20"/>
        </w:rPr>
        <w:t xml:space="preserve">Podľa </w:t>
      </w:r>
      <w:r>
        <w:rPr>
          <w:rFonts w:cs="Segoe UI"/>
          <w:szCs w:val="20"/>
        </w:rPr>
        <w:t xml:space="preserve">odvetví </w:t>
      </w:r>
      <w:r w:rsidRPr="006429BD">
        <w:rPr>
          <w:rFonts w:cs="Segoe UI"/>
          <w:szCs w:val="20"/>
        </w:rPr>
        <w:t xml:space="preserve">boli najväčšie prostriedky čerpané na transfery obciam </w:t>
      </w:r>
      <w:r>
        <w:rPr>
          <w:rFonts w:cs="Segoe UI"/>
          <w:szCs w:val="20"/>
        </w:rPr>
        <w:t>(</w:t>
      </w:r>
      <w:r w:rsidRPr="006429BD">
        <w:rPr>
          <w:rFonts w:cs="Segoe UI"/>
          <w:szCs w:val="20"/>
        </w:rPr>
        <w:t>okrem transferu na úhradu nákladov preneseného výkonu štátnej správy</w:t>
      </w:r>
      <w:r>
        <w:rPr>
          <w:rFonts w:cs="Segoe UI"/>
          <w:szCs w:val="20"/>
        </w:rPr>
        <w:t>)</w:t>
      </w:r>
      <w:r w:rsidRPr="006429BD">
        <w:rPr>
          <w:rFonts w:cs="Segoe UI"/>
          <w:szCs w:val="20"/>
        </w:rPr>
        <w:t xml:space="preserve"> – </w:t>
      </w:r>
      <w:r>
        <w:rPr>
          <w:rFonts w:cs="Segoe UI"/>
          <w:szCs w:val="20"/>
        </w:rPr>
        <w:t>53 </w:t>
      </w:r>
      <w:r w:rsidRPr="006429BD">
        <w:rPr>
          <w:rFonts w:cs="Segoe UI"/>
          <w:szCs w:val="20"/>
        </w:rPr>
        <w:t xml:space="preserve">mil. eur; obciam na úhradu nákladov preneseného </w:t>
      </w:r>
      <w:r w:rsidRPr="006429BD">
        <w:rPr>
          <w:rFonts w:cs="Segoe UI"/>
          <w:szCs w:val="20"/>
        </w:rPr>
        <w:lastRenderedPageBreak/>
        <w:t xml:space="preserve">výkonu štátnej správy – </w:t>
      </w:r>
      <w:r>
        <w:rPr>
          <w:rFonts w:cs="Segoe UI"/>
          <w:szCs w:val="20"/>
        </w:rPr>
        <w:t>15</w:t>
      </w:r>
      <w:r w:rsidRPr="006429BD">
        <w:rPr>
          <w:rFonts w:cs="Segoe UI"/>
          <w:szCs w:val="20"/>
        </w:rPr>
        <w:t>,</w:t>
      </w:r>
      <w:r>
        <w:rPr>
          <w:rFonts w:cs="Segoe UI"/>
          <w:szCs w:val="20"/>
        </w:rPr>
        <w:t>6</w:t>
      </w:r>
      <w:r w:rsidRPr="006429BD">
        <w:rPr>
          <w:rFonts w:cs="Segoe UI"/>
          <w:szCs w:val="20"/>
        </w:rPr>
        <w:t xml:space="preserve"> mil. eur</w:t>
      </w:r>
      <w:r>
        <w:rPr>
          <w:rFonts w:cs="Segoe UI"/>
          <w:szCs w:val="20"/>
        </w:rPr>
        <w:t xml:space="preserve"> a ostatným právnickým osobám – 14,7 mil. eur</w:t>
      </w:r>
      <w:r w:rsidRPr="006429BD">
        <w:rPr>
          <w:rFonts w:cs="Segoe UI"/>
          <w:szCs w:val="20"/>
        </w:rPr>
        <w:t xml:space="preserve">. V rámci funkčnej klasifikácie smerovali najväčšie prostriedky pre výkonné a zákonodarné orgány – </w:t>
      </w:r>
      <w:r>
        <w:rPr>
          <w:rFonts w:cs="Segoe UI"/>
          <w:szCs w:val="20"/>
        </w:rPr>
        <w:t>60,88</w:t>
      </w:r>
      <w:r w:rsidRPr="006429BD">
        <w:rPr>
          <w:rFonts w:cs="Segoe UI"/>
          <w:szCs w:val="20"/>
        </w:rPr>
        <w:t xml:space="preserve"> mil. eur; </w:t>
      </w:r>
      <w:r>
        <w:rPr>
          <w:rFonts w:cs="Segoe UI"/>
          <w:szCs w:val="20"/>
        </w:rPr>
        <w:t xml:space="preserve">policajné služby – 23,4 mil. eur a </w:t>
      </w:r>
      <w:r w:rsidRPr="006429BD">
        <w:rPr>
          <w:rFonts w:cs="Segoe UI"/>
          <w:szCs w:val="20"/>
        </w:rPr>
        <w:t xml:space="preserve">vojenskú obranu – </w:t>
      </w:r>
      <w:r>
        <w:rPr>
          <w:rFonts w:cs="Segoe UI"/>
          <w:szCs w:val="20"/>
        </w:rPr>
        <w:t xml:space="preserve">22,44 </w:t>
      </w:r>
      <w:r w:rsidRPr="006429BD">
        <w:rPr>
          <w:rFonts w:cs="Segoe UI"/>
          <w:szCs w:val="20"/>
        </w:rPr>
        <w:t xml:space="preserve">mil. eur. Najväčšie čerpanie výdavkov podľa programového rozpočtu bolo realizované v rámci prvkov všeobecná vnútorná správa a živnostenské podnikanie – </w:t>
      </w:r>
      <w:r>
        <w:rPr>
          <w:rFonts w:cs="Segoe UI"/>
          <w:szCs w:val="20"/>
        </w:rPr>
        <w:t>60,</w:t>
      </w:r>
      <w:r w:rsidR="00376C8E">
        <w:rPr>
          <w:rFonts w:cs="Segoe UI"/>
          <w:szCs w:val="20"/>
        </w:rPr>
        <w:t>4</w:t>
      </w:r>
      <w:r w:rsidRPr="006429BD">
        <w:rPr>
          <w:rFonts w:cs="Segoe UI"/>
          <w:szCs w:val="20"/>
        </w:rPr>
        <w:t xml:space="preserve"> mil. eur; </w:t>
      </w:r>
      <w:r>
        <w:rPr>
          <w:rFonts w:cs="Segoe UI"/>
          <w:szCs w:val="20"/>
        </w:rPr>
        <w:t>p</w:t>
      </w:r>
      <w:r w:rsidRPr="0009323C">
        <w:rPr>
          <w:rFonts w:cs="Segoe UI"/>
          <w:szCs w:val="20"/>
        </w:rPr>
        <w:t>oskytovanie výchovy a vzdelávania v materských, základných a stredných školách</w:t>
      </w:r>
      <w:r>
        <w:rPr>
          <w:rFonts w:cs="Segoe UI"/>
          <w:szCs w:val="20"/>
        </w:rPr>
        <w:t xml:space="preserve"> a zabezpečenie ich prevádzky </w:t>
      </w:r>
      <w:r w:rsidRPr="0009323C">
        <w:rPr>
          <w:rFonts w:cs="Segoe UI"/>
          <w:szCs w:val="20"/>
        </w:rPr>
        <w:t>MŠVVaŠ SR</w:t>
      </w:r>
      <w:r w:rsidRPr="006429BD">
        <w:rPr>
          <w:rFonts w:cs="Segoe UI"/>
          <w:szCs w:val="20"/>
        </w:rPr>
        <w:t xml:space="preserve"> – </w:t>
      </w:r>
      <w:r>
        <w:rPr>
          <w:rFonts w:cs="Segoe UI"/>
          <w:szCs w:val="20"/>
        </w:rPr>
        <w:t>19,5</w:t>
      </w:r>
      <w:r w:rsidRPr="006429BD">
        <w:rPr>
          <w:rFonts w:cs="Segoe UI"/>
          <w:szCs w:val="20"/>
        </w:rPr>
        <w:t xml:space="preserve"> mil. eur a</w:t>
      </w:r>
      <w:r>
        <w:rPr>
          <w:rFonts w:cs="Segoe UI"/>
          <w:szCs w:val="20"/>
        </w:rPr>
        <w:t xml:space="preserve"> na p</w:t>
      </w:r>
      <w:r w:rsidRPr="0009323C">
        <w:rPr>
          <w:rFonts w:cs="Segoe UI"/>
          <w:szCs w:val="20"/>
        </w:rPr>
        <w:t>ríspevok za poskytnutie ubytovania odídencovi</w:t>
      </w:r>
      <w:r w:rsidRPr="006429BD">
        <w:rPr>
          <w:rFonts w:cs="Segoe UI"/>
          <w:szCs w:val="20"/>
        </w:rPr>
        <w:t xml:space="preserve"> – </w:t>
      </w:r>
      <w:r>
        <w:rPr>
          <w:rFonts w:cs="Segoe UI"/>
          <w:szCs w:val="20"/>
        </w:rPr>
        <w:t>15,6</w:t>
      </w:r>
      <w:r w:rsidRPr="006429BD">
        <w:rPr>
          <w:rFonts w:cs="Segoe UI"/>
          <w:szCs w:val="20"/>
        </w:rPr>
        <w:t xml:space="preserve"> mil. eur.</w:t>
      </w:r>
    </w:p>
    <w:p w14:paraId="3ADEF34A" w14:textId="259ED503" w:rsidR="008038BA" w:rsidRDefault="00131776" w:rsidP="005603E6">
      <w:pPr>
        <w:pStyle w:val="Nadpis3"/>
      </w:pPr>
      <w:bookmarkStart w:id="39" w:name="_Toc136418411"/>
      <w:r>
        <w:t xml:space="preserve">4.4.2 </w:t>
      </w:r>
      <w:r w:rsidR="008038BA">
        <w:t>Darovanie majetku Ukrajine</w:t>
      </w:r>
      <w:bookmarkEnd w:id="39"/>
    </w:p>
    <w:p w14:paraId="67A61564" w14:textId="20220C9E" w:rsidR="00C074E2" w:rsidRDefault="00C074E2" w:rsidP="00C074E2">
      <w:pPr>
        <w:spacing w:before="120"/>
        <w:ind w:right="-2"/>
        <w:rPr>
          <w:rFonts w:cs="Segoe UI"/>
          <w:szCs w:val="20"/>
        </w:rPr>
      </w:pPr>
      <w:r w:rsidRPr="00C42DC0">
        <w:rPr>
          <w:rFonts w:cs="Segoe UI"/>
          <w:szCs w:val="20"/>
        </w:rPr>
        <w:t xml:space="preserve">Vláda SR v roku 2022 v reakcii na konflikt na Ukrajine prijala 50 verejných uznesení s vplyvom na RVS alebo majetok SR. Kvantifikovateľná časť týchto uznesení prijatých v roku 2022 je v sume </w:t>
      </w:r>
      <w:r w:rsidR="00050329">
        <w:rPr>
          <w:rFonts w:cs="Segoe UI"/>
          <w:szCs w:val="20"/>
        </w:rPr>
        <w:t>300 mil.</w:t>
      </w:r>
      <w:r w:rsidRPr="00C42DC0">
        <w:rPr>
          <w:rFonts w:cs="Segoe UI"/>
          <w:szCs w:val="20"/>
        </w:rPr>
        <w:t xml:space="preserve"> eur. </w:t>
      </w:r>
      <w:r w:rsidR="00E05940">
        <w:rPr>
          <w:rFonts w:cs="Segoe UI"/>
          <w:szCs w:val="20"/>
        </w:rPr>
        <w:t xml:space="preserve">Darovania sa týkalo </w:t>
      </w:r>
      <w:r w:rsidRPr="00C42DC0">
        <w:rPr>
          <w:rFonts w:cs="Segoe UI"/>
          <w:szCs w:val="20"/>
        </w:rPr>
        <w:t xml:space="preserve">12 </w:t>
      </w:r>
      <w:r w:rsidR="00E05940">
        <w:rPr>
          <w:rFonts w:cs="Segoe UI"/>
          <w:szCs w:val="20"/>
        </w:rPr>
        <w:t>uznesení:</w:t>
      </w:r>
      <w:r w:rsidRPr="00C42DC0">
        <w:rPr>
          <w:rFonts w:cs="Segoe UI"/>
          <w:szCs w:val="20"/>
        </w:rPr>
        <w:t xml:space="preserve"> 11 MO SR </w:t>
      </w:r>
      <w:r w:rsidR="00C00AFB">
        <w:rPr>
          <w:rFonts w:cs="Segoe UI"/>
          <w:szCs w:val="20"/>
        </w:rPr>
        <w:t xml:space="preserve">– </w:t>
      </w:r>
      <w:r w:rsidRPr="00C42DC0">
        <w:rPr>
          <w:rFonts w:cs="Segoe UI"/>
          <w:szCs w:val="20"/>
        </w:rPr>
        <w:t xml:space="preserve">vojenský materiál, </w:t>
      </w:r>
      <w:r w:rsidR="00050329">
        <w:rPr>
          <w:rFonts w:cs="Segoe UI"/>
          <w:szCs w:val="20"/>
        </w:rPr>
        <w:t>jedno</w:t>
      </w:r>
      <w:r w:rsidRPr="00C42DC0">
        <w:rPr>
          <w:rFonts w:cs="Segoe UI"/>
          <w:szCs w:val="20"/>
        </w:rPr>
        <w:t xml:space="preserve"> M</w:t>
      </w:r>
      <w:r w:rsidR="00050329">
        <w:rPr>
          <w:rFonts w:cs="Segoe UI"/>
          <w:szCs w:val="20"/>
        </w:rPr>
        <w:t>H</w:t>
      </w:r>
      <w:r w:rsidRPr="00C42DC0">
        <w:rPr>
          <w:rFonts w:cs="Segoe UI"/>
          <w:szCs w:val="20"/>
        </w:rPr>
        <w:t xml:space="preserve"> </w:t>
      </w:r>
      <w:r w:rsidR="00C00AFB">
        <w:rPr>
          <w:rFonts w:cs="Segoe UI"/>
          <w:szCs w:val="20"/>
        </w:rPr>
        <w:t xml:space="preserve">– </w:t>
      </w:r>
      <w:r w:rsidRPr="00C42DC0">
        <w:rPr>
          <w:rFonts w:cs="Segoe UI"/>
          <w:szCs w:val="20"/>
        </w:rPr>
        <w:t>nafta a letecké palivo</w:t>
      </w:r>
      <w:r w:rsidR="00E05940">
        <w:rPr>
          <w:rFonts w:cs="Segoe UI"/>
          <w:szCs w:val="20"/>
        </w:rPr>
        <w:t>, pričom osem z nich bolo možné kvantifikovať</w:t>
      </w:r>
      <w:r>
        <w:rPr>
          <w:rFonts w:cs="Segoe UI"/>
          <w:szCs w:val="20"/>
        </w:rPr>
        <w:t xml:space="preserve"> (graf </w:t>
      </w:r>
      <w:r w:rsidR="00A46D9E">
        <w:rPr>
          <w:rFonts w:cs="Segoe UI"/>
          <w:szCs w:val="20"/>
        </w:rPr>
        <w:t>3</w:t>
      </w:r>
      <w:r w:rsidR="00A90FA2">
        <w:rPr>
          <w:rFonts w:cs="Segoe UI"/>
          <w:szCs w:val="20"/>
        </w:rPr>
        <w:t>2</w:t>
      </w:r>
      <w:r>
        <w:rPr>
          <w:rFonts w:cs="Segoe UI"/>
          <w:szCs w:val="20"/>
        </w:rPr>
        <w:t>)</w:t>
      </w:r>
      <w:r w:rsidRPr="00C42DC0">
        <w:rPr>
          <w:rFonts w:cs="Segoe UI"/>
          <w:szCs w:val="20"/>
        </w:rPr>
        <w:t>.</w:t>
      </w:r>
    </w:p>
    <w:p w14:paraId="752C5BD4" w14:textId="3294EFD0" w:rsidR="009D3948" w:rsidRPr="006A796C" w:rsidRDefault="009D3948" w:rsidP="009D3948">
      <w:pPr>
        <w:pStyle w:val="Popis"/>
        <w:keepNext/>
        <w:rPr>
          <w:color w:val="314364"/>
        </w:rPr>
      </w:pPr>
      <w:r w:rsidRPr="006A796C">
        <w:rPr>
          <w:color w:val="314364"/>
        </w:rPr>
        <w:t>Graf 3</w:t>
      </w:r>
      <w:r w:rsidR="00A90FA2">
        <w:rPr>
          <w:color w:val="314364"/>
        </w:rPr>
        <w:t>2</w:t>
      </w:r>
      <w:r w:rsidRPr="006A796C">
        <w:rPr>
          <w:color w:val="314364"/>
        </w:rPr>
        <w:t>: Kvantifikovateľné výdavky v súvislosti s konfliktom na Ukrajine a darovaný majetok na Ukrajinu podľa schválených uznesení vlády SR (2022, mil. eur)</w:t>
      </w:r>
    </w:p>
    <w:tbl>
      <w:tblPr>
        <w:tblStyle w:val="Mriekatabuky"/>
        <w:tblW w:w="0" w:type="auto"/>
        <w:tblCellMar>
          <w:left w:w="70" w:type="dxa"/>
          <w:right w:w="70" w:type="dxa"/>
        </w:tblCellMar>
        <w:tblLook w:val="04A0" w:firstRow="1" w:lastRow="0" w:firstColumn="1" w:lastColumn="0" w:noHBand="0" w:noVBand="1"/>
      </w:tblPr>
      <w:tblGrid>
        <w:gridCol w:w="9070"/>
      </w:tblGrid>
      <w:tr w:rsidR="009D3948" w14:paraId="4231EA55" w14:textId="77777777" w:rsidTr="009859F8">
        <w:tc>
          <w:tcPr>
            <w:tcW w:w="9060" w:type="dxa"/>
            <w:tcBorders>
              <w:top w:val="single" w:sz="4" w:space="0" w:color="314364" w:themeColor="text2"/>
              <w:left w:val="nil"/>
              <w:bottom w:val="single" w:sz="4" w:space="0" w:color="314364" w:themeColor="text2"/>
              <w:right w:val="nil"/>
            </w:tcBorders>
          </w:tcPr>
          <w:p w14:paraId="41CBCADA" w14:textId="77777777" w:rsidR="009D3948" w:rsidRDefault="009D3948" w:rsidP="009859F8">
            <w:pPr>
              <w:spacing w:after="0"/>
              <w:jc w:val="center"/>
            </w:pPr>
            <w:r>
              <w:rPr>
                <w:noProof/>
                <w:lang w:eastAsia="sk-SK"/>
              </w:rPr>
              <w:drawing>
                <wp:inline distT="0" distB="0" distL="0" distR="0" wp14:anchorId="2765CB22" wp14:editId="072E8FB4">
                  <wp:extent cx="5756275" cy="168402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14:paraId="0FF79041" w14:textId="68A9456C" w:rsidR="009D3948" w:rsidRPr="0024233A" w:rsidRDefault="009D3948" w:rsidP="009D3948">
      <w:pPr>
        <w:pStyle w:val="Zdroj"/>
        <w:rPr>
          <w:rStyle w:val="Hypertextovprepojenie"/>
          <w:i w:val="0"/>
          <w:sz w:val="16"/>
          <w:szCs w:val="16"/>
          <w:u w:val="none"/>
        </w:rPr>
      </w:pPr>
      <w:r w:rsidRPr="004B3496">
        <w:t xml:space="preserve">Zdroj: </w:t>
      </w:r>
      <w:hyperlink r:id="rId42" w:history="1">
        <w:r w:rsidRPr="00A411DA">
          <w:rPr>
            <w:rStyle w:val="Hypertextovprepojenie"/>
            <w:sz w:val="16"/>
            <w:szCs w:val="16"/>
          </w:rPr>
          <w:t>www.rokovania.sk</w:t>
        </w:r>
      </w:hyperlink>
      <w:r w:rsidRPr="00B34C91">
        <w:rPr>
          <w:rStyle w:val="Hypertextovprepojenie"/>
          <w:sz w:val="16"/>
          <w:szCs w:val="16"/>
          <w:u w:val="none"/>
        </w:rPr>
        <w:t xml:space="preserve">, </w:t>
      </w:r>
      <w:r w:rsidRPr="0035229D">
        <w:rPr>
          <w:rStyle w:val="Hypertextovprepojenie"/>
          <w:color w:val="314364" w:themeColor="text2"/>
          <w:sz w:val="16"/>
          <w:u w:val="none"/>
        </w:rPr>
        <w:t>spracovanie</w:t>
      </w:r>
      <w:r w:rsidRPr="00B34C91">
        <w:rPr>
          <w:rStyle w:val="Hypertextovprepojenie"/>
          <w:sz w:val="16"/>
          <w:szCs w:val="16"/>
          <w:u w:val="none"/>
        </w:rPr>
        <w:t xml:space="preserve"> NKÚ SR</w:t>
      </w:r>
      <w:r w:rsidR="0024233A" w:rsidRPr="0024233A">
        <w:rPr>
          <w:rStyle w:val="Hypertextovprepojenie"/>
          <w:sz w:val="16"/>
          <w:szCs w:val="16"/>
          <w:u w:val="none"/>
        </w:rPr>
        <w:t>.</w:t>
      </w:r>
    </w:p>
    <w:p w14:paraId="3DFAD526" w14:textId="4F6A57CB" w:rsidR="008038BA" w:rsidRPr="008038BA" w:rsidRDefault="00C074E2" w:rsidP="0035229D">
      <w:pPr>
        <w:spacing w:before="120"/>
        <w:ind w:right="-2"/>
      </w:pPr>
      <w:r w:rsidRPr="00C42DC0">
        <w:rPr>
          <w:rFonts w:cs="Segoe UI"/>
          <w:szCs w:val="20"/>
        </w:rPr>
        <w:t>Darovaný vojenský materiál tvoril v roku 2022 takmer 40 % zo všetkých kvantifikovateľných výdavkov vyplývajúcich z prijatých uznesení vlády SR (39,4 %</w:t>
      </w:r>
      <w:r w:rsidR="00C00AFB">
        <w:rPr>
          <w:rFonts w:cs="Segoe UI"/>
          <w:szCs w:val="20"/>
        </w:rPr>
        <w:t xml:space="preserve"> –</w:t>
      </w:r>
      <w:r w:rsidRPr="00C42DC0">
        <w:rPr>
          <w:rFonts w:cs="Segoe UI"/>
          <w:szCs w:val="20"/>
        </w:rPr>
        <w:t xml:space="preserve"> 118,2 mil. eur). </w:t>
      </w:r>
      <w:r w:rsidRPr="00294AF6">
        <w:rPr>
          <w:rFonts w:cs="Segoe UI"/>
          <w:szCs w:val="20"/>
        </w:rPr>
        <w:t>Zoznam všetkých uznesení vlády SR za rok 2022</w:t>
      </w:r>
      <w:r w:rsidR="00C00AFB">
        <w:rPr>
          <w:rFonts w:cs="Segoe UI"/>
          <w:szCs w:val="20"/>
        </w:rPr>
        <w:t>,</w:t>
      </w:r>
      <w:r w:rsidRPr="00294AF6">
        <w:rPr>
          <w:rFonts w:cs="Segoe UI"/>
          <w:szCs w:val="20"/>
        </w:rPr>
        <w:t xml:space="preserve"> týkajúcich sa </w:t>
      </w:r>
      <w:r>
        <w:rPr>
          <w:rFonts w:cs="Segoe UI"/>
          <w:szCs w:val="20"/>
        </w:rPr>
        <w:t>darovania majetku Ukrajine</w:t>
      </w:r>
      <w:r w:rsidR="00C00AFB">
        <w:rPr>
          <w:rFonts w:cs="Segoe UI"/>
          <w:szCs w:val="20"/>
        </w:rPr>
        <w:t>,</w:t>
      </w:r>
      <w:r w:rsidRPr="00294AF6">
        <w:rPr>
          <w:rFonts w:cs="Segoe UI"/>
          <w:szCs w:val="20"/>
        </w:rPr>
        <w:t xml:space="preserve"> je uvedený v tabuľke </w:t>
      </w:r>
      <w:r w:rsidR="007731C0">
        <w:rPr>
          <w:rFonts w:cs="Segoe UI"/>
          <w:szCs w:val="20"/>
        </w:rPr>
        <w:t>7</w:t>
      </w:r>
      <w:r w:rsidR="00A46D9E">
        <w:rPr>
          <w:rFonts w:cs="Segoe UI"/>
          <w:szCs w:val="20"/>
        </w:rPr>
        <w:t xml:space="preserve"> v prílohe</w:t>
      </w:r>
      <w:r w:rsidRPr="00294AF6">
        <w:rPr>
          <w:rFonts w:cs="Segoe UI"/>
          <w:szCs w:val="20"/>
        </w:rPr>
        <w:t>.</w:t>
      </w:r>
    </w:p>
    <w:p w14:paraId="746884FF" w14:textId="634A0AEC" w:rsidR="000D05F7" w:rsidRDefault="007D2374" w:rsidP="002C027A">
      <w:pPr>
        <w:pStyle w:val="Nadpis1"/>
      </w:pPr>
      <w:bookmarkStart w:id="40" w:name="_Toc136418412"/>
      <w:r>
        <w:lastRenderedPageBreak/>
        <w:t>Vzťah štátneho rozpočtu k</w:t>
      </w:r>
      <w:r w:rsidR="00241C50">
        <w:t> </w:t>
      </w:r>
      <w:r>
        <w:t>EÚ</w:t>
      </w:r>
      <w:bookmarkEnd w:id="40"/>
    </w:p>
    <w:p w14:paraId="458A542E" w14:textId="7C493B23" w:rsidR="00B713D7" w:rsidRPr="005F4E12" w:rsidRDefault="00B713D7" w:rsidP="00B713D7">
      <w:pPr>
        <w:rPr>
          <w:rFonts w:eastAsia="Calibri" w:cs="Segoe UI"/>
        </w:rPr>
      </w:pPr>
      <w:r w:rsidRPr="00023E79">
        <w:rPr>
          <w:rFonts w:eastAsia="Calibri" w:cs="Segoe UI"/>
          <w:b/>
        </w:rPr>
        <w:t>ŠR prijal z EÚ vlani 2,15 mld. eur, čo predstavuje 68 % z pôvodne rozpočtovanej sumy.</w:t>
      </w:r>
      <w:r w:rsidRPr="005F4E12">
        <w:rPr>
          <w:rFonts w:eastAsia="Calibri" w:cs="Segoe UI"/>
        </w:rPr>
        <w:t xml:space="preserve"> Príjmy z EÚ boli v roku 2022 o 5 % nižšie </w:t>
      </w:r>
      <w:r w:rsidR="00AF7198">
        <w:rPr>
          <w:rFonts w:eastAsia="Calibri" w:cs="Segoe UI"/>
        </w:rPr>
        <w:t>než</w:t>
      </w:r>
      <w:r w:rsidRPr="005F4E12">
        <w:rPr>
          <w:rFonts w:eastAsia="Calibri" w:cs="Segoe UI"/>
        </w:rPr>
        <w:t xml:space="preserve"> v predchádzajúcom </w:t>
      </w:r>
      <w:r w:rsidRPr="005F4E12">
        <w:rPr>
          <w:rFonts w:eastAsia="Calibri" w:cs="Segoe UI"/>
          <w:color w:val="000000"/>
        </w:rPr>
        <w:t>roku</w:t>
      </w:r>
      <w:r w:rsidR="00023E79">
        <w:rPr>
          <w:rFonts w:eastAsia="Calibri" w:cs="Segoe UI"/>
          <w:color w:val="000000"/>
        </w:rPr>
        <w:t>,</w:t>
      </w:r>
      <w:r w:rsidRPr="005F4E12">
        <w:rPr>
          <w:rFonts w:eastAsia="Calibri" w:cs="Segoe UI"/>
          <w:color w:val="000000"/>
        </w:rPr>
        <w:t xml:space="preserve"> </w:t>
      </w:r>
      <w:r w:rsidR="000B048E">
        <w:rPr>
          <w:rFonts w:eastAsia="Calibri" w:cs="Segoe UI"/>
          <w:color w:val="000000"/>
        </w:rPr>
        <w:t>vzhľadom k tomu</w:t>
      </w:r>
      <w:r w:rsidR="00023E79">
        <w:rPr>
          <w:rFonts w:eastAsia="Calibri" w:cs="Segoe UI"/>
          <w:color w:val="000000"/>
        </w:rPr>
        <w:t xml:space="preserve"> sa znížili aj </w:t>
      </w:r>
      <w:r w:rsidRPr="005F4E12">
        <w:rPr>
          <w:rFonts w:eastAsia="Calibri" w:cs="Segoe UI"/>
          <w:color w:val="000000"/>
        </w:rPr>
        <w:t>odvody SR d</w:t>
      </w:r>
      <w:r w:rsidR="00023E79">
        <w:rPr>
          <w:rFonts w:eastAsia="Calibri" w:cs="Segoe UI"/>
          <w:color w:val="000000"/>
        </w:rPr>
        <w:t>o rozpočtu EÚ</w:t>
      </w:r>
      <w:r w:rsidRPr="005F4E12">
        <w:rPr>
          <w:rFonts w:eastAsia="Calibri" w:cs="Segoe UI"/>
          <w:color w:val="000000"/>
        </w:rPr>
        <w:t>. Napriek tomu, že čistá finančná pozícia bola na úrovni 34 % z pôvodne rozpočtovanej sumy, práve vďak</w:t>
      </w:r>
      <w:r>
        <w:rPr>
          <w:rFonts w:eastAsia="Calibri" w:cs="Segoe UI"/>
          <w:color w:val="000000"/>
        </w:rPr>
        <w:t xml:space="preserve">a nižším odvodom do rozpočtu EÚ </w:t>
      </w:r>
      <w:r w:rsidRPr="005F4E12">
        <w:rPr>
          <w:rFonts w:eastAsia="Calibri" w:cs="Segoe UI"/>
        </w:rPr>
        <w:t xml:space="preserve">vzrástla oproti roku 2021 o približne 22 %. </w:t>
      </w:r>
    </w:p>
    <w:p w14:paraId="51F8A741" w14:textId="24693B86" w:rsidR="00FC46AF" w:rsidRPr="005F4E12" w:rsidRDefault="00023E79" w:rsidP="00FC46AF">
      <w:pPr>
        <w:rPr>
          <w:rFonts w:eastAsia="Calibri" w:cs="Segoe UI"/>
        </w:rPr>
      </w:pPr>
      <w:r w:rsidRPr="00023E79">
        <w:rPr>
          <w:rFonts w:eastAsia="Calibri" w:cs="Segoe UI"/>
          <w:b/>
        </w:rPr>
        <w:t>Za celé obdobie čerpania eurofondov je SR každoročne</w:t>
      </w:r>
      <w:r w:rsidR="003C08BE">
        <w:rPr>
          <w:rFonts w:eastAsia="Calibri" w:cs="Segoe UI"/>
          <w:b/>
        </w:rPr>
        <w:t xml:space="preserve"> v pozícii</w:t>
      </w:r>
      <w:r w:rsidRPr="00314500">
        <w:rPr>
          <w:rFonts w:eastAsia="Calibri" w:cs="Segoe UI"/>
          <w:b/>
        </w:rPr>
        <w:t xml:space="preserve"> čistého prijímateľa</w:t>
      </w:r>
      <w:r w:rsidR="003C08BE">
        <w:rPr>
          <w:rFonts w:eastAsia="Calibri" w:cs="Segoe UI"/>
          <w:b/>
        </w:rPr>
        <w:t xml:space="preserve"> </w:t>
      </w:r>
      <w:r w:rsidR="003C08BE" w:rsidRPr="003C08BE">
        <w:rPr>
          <w:rFonts w:eastAsia="Calibri" w:cs="Segoe UI"/>
        </w:rPr>
        <w:t>(graf 3</w:t>
      </w:r>
      <w:r w:rsidR="00050329">
        <w:rPr>
          <w:rFonts w:eastAsia="Calibri" w:cs="Segoe UI"/>
        </w:rPr>
        <w:t>3</w:t>
      </w:r>
      <w:r w:rsidR="003C08BE" w:rsidRPr="003C08BE">
        <w:rPr>
          <w:rFonts w:eastAsia="Calibri" w:cs="Segoe UI"/>
        </w:rPr>
        <w:t>).</w:t>
      </w:r>
      <w:r w:rsidRPr="005F4E12">
        <w:rPr>
          <w:rFonts w:eastAsia="Calibri" w:cs="Segoe UI"/>
        </w:rPr>
        <w:t xml:space="preserve"> </w:t>
      </w:r>
      <w:r>
        <w:rPr>
          <w:rFonts w:eastAsia="Calibri" w:cs="Segoe UI"/>
        </w:rPr>
        <w:t xml:space="preserve">Od roku 2004 </w:t>
      </w:r>
      <w:r w:rsidR="00B713D7">
        <w:rPr>
          <w:rFonts w:eastAsia="Calibri" w:cs="Segoe UI"/>
        </w:rPr>
        <w:t>prijala</w:t>
      </w:r>
      <w:r w:rsidR="00B713D7" w:rsidRPr="005F4E12">
        <w:rPr>
          <w:rFonts w:eastAsia="Calibri" w:cs="Segoe UI"/>
        </w:rPr>
        <w:t xml:space="preserve"> </w:t>
      </w:r>
      <w:r>
        <w:rPr>
          <w:rFonts w:eastAsia="Calibri" w:cs="Segoe UI"/>
        </w:rPr>
        <w:t xml:space="preserve">SR </w:t>
      </w:r>
      <w:r w:rsidR="00B713D7" w:rsidRPr="005F4E12">
        <w:rPr>
          <w:rFonts w:eastAsia="Calibri" w:cs="Segoe UI"/>
        </w:rPr>
        <w:t xml:space="preserve">z rozpočtu EÚ </w:t>
      </w:r>
      <w:r w:rsidR="00B713D7">
        <w:rPr>
          <w:rFonts w:eastAsia="Calibri" w:cs="Segoe UI"/>
        </w:rPr>
        <w:t>spolu viac ako 33 mld. eur</w:t>
      </w:r>
      <w:r w:rsidR="00B713D7" w:rsidRPr="005F4E12">
        <w:rPr>
          <w:rFonts w:eastAsia="Calibri" w:cs="Segoe UI"/>
        </w:rPr>
        <w:t xml:space="preserve">, pričom do rozpočtu EÚ </w:t>
      </w:r>
      <w:r w:rsidR="003C08BE">
        <w:rPr>
          <w:rFonts w:eastAsia="Calibri" w:cs="Segoe UI"/>
        </w:rPr>
        <w:t xml:space="preserve">odviedla </w:t>
      </w:r>
      <w:r w:rsidR="00B713D7" w:rsidRPr="005F4E12">
        <w:rPr>
          <w:rFonts w:eastAsia="Calibri" w:cs="Segoe UI"/>
        </w:rPr>
        <w:t>14 mld. Čistá finančná pozícia ani v roku 2022 nepresiahla úroveň roka 2015, v ktorom boli príjmy z pros</w:t>
      </w:r>
      <w:r w:rsidR="003C08BE">
        <w:rPr>
          <w:rFonts w:eastAsia="Calibri" w:cs="Segoe UI"/>
        </w:rPr>
        <w:t>triedk</w:t>
      </w:r>
      <w:r w:rsidR="00F77CC0">
        <w:rPr>
          <w:rFonts w:eastAsia="Calibri" w:cs="Segoe UI"/>
        </w:rPr>
        <w:t>ov</w:t>
      </w:r>
      <w:r w:rsidR="003C08BE">
        <w:rPr>
          <w:rFonts w:eastAsia="Calibri" w:cs="Segoe UI"/>
        </w:rPr>
        <w:t> EÚ najvyššie v histórii</w:t>
      </w:r>
      <w:r w:rsidR="00B713D7" w:rsidRPr="005F4E12">
        <w:rPr>
          <w:rFonts w:eastAsia="Calibri" w:cs="Segoe UI"/>
        </w:rPr>
        <w:t xml:space="preserve"> (4,2 mld. eur</w:t>
      </w:r>
      <w:r w:rsidR="00F77CC0">
        <w:rPr>
          <w:rFonts w:eastAsia="Calibri" w:cs="Segoe UI"/>
        </w:rPr>
        <w:t>)</w:t>
      </w:r>
      <w:r w:rsidR="00B713D7" w:rsidRPr="005F4E12">
        <w:rPr>
          <w:rFonts w:eastAsia="Calibri" w:cs="Segoe UI"/>
        </w:rPr>
        <w:t xml:space="preserve">. Rok 2015 je </w:t>
      </w:r>
      <w:r w:rsidR="00B713D7">
        <w:rPr>
          <w:rFonts w:eastAsia="Calibri" w:cs="Segoe UI"/>
        </w:rPr>
        <w:t xml:space="preserve">podobný </w:t>
      </w:r>
      <w:r w:rsidR="00B713D7" w:rsidRPr="005F4E12">
        <w:rPr>
          <w:rFonts w:eastAsia="Calibri" w:cs="Segoe UI"/>
        </w:rPr>
        <w:t>roku 2022, keďže sa v ňom dočerpávali prostriedky z PO 2007</w:t>
      </w:r>
      <w:r w:rsidR="00B713D7">
        <w:rPr>
          <w:rFonts w:eastAsia="Calibri" w:cs="Segoe UI"/>
        </w:rPr>
        <w:t xml:space="preserve"> – </w:t>
      </w:r>
      <w:r w:rsidR="00B713D7" w:rsidRPr="005F4E12">
        <w:rPr>
          <w:rFonts w:eastAsia="Calibri" w:cs="Segoe UI"/>
        </w:rPr>
        <w:t>2013</w:t>
      </w:r>
      <w:r w:rsidR="00AF7198">
        <w:rPr>
          <w:rFonts w:eastAsia="Calibri" w:cs="Segoe UI"/>
        </w:rPr>
        <w:t>,</w:t>
      </w:r>
      <w:r w:rsidR="00B713D7" w:rsidRPr="005F4E12">
        <w:rPr>
          <w:rFonts w:eastAsia="Calibri" w:cs="Segoe UI"/>
        </w:rPr>
        <w:t xml:space="preserve"> a</w:t>
      </w:r>
      <w:r w:rsidR="00BD134D">
        <w:rPr>
          <w:rFonts w:eastAsia="Calibri" w:cs="Segoe UI"/>
        </w:rPr>
        <w:t> </w:t>
      </w:r>
      <w:r w:rsidR="00B713D7" w:rsidRPr="005F4E12">
        <w:rPr>
          <w:rFonts w:eastAsia="Calibri" w:cs="Segoe UI"/>
        </w:rPr>
        <w:t>bol</w:t>
      </w:r>
      <w:r w:rsidR="00BD134D">
        <w:rPr>
          <w:rFonts w:eastAsia="Calibri" w:cs="Segoe UI"/>
        </w:rPr>
        <w:t>,</w:t>
      </w:r>
      <w:r w:rsidR="00B713D7" w:rsidRPr="005F4E12">
        <w:rPr>
          <w:rFonts w:eastAsia="Calibri" w:cs="Segoe UI"/>
        </w:rPr>
        <w:t xml:space="preserve"> podobne ako rok 2022</w:t>
      </w:r>
      <w:r w:rsidR="00BD134D">
        <w:rPr>
          <w:rFonts w:eastAsia="Calibri" w:cs="Segoe UI"/>
        </w:rPr>
        <w:t>,</w:t>
      </w:r>
      <w:r w:rsidR="00B713D7" w:rsidRPr="005F4E12">
        <w:rPr>
          <w:rFonts w:eastAsia="Calibri" w:cs="Segoe UI"/>
        </w:rPr>
        <w:t xml:space="preserve"> </w:t>
      </w:r>
      <w:r w:rsidR="00FC46AF">
        <w:rPr>
          <w:rFonts w:eastAsia="Calibri" w:cs="Segoe UI"/>
        </w:rPr>
        <w:t>predposledným rokom na dočerpanie zostávajúcej alokácie</w:t>
      </w:r>
      <w:r w:rsidR="00FC46AF">
        <w:rPr>
          <w:rStyle w:val="Odkaznapoznmkupodiarou"/>
          <w:rFonts w:eastAsia="Calibri" w:cs="Segoe UI"/>
        </w:rPr>
        <w:footnoteReference w:id="39"/>
      </w:r>
      <w:r w:rsidR="00FC46AF">
        <w:rPr>
          <w:rFonts w:eastAsia="Calibri" w:cs="Segoe UI"/>
        </w:rPr>
        <w:t>.</w:t>
      </w:r>
    </w:p>
    <w:p w14:paraId="4F65909D" w14:textId="22C402CC" w:rsidR="000567EB" w:rsidRDefault="00050329" w:rsidP="000567EB">
      <w:pPr>
        <w:pStyle w:val="Popis"/>
        <w:keepNext/>
      </w:pPr>
      <w:r>
        <w:t>Graf 33</w:t>
      </w:r>
      <w:r w:rsidR="000567EB">
        <w:t>: Vývoj čistej finančnej pozície v rokoch 2004</w:t>
      </w:r>
      <w:r w:rsidR="00B713D7">
        <w:t xml:space="preserve"> </w:t>
      </w:r>
      <w:r w:rsidR="00AF7198">
        <w:t xml:space="preserve">– </w:t>
      </w:r>
      <w:r w:rsidR="000567EB">
        <w:t xml:space="preserve">2022 </w:t>
      </w:r>
      <w:r w:rsidR="00B713D7">
        <w:t>(</w:t>
      </w:r>
      <w:r w:rsidR="000567EB">
        <w:t xml:space="preserve">v mil. eur </w:t>
      </w:r>
      <w:r w:rsidR="00B713D7">
        <w:t>)</w:t>
      </w:r>
    </w:p>
    <w:tbl>
      <w:tblPr>
        <w:tblStyle w:val="Mriekatabuky"/>
        <w:tblW w:w="0" w:type="auto"/>
        <w:tblLook w:val="04A0" w:firstRow="1" w:lastRow="0" w:firstColumn="1" w:lastColumn="0" w:noHBand="0" w:noVBand="1"/>
      </w:tblPr>
      <w:tblGrid>
        <w:gridCol w:w="9070"/>
      </w:tblGrid>
      <w:tr w:rsidR="000567EB" w14:paraId="230ECC61" w14:textId="77777777" w:rsidTr="00C119D8">
        <w:trPr>
          <w:trHeight w:val="3402"/>
        </w:trPr>
        <w:tc>
          <w:tcPr>
            <w:tcW w:w="9060" w:type="dxa"/>
            <w:tcBorders>
              <w:top w:val="single" w:sz="4" w:space="0" w:color="314364" w:themeColor="text2"/>
              <w:left w:val="nil"/>
              <w:bottom w:val="single" w:sz="4" w:space="0" w:color="314364" w:themeColor="text2"/>
              <w:right w:val="nil"/>
            </w:tcBorders>
          </w:tcPr>
          <w:p w14:paraId="0669C748" w14:textId="77777777" w:rsidR="000567EB" w:rsidRDefault="000567EB" w:rsidP="00C119D8">
            <w:pPr>
              <w:spacing w:after="0"/>
            </w:pPr>
            <w:r>
              <w:rPr>
                <w:noProof/>
                <w:lang w:eastAsia="sk-SK"/>
              </w:rPr>
              <w:drawing>
                <wp:inline distT="0" distB="0" distL="0" distR="0" wp14:anchorId="2B2E5C9B" wp14:editId="2CA360E7">
                  <wp:extent cx="5746750" cy="2141220"/>
                  <wp:effectExtent l="0" t="0" r="6350"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14:paraId="09C37A10" w14:textId="29D7A1CE" w:rsidR="000567EB" w:rsidRDefault="000567EB" w:rsidP="000567EB">
      <w:pPr>
        <w:rPr>
          <w:rFonts w:eastAsia="Times New Roman" w:cs="Segoe UI"/>
          <w:i/>
          <w:iCs/>
          <w:color w:val="314364"/>
          <w:sz w:val="16"/>
          <w:szCs w:val="16"/>
          <w:lang w:eastAsia="sk-SK"/>
        </w:rPr>
      </w:pPr>
      <w:r w:rsidRPr="00AE6FF3">
        <w:rPr>
          <w:rFonts w:eastAsia="Times New Roman" w:cs="Segoe UI"/>
          <w:i/>
          <w:iCs/>
          <w:color w:val="314364"/>
          <w:sz w:val="16"/>
          <w:szCs w:val="16"/>
          <w:lang w:eastAsia="sk-SK"/>
        </w:rPr>
        <w:t>Zdroj: Návrh ŠZÚ 2022</w:t>
      </w:r>
      <w:r w:rsidR="0024233A">
        <w:rPr>
          <w:rFonts w:eastAsia="Times New Roman" w:cs="Segoe UI"/>
          <w:i/>
          <w:iCs/>
          <w:color w:val="314364"/>
          <w:sz w:val="16"/>
          <w:szCs w:val="16"/>
          <w:lang w:eastAsia="sk-SK"/>
        </w:rPr>
        <w:t>.</w:t>
      </w:r>
    </w:p>
    <w:p w14:paraId="05565A3B" w14:textId="7B6E98C3" w:rsidR="00377BD7" w:rsidRPr="00F754E4" w:rsidRDefault="00131776" w:rsidP="002C027A">
      <w:pPr>
        <w:pStyle w:val="Nadpis2"/>
      </w:pPr>
      <w:bookmarkStart w:id="41" w:name="_Toc136418413"/>
      <w:r>
        <w:t xml:space="preserve">5.1 </w:t>
      </w:r>
      <w:r w:rsidR="00377BD7">
        <w:t xml:space="preserve">PO 2014 – </w:t>
      </w:r>
      <w:r w:rsidR="00377BD7" w:rsidRPr="00F754E4">
        <w:t>202</w:t>
      </w:r>
      <w:r w:rsidR="00377BD7">
        <w:t>0</w:t>
      </w:r>
      <w:bookmarkEnd w:id="41"/>
    </w:p>
    <w:p w14:paraId="5CD0448D" w14:textId="0B128E5F" w:rsidR="00377BD7" w:rsidRDefault="00377BD7" w:rsidP="00377BD7">
      <w:pPr>
        <w:rPr>
          <w:rFonts w:eastAsia="Calibri" w:cs="Segoe UI"/>
        </w:rPr>
      </w:pPr>
      <w:r>
        <w:rPr>
          <w:rFonts w:eastAsia="Calibri" w:cs="Segoe UI"/>
          <w:b/>
        </w:rPr>
        <w:t>Ku koncu roka 2022 sa z</w:t>
      </w:r>
      <w:r w:rsidRPr="00391685">
        <w:rPr>
          <w:rFonts w:eastAsia="Calibri" w:cs="Segoe UI"/>
          <w:b/>
        </w:rPr>
        <w:t xml:space="preserve"> PO 2014 – 2020 </w:t>
      </w:r>
      <w:r w:rsidRPr="00314500">
        <w:rPr>
          <w:rFonts w:eastAsia="Calibri" w:cs="Segoe UI"/>
          <w:b/>
        </w:rPr>
        <w:t>nevyčerpali ani dve tretiny z celkovej alokácie</w:t>
      </w:r>
      <w:r w:rsidR="0086527E">
        <w:rPr>
          <w:rFonts w:eastAsia="Calibri" w:cs="Segoe UI"/>
          <w:b/>
        </w:rPr>
        <w:t xml:space="preserve"> (16,78 mld. eur)</w:t>
      </w:r>
      <w:r>
        <w:rPr>
          <w:rFonts w:eastAsia="Calibri" w:cs="Segoe UI"/>
          <w:b/>
        </w:rPr>
        <w:t xml:space="preserve">, konkrétne </w:t>
      </w:r>
      <w:r w:rsidRPr="00391685">
        <w:rPr>
          <w:rFonts w:eastAsia="Calibri" w:cs="Segoe UI"/>
          <w:b/>
        </w:rPr>
        <w:t>64,82</w:t>
      </w:r>
      <w:r>
        <w:rPr>
          <w:rFonts w:eastAsia="Calibri" w:cs="Segoe UI"/>
          <w:b/>
        </w:rPr>
        <w:t xml:space="preserve"> %</w:t>
      </w:r>
      <w:r>
        <w:rPr>
          <w:rFonts w:eastAsia="Calibri" w:cs="Segoe UI"/>
        </w:rPr>
        <w:t>.</w:t>
      </w:r>
      <w:r w:rsidRPr="005F4E12">
        <w:rPr>
          <w:rFonts w:eastAsia="Calibri" w:cs="Segoe UI"/>
        </w:rPr>
        <w:t xml:space="preserve"> Čerpanie </w:t>
      </w:r>
      <w:r>
        <w:rPr>
          <w:rFonts w:eastAsia="Calibri" w:cs="Segoe UI"/>
        </w:rPr>
        <w:t>v</w:t>
      </w:r>
      <w:r w:rsidRPr="005F4E12">
        <w:rPr>
          <w:rFonts w:eastAsia="Calibri" w:cs="Segoe UI"/>
        </w:rPr>
        <w:t xml:space="preserve"> rámci tohto PO môže pokračovať ešte v roku 2023</w:t>
      </w:r>
      <w:r>
        <w:rPr>
          <w:rFonts w:eastAsia="Calibri" w:cs="Segoe UI"/>
        </w:rPr>
        <w:t>, keďže</w:t>
      </w:r>
      <w:r w:rsidRPr="005F4E12">
        <w:rPr>
          <w:rFonts w:eastAsia="Calibri" w:cs="Segoe UI"/>
        </w:rPr>
        <w:t xml:space="preserve"> </w:t>
      </w:r>
      <w:r>
        <w:rPr>
          <w:rFonts w:eastAsia="Calibri" w:cs="Segoe UI"/>
        </w:rPr>
        <w:t xml:space="preserve">rok 2022 bol </w:t>
      </w:r>
      <w:r w:rsidRPr="005F4E12">
        <w:rPr>
          <w:rFonts w:eastAsia="Calibri" w:cs="Segoe UI"/>
        </w:rPr>
        <w:t xml:space="preserve">predposledným rokom, v ktorom </w:t>
      </w:r>
      <w:r>
        <w:rPr>
          <w:rFonts w:eastAsia="Calibri" w:cs="Segoe UI"/>
        </w:rPr>
        <w:t>je možné čerpanie v rámci pravidla n+3.</w:t>
      </w:r>
    </w:p>
    <w:p w14:paraId="15B27118" w14:textId="77777777" w:rsidR="00AC6426" w:rsidRPr="00C60492" w:rsidRDefault="00AC6426" w:rsidP="00AC6426">
      <w:pPr>
        <w:rPr>
          <w:rFonts w:eastAsia="Calibri" w:cs="Segoe UI"/>
          <w:b/>
          <w:color w:val="000000"/>
        </w:rPr>
      </w:pPr>
      <w:r w:rsidRPr="00314500">
        <w:rPr>
          <w:rFonts w:eastAsia="Calibri" w:cs="Segoe UI"/>
          <w:b/>
        </w:rPr>
        <w:t>V medzinárodno</w:t>
      </w:r>
      <w:r>
        <w:rPr>
          <w:rFonts w:eastAsia="Calibri" w:cs="Segoe UI"/>
          <w:b/>
        </w:rPr>
        <w:t>m</w:t>
      </w:r>
      <w:r w:rsidRPr="00314500">
        <w:rPr>
          <w:rFonts w:eastAsia="Calibri" w:cs="Segoe UI"/>
          <w:b/>
        </w:rPr>
        <w:t xml:space="preserve"> porovnan</w:t>
      </w:r>
      <w:r>
        <w:rPr>
          <w:rFonts w:eastAsia="Calibri" w:cs="Segoe UI"/>
          <w:b/>
        </w:rPr>
        <w:t>í</w:t>
      </w:r>
      <w:r w:rsidRPr="00314500">
        <w:rPr>
          <w:rFonts w:eastAsia="Calibri" w:cs="Segoe UI"/>
          <w:b/>
        </w:rPr>
        <w:t xml:space="preserve"> SR už od začiatku čerpania v PO 2014</w:t>
      </w:r>
      <w:r>
        <w:rPr>
          <w:rFonts w:eastAsia="Calibri" w:cs="Segoe UI"/>
          <w:b/>
        </w:rPr>
        <w:t xml:space="preserve"> – </w:t>
      </w:r>
      <w:r w:rsidRPr="00314500">
        <w:rPr>
          <w:rFonts w:eastAsia="Calibri" w:cs="Segoe UI"/>
          <w:b/>
        </w:rPr>
        <w:t>2020 každoročne zaostáva a umiestňuje sa na posledných miestach.</w:t>
      </w:r>
      <w:r w:rsidRPr="005F4E12">
        <w:rPr>
          <w:rFonts w:eastAsia="Calibri" w:cs="Segoe UI"/>
        </w:rPr>
        <w:t xml:space="preserve"> K 31.</w:t>
      </w:r>
      <w:r>
        <w:rPr>
          <w:rFonts w:eastAsia="Calibri" w:cs="Segoe UI"/>
        </w:rPr>
        <w:t xml:space="preserve"> </w:t>
      </w:r>
      <w:r w:rsidRPr="005F4E12">
        <w:rPr>
          <w:rFonts w:eastAsia="Calibri" w:cs="Segoe UI"/>
        </w:rPr>
        <w:t>12.</w:t>
      </w:r>
      <w:r>
        <w:rPr>
          <w:rFonts w:eastAsia="Calibri" w:cs="Segoe UI"/>
        </w:rPr>
        <w:t xml:space="preserve"> </w:t>
      </w:r>
      <w:r w:rsidRPr="005F4E12">
        <w:rPr>
          <w:rFonts w:eastAsia="Calibri" w:cs="Segoe UI"/>
        </w:rPr>
        <w:t>2022 bola SR na treťom najhoršom mieste, nižšie čerpanie vykazovalo už len Španielsko</w:t>
      </w:r>
      <w:r>
        <w:rPr>
          <w:rFonts w:eastAsia="Calibri" w:cs="Segoe UI"/>
        </w:rPr>
        <w:t xml:space="preserve"> </w:t>
      </w:r>
      <w:r w:rsidRPr="005F4E12">
        <w:rPr>
          <w:rFonts w:eastAsia="Calibri" w:cs="Segoe UI"/>
        </w:rPr>
        <w:t>a</w:t>
      </w:r>
      <w:r>
        <w:rPr>
          <w:rFonts w:eastAsia="Calibri" w:cs="Segoe UI"/>
        </w:rPr>
        <w:t> </w:t>
      </w:r>
      <w:r w:rsidRPr="005F4E12">
        <w:rPr>
          <w:rFonts w:eastAsia="Calibri" w:cs="Segoe UI"/>
        </w:rPr>
        <w:t>Taliansko</w:t>
      </w:r>
      <w:r>
        <w:rPr>
          <w:rFonts w:eastAsia="Calibri" w:cs="Segoe UI"/>
        </w:rPr>
        <w:t>.</w:t>
      </w:r>
    </w:p>
    <w:p w14:paraId="30FB9684" w14:textId="1AC620D5" w:rsidR="00377BD7" w:rsidRDefault="004F5211" w:rsidP="00377BD7">
      <w:pPr>
        <w:rPr>
          <w:rFonts w:eastAsia="Calibri" w:cs="Times New Roman"/>
          <w:color w:val="000000"/>
          <w:szCs w:val="20"/>
        </w:rPr>
      </w:pPr>
      <w:r>
        <w:rPr>
          <w:rFonts w:eastAsia="Calibri" w:cs="Segoe UI"/>
          <w:b/>
        </w:rPr>
        <w:t>V</w:t>
      </w:r>
      <w:r w:rsidRPr="00BD134D">
        <w:rPr>
          <w:rFonts w:eastAsia="Calibri" w:cs="Segoe UI"/>
          <w:b/>
        </w:rPr>
        <w:t xml:space="preserve">ýška finančných opráv z titulu nezrovnalostí </w:t>
      </w:r>
      <w:r w:rsidR="00B713D7" w:rsidRPr="00BD134D">
        <w:rPr>
          <w:rFonts w:eastAsia="Calibri" w:cs="Segoe UI"/>
          <w:b/>
        </w:rPr>
        <w:t xml:space="preserve">stúpla </w:t>
      </w:r>
      <w:r>
        <w:rPr>
          <w:rFonts w:eastAsia="Calibri" w:cs="Segoe UI"/>
          <w:b/>
        </w:rPr>
        <w:t xml:space="preserve">v roku 2022 medziročne o 35 %, </w:t>
      </w:r>
      <w:r w:rsidR="00B713D7" w:rsidRPr="00BD134D">
        <w:rPr>
          <w:rFonts w:eastAsia="Calibri" w:cs="Segoe UI"/>
          <w:b/>
        </w:rPr>
        <w:t xml:space="preserve">na 390,9 mil. eur za EÚ zdroj </w:t>
      </w:r>
      <w:r w:rsidR="00B713D7" w:rsidRPr="005F4E12">
        <w:rPr>
          <w:rFonts w:eastAsia="Calibri" w:cs="Segoe UI"/>
        </w:rPr>
        <w:t xml:space="preserve">(tabuľka </w:t>
      </w:r>
      <w:r w:rsidR="00B713D7">
        <w:rPr>
          <w:rFonts w:eastAsia="Calibri" w:cs="Segoe UI"/>
        </w:rPr>
        <w:t>1</w:t>
      </w:r>
      <w:r w:rsidR="000F0907">
        <w:rPr>
          <w:rFonts w:eastAsia="Calibri" w:cs="Segoe UI"/>
        </w:rPr>
        <w:t>6</w:t>
      </w:r>
      <w:r w:rsidR="00B713D7" w:rsidRPr="005F4E12">
        <w:rPr>
          <w:rFonts w:eastAsia="Calibri" w:cs="Segoe UI"/>
        </w:rPr>
        <w:t>)</w:t>
      </w:r>
      <w:r>
        <w:rPr>
          <w:rFonts w:eastAsia="Calibri" w:cs="Segoe UI"/>
        </w:rPr>
        <w:t>.</w:t>
      </w:r>
      <w:r w:rsidR="00B713D7" w:rsidRPr="005F4E12">
        <w:rPr>
          <w:rFonts w:eastAsia="Calibri" w:cs="Segoe UI"/>
        </w:rPr>
        <w:t xml:space="preserve"> Najvyššie nezrovnalosti dosahujú OP Integrovaná infraštruktúra, Integrovaný regionálny OP a OP Ľudské zdroje. </w:t>
      </w:r>
      <w:r w:rsidR="00377BD7" w:rsidRPr="00C60492">
        <w:rPr>
          <w:rFonts w:eastAsia="Calibri" w:cs="Times New Roman"/>
          <w:color w:val="000000"/>
          <w:szCs w:val="20"/>
        </w:rPr>
        <w:t>NKÚ SR v roku 2022 v rámci kontroly</w:t>
      </w:r>
      <w:r w:rsidR="00377BD7" w:rsidRPr="00C60492">
        <w:rPr>
          <w:rStyle w:val="Odkaznapoznmkupodiarou"/>
          <w:rFonts w:eastAsia="Calibri" w:cs="Times New Roman"/>
          <w:color w:val="000000"/>
          <w:szCs w:val="20"/>
        </w:rPr>
        <w:footnoteReference w:id="40"/>
      </w:r>
      <w:r w:rsidR="00377BD7" w:rsidRPr="00C60492">
        <w:rPr>
          <w:rFonts w:eastAsia="Calibri" w:cs="Times New Roman"/>
          <w:color w:val="000000"/>
          <w:szCs w:val="20"/>
        </w:rPr>
        <w:t xml:space="preserve"> preveril nezrovnalosti v PO 2014 – 2020 na MDV SR a MŽP SR, ktoré sú riadiacimi orgánmi pr</w:t>
      </w:r>
      <w:r w:rsidR="00377BD7">
        <w:rPr>
          <w:rFonts w:eastAsia="Calibri" w:cs="Times New Roman"/>
          <w:color w:val="000000"/>
          <w:szCs w:val="20"/>
        </w:rPr>
        <w:t>e</w:t>
      </w:r>
      <w:r w:rsidR="00377BD7" w:rsidRPr="00C60492">
        <w:rPr>
          <w:rFonts w:eastAsia="Calibri" w:cs="Times New Roman"/>
          <w:color w:val="000000"/>
          <w:szCs w:val="20"/>
        </w:rPr>
        <w:t xml:space="preserve"> OP II a</w:t>
      </w:r>
      <w:r w:rsidR="00377BD7">
        <w:rPr>
          <w:rFonts w:eastAsia="Calibri" w:cs="Times New Roman"/>
          <w:color w:val="000000"/>
          <w:szCs w:val="20"/>
        </w:rPr>
        <w:t xml:space="preserve"> OP </w:t>
      </w:r>
      <w:r w:rsidR="00377BD7" w:rsidRPr="00C60492">
        <w:rPr>
          <w:rFonts w:eastAsia="Calibri" w:cs="Times New Roman"/>
          <w:color w:val="000000"/>
          <w:szCs w:val="20"/>
        </w:rPr>
        <w:t xml:space="preserve">KŽP (box </w:t>
      </w:r>
      <w:r w:rsidR="004C18E7">
        <w:rPr>
          <w:rFonts w:eastAsia="Calibri" w:cs="Times New Roman"/>
          <w:color w:val="000000"/>
          <w:szCs w:val="20"/>
        </w:rPr>
        <w:t>6</w:t>
      </w:r>
      <w:r w:rsidR="00377BD7" w:rsidRPr="00C60492">
        <w:rPr>
          <w:rFonts w:eastAsia="Calibri" w:cs="Times New Roman"/>
          <w:color w:val="000000"/>
          <w:szCs w:val="20"/>
        </w:rPr>
        <w:t>).</w:t>
      </w:r>
    </w:p>
    <w:p w14:paraId="360A6E06" w14:textId="77777777" w:rsidR="0025552C" w:rsidRPr="005F4E12" w:rsidRDefault="0025552C" w:rsidP="00377BD7">
      <w:pPr>
        <w:rPr>
          <w:rFonts w:eastAsia="Calibri" w:cs="Segoe UI"/>
        </w:rPr>
      </w:pPr>
    </w:p>
    <w:p w14:paraId="5B17038A" w14:textId="63C45885" w:rsidR="000567EB" w:rsidRDefault="000567EB" w:rsidP="000567EB">
      <w:pPr>
        <w:pStyle w:val="Popis"/>
        <w:keepNext/>
      </w:pPr>
      <w:r>
        <w:lastRenderedPageBreak/>
        <w:t>Tabuľka 1</w:t>
      </w:r>
      <w:r w:rsidR="000F0907">
        <w:t>6</w:t>
      </w:r>
      <w:r>
        <w:t>:</w:t>
      </w:r>
      <w:r>
        <w:rPr>
          <w:noProof/>
        </w:rPr>
        <w:t xml:space="preserve"> Výška finančných opráv z titulu nezrovnalostí v rámci PO 2014</w:t>
      </w:r>
      <w:r w:rsidR="00AF7198">
        <w:rPr>
          <w:noProof/>
        </w:rPr>
        <w:t xml:space="preserve"> – </w:t>
      </w:r>
      <w:r>
        <w:rPr>
          <w:noProof/>
        </w:rPr>
        <w:t xml:space="preserve">2020 </w:t>
      </w:r>
      <w:r w:rsidR="004F5211">
        <w:rPr>
          <w:noProof/>
        </w:rPr>
        <w:t>(</w:t>
      </w:r>
      <w:r>
        <w:rPr>
          <w:noProof/>
        </w:rPr>
        <w:t>v eur</w:t>
      </w:r>
      <w:r w:rsidR="004F5211">
        <w:rPr>
          <w:noProof/>
        </w:rPr>
        <w:t>ách)</w:t>
      </w:r>
    </w:p>
    <w:tbl>
      <w:tblPr>
        <w:tblW w:w="9062" w:type="dxa"/>
        <w:tblCellMar>
          <w:left w:w="70" w:type="dxa"/>
          <w:right w:w="70" w:type="dxa"/>
        </w:tblCellMar>
        <w:tblLook w:val="04A0" w:firstRow="1" w:lastRow="0" w:firstColumn="1" w:lastColumn="0" w:noHBand="0" w:noVBand="1"/>
      </w:tblPr>
      <w:tblGrid>
        <w:gridCol w:w="4464"/>
        <w:gridCol w:w="2179"/>
        <w:gridCol w:w="2419"/>
      </w:tblGrid>
      <w:tr w:rsidR="000567EB" w:rsidRPr="00AE6FF3" w14:paraId="7084704E" w14:textId="77777777" w:rsidTr="00C119D8">
        <w:trPr>
          <w:trHeight w:val="283"/>
        </w:trPr>
        <w:tc>
          <w:tcPr>
            <w:tcW w:w="4464" w:type="dxa"/>
            <w:tcBorders>
              <w:top w:val="nil"/>
              <w:left w:val="nil"/>
              <w:bottom w:val="nil"/>
              <w:right w:val="nil"/>
            </w:tcBorders>
            <w:shd w:val="clear" w:color="000000" w:fill="314364"/>
            <w:noWrap/>
            <w:vAlign w:val="center"/>
            <w:hideMark/>
          </w:tcPr>
          <w:p w14:paraId="1CEFA591" w14:textId="77777777" w:rsidR="000567EB" w:rsidRPr="00AE6FF3" w:rsidRDefault="000567EB" w:rsidP="00C119D8">
            <w:pPr>
              <w:spacing w:after="0" w:line="240" w:lineRule="auto"/>
              <w:jc w:val="left"/>
              <w:rPr>
                <w:rFonts w:eastAsia="Times New Roman" w:cs="Segoe UI"/>
                <w:b/>
                <w:bCs/>
                <w:color w:val="FFFFFF"/>
                <w:sz w:val="18"/>
                <w:szCs w:val="18"/>
                <w:lang w:eastAsia="sk-SK"/>
              </w:rPr>
            </w:pPr>
            <w:r w:rsidRPr="00AE6FF3">
              <w:rPr>
                <w:rFonts w:eastAsia="Times New Roman" w:cs="Segoe UI"/>
                <w:b/>
                <w:bCs/>
                <w:color w:val="FFFFFF"/>
                <w:sz w:val="18"/>
                <w:szCs w:val="18"/>
                <w:lang w:eastAsia="sk-SK"/>
              </w:rPr>
              <w:t>Operačný program</w:t>
            </w:r>
          </w:p>
        </w:tc>
        <w:tc>
          <w:tcPr>
            <w:tcW w:w="2179" w:type="dxa"/>
            <w:tcBorders>
              <w:top w:val="nil"/>
              <w:left w:val="nil"/>
              <w:bottom w:val="nil"/>
              <w:right w:val="nil"/>
            </w:tcBorders>
            <w:shd w:val="clear" w:color="000000" w:fill="314364"/>
            <w:noWrap/>
            <w:vAlign w:val="center"/>
            <w:hideMark/>
          </w:tcPr>
          <w:p w14:paraId="30AF7CC0" w14:textId="77777777" w:rsidR="000567EB" w:rsidRPr="00AE6FF3" w:rsidRDefault="000567EB" w:rsidP="00C119D8">
            <w:pPr>
              <w:spacing w:after="0" w:line="240" w:lineRule="auto"/>
              <w:jc w:val="right"/>
              <w:rPr>
                <w:rFonts w:eastAsia="Times New Roman" w:cs="Segoe UI"/>
                <w:b/>
                <w:bCs/>
                <w:color w:val="FFFFFF"/>
                <w:sz w:val="18"/>
                <w:szCs w:val="18"/>
                <w:lang w:eastAsia="sk-SK"/>
              </w:rPr>
            </w:pPr>
            <w:r w:rsidRPr="00AE6FF3">
              <w:rPr>
                <w:rFonts w:eastAsia="Times New Roman" w:cs="Segoe UI"/>
                <w:b/>
                <w:bCs/>
                <w:color w:val="FFFFFF"/>
                <w:sz w:val="18"/>
                <w:szCs w:val="18"/>
                <w:lang w:eastAsia="sk-SK"/>
              </w:rPr>
              <w:t>EÚ zdroj</w:t>
            </w:r>
          </w:p>
        </w:tc>
        <w:tc>
          <w:tcPr>
            <w:tcW w:w="2419" w:type="dxa"/>
            <w:tcBorders>
              <w:top w:val="nil"/>
              <w:left w:val="nil"/>
              <w:bottom w:val="nil"/>
              <w:right w:val="nil"/>
            </w:tcBorders>
            <w:shd w:val="clear" w:color="000000" w:fill="314364"/>
            <w:noWrap/>
            <w:vAlign w:val="center"/>
            <w:hideMark/>
          </w:tcPr>
          <w:p w14:paraId="575199C1" w14:textId="77777777" w:rsidR="000567EB" w:rsidRPr="00AE6FF3" w:rsidRDefault="000567EB" w:rsidP="00C119D8">
            <w:pPr>
              <w:spacing w:after="0" w:line="240" w:lineRule="auto"/>
              <w:jc w:val="right"/>
              <w:rPr>
                <w:rFonts w:eastAsia="Times New Roman" w:cs="Segoe UI"/>
                <w:b/>
                <w:bCs/>
                <w:color w:val="FFFFFF"/>
                <w:sz w:val="18"/>
                <w:szCs w:val="18"/>
                <w:lang w:eastAsia="sk-SK"/>
              </w:rPr>
            </w:pPr>
            <w:r w:rsidRPr="00AE6FF3">
              <w:rPr>
                <w:rFonts w:eastAsia="Times New Roman" w:cs="Segoe UI"/>
                <w:b/>
                <w:bCs/>
                <w:color w:val="FFFFFF"/>
                <w:sz w:val="18"/>
                <w:szCs w:val="18"/>
                <w:lang w:eastAsia="sk-SK"/>
              </w:rPr>
              <w:t>ŠR zdroj</w:t>
            </w:r>
          </w:p>
        </w:tc>
      </w:tr>
      <w:tr w:rsidR="000567EB" w:rsidRPr="00AE6FF3" w14:paraId="44D0E9F5" w14:textId="77777777" w:rsidTr="00C119D8">
        <w:trPr>
          <w:trHeight w:val="283"/>
        </w:trPr>
        <w:tc>
          <w:tcPr>
            <w:tcW w:w="4464" w:type="dxa"/>
            <w:tcBorders>
              <w:top w:val="nil"/>
              <w:left w:val="nil"/>
              <w:bottom w:val="nil"/>
              <w:right w:val="nil"/>
            </w:tcBorders>
            <w:shd w:val="clear" w:color="000000" w:fill="FFFFFF"/>
            <w:noWrap/>
            <w:vAlign w:val="center"/>
            <w:hideMark/>
          </w:tcPr>
          <w:p w14:paraId="23D54F75"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 xml:space="preserve">OP Integrovaná infraštruktúra </w:t>
            </w:r>
          </w:p>
        </w:tc>
        <w:tc>
          <w:tcPr>
            <w:tcW w:w="2179" w:type="dxa"/>
            <w:tcBorders>
              <w:top w:val="nil"/>
              <w:left w:val="nil"/>
              <w:bottom w:val="nil"/>
              <w:right w:val="nil"/>
            </w:tcBorders>
            <w:shd w:val="clear" w:color="000000" w:fill="FFFFFF"/>
            <w:noWrap/>
            <w:vAlign w:val="center"/>
            <w:hideMark/>
          </w:tcPr>
          <w:p w14:paraId="4955FD5E"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287 759 454,96</w:t>
            </w:r>
          </w:p>
        </w:tc>
        <w:tc>
          <w:tcPr>
            <w:tcW w:w="2419" w:type="dxa"/>
            <w:tcBorders>
              <w:top w:val="nil"/>
              <w:left w:val="nil"/>
              <w:bottom w:val="nil"/>
              <w:right w:val="nil"/>
            </w:tcBorders>
            <w:shd w:val="clear" w:color="000000" w:fill="FFFFFF"/>
            <w:noWrap/>
            <w:vAlign w:val="center"/>
            <w:hideMark/>
          </w:tcPr>
          <w:p w14:paraId="02E5CC07"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47 906 482,02</w:t>
            </w:r>
          </w:p>
        </w:tc>
      </w:tr>
      <w:tr w:rsidR="000567EB" w:rsidRPr="00AE6FF3" w14:paraId="61CB68EB" w14:textId="77777777" w:rsidTr="00C119D8">
        <w:trPr>
          <w:trHeight w:val="283"/>
        </w:trPr>
        <w:tc>
          <w:tcPr>
            <w:tcW w:w="4464" w:type="dxa"/>
            <w:tcBorders>
              <w:top w:val="nil"/>
              <w:left w:val="nil"/>
              <w:bottom w:val="nil"/>
              <w:right w:val="nil"/>
            </w:tcBorders>
            <w:shd w:val="clear" w:color="000000" w:fill="FFFFFF"/>
            <w:noWrap/>
            <w:vAlign w:val="center"/>
            <w:hideMark/>
          </w:tcPr>
          <w:p w14:paraId="1DAC2570"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OP Kvalita životného prostredia</w:t>
            </w:r>
          </w:p>
        </w:tc>
        <w:tc>
          <w:tcPr>
            <w:tcW w:w="2179" w:type="dxa"/>
            <w:tcBorders>
              <w:top w:val="nil"/>
              <w:left w:val="nil"/>
              <w:bottom w:val="nil"/>
              <w:right w:val="nil"/>
            </w:tcBorders>
            <w:shd w:val="clear" w:color="000000" w:fill="FFFFFF"/>
            <w:noWrap/>
            <w:vAlign w:val="center"/>
            <w:hideMark/>
          </w:tcPr>
          <w:p w14:paraId="70250477"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17 027 346,44</w:t>
            </w:r>
          </w:p>
        </w:tc>
        <w:tc>
          <w:tcPr>
            <w:tcW w:w="2419" w:type="dxa"/>
            <w:tcBorders>
              <w:top w:val="nil"/>
              <w:left w:val="nil"/>
              <w:bottom w:val="nil"/>
              <w:right w:val="nil"/>
            </w:tcBorders>
            <w:shd w:val="clear" w:color="000000" w:fill="FFFFFF"/>
            <w:noWrap/>
            <w:vAlign w:val="center"/>
            <w:hideMark/>
          </w:tcPr>
          <w:p w14:paraId="57292DB5"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1 619 636,03</w:t>
            </w:r>
          </w:p>
        </w:tc>
      </w:tr>
      <w:tr w:rsidR="000567EB" w:rsidRPr="00AE6FF3" w14:paraId="5BC898C0" w14:textId="77777777" w:rsidTr="00C119D8">
        <w:trPr>
          <w:trHeight w:val="283"/>
        </w:trPr>
        <w:tc>
          <w:tcPr>
            <w:tcW w:w="4464" w:type="dxa"/>
            <w:tcBorders>
              <w:top w:val="nil"/>
              <w:left w:val="nil"/>
              <w:bottom w:val="nil"/>
              <w:right w:val="nil"/>
            </w:tcBorders>
            <w:shd w:val="clear" w:color="000000" w:fill="FFFFFF"/>
            <w:noWrap/>
            <w:vAlign w:val="center"/>
            <w:hideMark/>
          </w:tcPr>
          <w:p w14:paraId="5384FC5A"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OP Ľudské zdroje</w:t>
            </w:r>
          </w:p>
        </w:tc>
        <w:tc>
          <w:tcPr>
            <w:tcW w:w="2179" w:type="dxa"/>
            <w:tcBorders>
              <w:top w:val="nil"/>
              <w:left w:val="nil"/>
              <w:bottom w:val="nil"/>
              <w:right w:val="nil"/>
            </w:tcBorders>
            <w:shd w:val="clear" w:color="000000" w:fill="FFFFFF"/>
            <w:noWrap/>
            <w:vAlign w:val="center"/>
            <w:hideMark/>
          </w:tcPr>
          <w:p w14:paraId="2FD1E1A3"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36 339 341,05</w:t>
            </w:r>
          </w:p>
        </w:tc>
        <w:tc>
          <w:tcPr>
            <w:tcW w:w="2419" w:type="dxa"/>
            <w:tcBorders>
              <w:top w:val="nil"/>
              <w:left w:val="nil"/>
              <w:bottom w:val="nil"/>
              <w:right w:val="nil"/>
            </w:tcBorders>
            <w:shd w:val="clear" w:color="000000" w:fill="FFFFFF"/>
            <w:noWrap/>
            <w:vAlign w:val="center"/>
            <w:hideMark/>
          </w:tcPr>
          <w:p w14:paraId="21C9F4FF"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6 123 023,12</w:t>
            </w:r>
          </w:p>
        </w:tc>
      </w:tr>
      <w:tr w:rsidR="000567EB" w:rsidRPr="00AE6FF3" w14:paraId="779575C5" w14:textId="77777777" w:rsidTr="00C119D8">
        <w:trPr>
          <w:trHeight w:val="283"/>
        </w:trPr>
        <w:tc>
          <w:tcPr>
            <w:tcW w:w="4464" w:type="dxa"/>
            <w:tcBorders>
              <w:top w:val="nil"/>
              <w:left w:val="nil"/>
              <w:bottom w:val="nil"/>
              <w:right w:val="nil"/>
            </w:tcBorders>
            <w:shd w:val="clear" w:color="000000" w:fill="FFFFFF"/>
            <w:noWrap/>
            <w:vAlign w:val="center"/>
            <w:hideMark/>
          </w:tcPr>
          <w:p w14:paraId="3998EDD8"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Integrovaný regionálny OP</w:t>
            </w:r>
          </w:p>
        </w:tc>
        <w:tc>
          <w:tcPr>
            <w:tcW w:w="2179" w:type="dxa"/>
            <w:tcBorders>
              <w:top w:val="nil"/>
              <w:left w:val="nil"/>
              <w:bottom w:val="nil"/>
              <w:right w:val="nil"/>
            </w:tcBorders>
            <w:shd w:val="clear" w:color="000000" w:fill="FFFFFF"/>
            <w:noWrap/>
            <w:vAlign w:val="center"/>
            <w:hideMark/>
          </w:tcPr>
          <w:p w14:paraId="3AE9471E"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42 724 740,26</w:t>
            </w:r>
          </w:p>
        </w:tc>
        <w:tc>
          <w:tcPr>
            <w:tcW w:w="2419" w:type="dxa"/>
            <w:tcBorders>
              <w:top w:val="nil"/>
              <w:left w:val="nil"/>
              <w:bottom w:val="nil"/>
              <w:right w:val="nil"/>
            </w:tcBorders>
            <w:shd w:val="clear" w:color="000000" w:fill="FFFFFF"/>
            <w:noWrap/>
            <w:vAlign w:val="center"/>
            <w:hideMark/>
          </w:tcPr>
          <w:p w14:paraId="225A26F6"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7 313 316,61</w:t>
            </w:r>
          </w:p>
        </w:tc>
      </w:tr>
      <w:tr w:rsidR="000567EB" w:rsidRPr="00AE6FF3" w14:paraId="4DB113F4" w14:textId="77777777" w:rsidTr="00C119D8">
        <w:trPr>
          <w:trHeight w:val="283"/>
        </w:trPr>
        <w:tc>
          <w:tcPr>
            <w:tcW w:w="4464" w:type="dxa"/>
            <w:tcBorders>
              <w:top w:val="nil"/>
              <w:left w:val="nil"/>
              <w:bottom w:val="nil"/>
              <w:right w:val="nil"/>
            </w:tcBorders>
            <w:shd w:val="clear" w:color="000000" w:fill="FFFFFF"/>
            <w:noWrap/>
            <w:vAlign w:val="center"/>
            <w:hideMark/>
          </w:tcPr>
          <w:p w14:paraId="3BD3EE91"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OP Efektívna verejná správa</w:t>
            </w:r>
          </w:p>
        </w:tc>
        <w:tc>
          <w:tcPr>
            <w:tcW w:w="2179" w:type="dxa"/>
            <w:tcBorders>
              <w:top w:val="nil"/>
              <w:left w:val="nil"/>
              <w:bottom w:val="nil"/>
              <w:right w:val="nil"/>
            </w:tcBorders>
            <w:shd w:val="clear" w:color="000000" w:fill="FFFFFF"/>
            <w:noWrap/>
            <w:vAlign w:val="center"/>
            <w:hideMark/>
          </w:tcPr>
          <w:p w14:paraId="4C740F03"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1 705 094,09</w:t>
            </w:r>
          </w:p>
        </w:tc>
        <w:tc>
          <w:tcPr>
            <w:tcW w:w="2419" w:type="dxa"/>
            <w:tcBorders>
              <w:top w:val="nil"/>
              <w:left w:val="nil"/>
              <w:bottom w:val="nil"/>
              <w:right w:val="nil"/>
            </w:tcBorders>
            <w:shd w:val="clear" w:color="000000" w:fill="FFFFFF"/>
            <w:noWrap/>
            <w:vAlign w:val="center"/>
            <w:hideMark/>
          </w:tcPr>
          <w:p w14:paraId="1B70B3DE"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383 879,28</w:t>
            </w:r>
          </w:p>
        </w:tc>
      </w:tr>
      <w:tr w:rsidR="000567EB" w:rsidRPr="00AE6FF3" w14:paraId="6B245867" w14:textId="77777777" w:rsidTr="00C119D8">
        <w:trPr>
          <w:trHeight w:val="283"/>
        </w:trPr>
        <w:tc>
          <w:tcPr>
            <w:tcW w:w="4464" w:type="dxa"/>
            <w:tcBorders>
              <w:top w:val="nil"/>
              <w:left w:val="nil"/>
              <w:bottom w:val="nil"/>
              <w:right w:val="nil"/>
            </w:tcBorders>
            <w:shd w:val="clear" w:color="000000" w:fill="FFFFFF"/>
            <w:noWrap/>
            <w:vAlign w:val="center"/>
            <w:hideMark/>
          </w:tcPr>
          <w:p w14:paraId="1D575C59"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OP Technická pomoc</w:t>
            </w:r>
          </w:p>
        </w:tc>
        <w:tc>
          <w:tcPr>
            <w:tcW w:w="2179" w:type="dxa"/>
            <w:tcBorders>
              <w:top w:val="nil"/>
              <w:left w:val="nil"/>
              <w:bottom w:val="nil"/>
              <w:right w:val="nil"/>
            </w:tcBorders>
            <w:shd w:val="clear" w:color="000000" w:fill="FFFFFF"/>
            <w:noWrap/>
            <w:vAlign w:val="center"/>
            <w:hideMark/>
          </w:tcPr>
          <w:p w14:paraId="3B7E7A9B"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2 266 200,83</w:t>
            </w:r>
          </w:p>
        </w:tc>
        <w:tc>
          <w:tcPr>
            <w:tcW w:w="2419" w:type="dxa"/>
            <w:tcBorders>
              <w:top w:val="nil"/>
              <w:left w:val="nil"/>
              <w:bottom w:val="nil"/>
              <w:right w:val="nil"/>
            </w:tcBorders>
            <w:shd w:val="clear" w:color="000000" w:fill="FFFFFF"/>
            <w:noWrap/>
            <w:vAlign w:val="center"/>
            <w:hideMark/>
          </w:tcPr>
          <w:p w14:paraId="7E324F97"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399 625,55</w:t>
            </w:r>
          </w:p>
        </w:tc>
      </w:tr>
      <w:tr w:rsidR="000567EB" w:rsidRPr="00AE6FF3" w14:paraId="1A355D50" w14:textId="77777777" w:rsidTr="00C119D8">
        <w:trPr>
          <w:trHeight w:val="283"/>
        </w:trPr>
        <w:tc>
          <w:tcPr>
            <w:tcW w:w="4464" w:type="dxa"/>
            <w:tcBorders>
              <w:top w:val="nil"/>
              <w:left w:val="nil"/>
              <w:bottom w:val="nil"/>
              <w:right w:val="nil"/>
            </w:tcBorders>
            <w:shd w:val="clear" w:color="000000" w:fill="FFFFFF"/>
            <w:noWrap/>
            <w:vAlign w:val="center"/>
            <w:hideMark/>
          </w:tcPr>
          <w:p w14:paraId="6C604DB1"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 xml:space="preserve">Program </w:t>
            </w:r>
            <w:proofErr w:type="spellStart"/>
            <w:r w:rsidRPr="00AE6FF3">
              <w:rPr>
                <w:rFonts w:eastAsia="Times New Roman" w:cs="Segoe UI"/>
                <w:color w:val="000000"/>
                <w:sz w:val="18"/>
                <w:szCs w:val="18"/>
                <w:lang w:eastAsia="sk-SK"/>
              </w:rPr>
              <w:t>Interreg</w:t>
            </w:r>
            <w:proofErr w:type="spellEnd"/>
            <w:r w:rsidRPr="00AE6FF3">
              <w:rPr>
                <w:rFonts w:eastAsia="Times New Roman" w:cs="Segoe UI"/>
                <w:color w:val="000000"/>
                <w:sz w:val="18"/>
                <w:szCs w:val="18"/>
                <w:lang w:eastAsia="sk-SK"/>
              </w:rPr>
              <w:t xml:space="preserve"> V-A SK-CZ </w:t>
            </w:r>
          </w:p>
        </w:tc>
        <w:tc>
          <w:tcPr>
            <w:tcW w:w="2179" w:type="dxa"/>
            <w:tcBorders>
              <w:top w:val="nil"/>
              <w:left w:val="nil"/>
              <w:bottom w:val="nil"/>
              <w:right w:val="nil"/>
            </w:tcBorders>
            <w:shd w:val="clear" w:color="000000" w:fill="FFFFFF"/>
            <w:noWrap/>
            <w:vAlign w:val="center"/>
            <w:hideMark/>
          </w:tcPr>
          <w:p w14:paraId="45917D41"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2 230 508,12</w:t>
            </w:r>
          </w:p>
        </w:tc>
        <w:tc>
          <w:tcPr>
            <w:tcW w:w="2419" w:type="dxa"/>
            <w:tcBorders>
              <w:top w:val="nil"/>
              <w:left w:val="nil"/>
              <w:bottom w:val="nil"/>
              <w:right w:val="nil"/>
            </w:tcBorders>
            <w:shd w:val="clear" w:color="000000" w:fill="FFFFFF"/>
            <w:noWrap/>
            <w:vAlign w:val="center"/>
            <w:hideMark/>
          </w:tcPr>
          <w:p w14:paraId="797F0D7D"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93 902,25</w:t>
            </w:r>
          </w:p>
        </w:tc>
      </w:tr>
      <w:tr w:rsidR="000567EB" w:rsidRPr="00AE6FF3" w14:paraId="149E0A32" w14:textId="77777777" w:rsidTr="00C119D8">
        <w:trPr>
          <w:trHeight w:val="283"/>
        </w:trPr>
        <w:tc>
          <w:tcPr>
            <w:tcW w:w="4464" w:type="dxa"/>
            <w:tcBorders>
              <w:top w:val="nil"/>
              <w:left w:val="nil"/>
              <w:bottom w:val="nil"/>
              <w:right w:val="nil"/>
            </w:tcBorders>
            <w:shd w:val="clear" w:color="000000" w:fill="FFFFFF"/>
            <w:noWrap/>
            <w:vAlign w:val="center"/>
            <w:hideMark/>
          </w:tcPr>
          <w:p w14:paraId="0C4984EE"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 xml:space="preserve">Program </w:t>
            </w:r>
            <w:proofErr w:type="spellStart"/>
            <w:r w:rsidRPr="00AE6FF3">
              <w:rPr>
                <w:rFonts w:eastAsia="Times New Roman" w:cs="Segoe UI"/>
                <w:color w:val="000000"/>
                <w:sz w:val="18"/>
                <w:szCs w:val="18"/>
                <w:lang w:eastAsia="sk-SK"/>
              </w:rPr>
              <w:t>Interreg</w:t>
            </w:r>
            <w:proofErr w:type="spellEnd"/>
            <w:r w:rsidRPr="00AE6FF3">
              <w:rPr>
                <w:rFonts w:eastAsia="Times New Roman" w:cs="Segoe UI"/>
                <w:color w:val="000000"/>
                <w:sz w:val="18"/>
                <w:szCs w:val="18"/>
                <w:lang w:eastAsia="sk-SK"/>
              </w:rPr>
              <w:t xml:space="preserve"> V-A SK-AT </w:t>
            </w:r>
          </w:p>
        </w:tc>
        <w:tc>
          <w:tcPr>
            <w:tcW w:w="2179" w:type="dxa"/>
            <w:tcBorders>
              <w:top w:val="nil"/>
              <w:left w:val="nil"/>
              <w:bottom w:val="nil"/>
              <w:right w:val="nil"/>
            </w:tcBorders>
            <w:shd w:val="clear" w:color="000000" w:fill="FFFFFF"/>
            <w:noWrap/>
            <w:vAlign w:val="center"/>
            <w:hideMark/>
          </w:tcPr>
          <w:p w14:paraId="7B7D6125"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259 636,72</w:t>
            </w:r>
          </w:p>
        </w:tc>
        <w:tc>
          <w:tcPr>
            <w:tcW w:w="2419" w:type="dxa"/>
            <w:tcBorders>
              <w:top w:val="nil"/>
              <w:left w:val="nil"/>
              <w:bottom w:val="nil"/>
              <w:right w:val="nil"/>
            </w:tcBorders>
            <w:shd w:val="clear" w:color="000000" w:fill="FFFFFF"/>
            <w:noWrap/>
            <w:vAlign w:val="center"/>
            <w:hideMark/>
          </w:tcPr>
          <w:p w14:paraId="1404BB9C"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9 880,65</w:t>
            </w:r>
          </w:p>
        </w:tc>
      </w:tr>
      <w:tr w:rsidR="000567EB" w:rsidRPr="00AE6FF3" w14:paraId="7F683F67" w14:textId="77777777" w:rsidTr="00C119D8">
        <w:trPr>
          <w:trHeight w:val="283"/>
        </w:trPr>
        <w:tc>
          <w:tcPr>
            <w:tcW w:w="4464" w:type="dxa"/>
            <w:tcBorders>
              <w:top w:val="nil"/>
              <w:left w:val="nil"/>
              <w:bottom w:val="nil"/>
              <w:right w:val="nil"/>
            </w:tcBorders>
            <w:shd w:val="clear" w:color="000000" w:fill="FFFFFF"/>
            <w:noWrap/>
            <w:vAlign w:val="center"/>
            <w:hideMark/>
          </w:tcPr>
          <w:p w14:paraId="0DF9CE53"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PS INTERACT III*</w:t>
            </w:r>
          </w:p>
        </w:tc>
        <w:tc>
          <w:tcPr>
            <w:tcW w:w="2179" w:type="dxa"/>
            <w:tcBorders>
              <w:top w:val="nil"/>
              <w:left w:val="nil"/>
              <w:bottom w:val="nil"/>
              <w:right w:val="nil"/>
            </w:tcBorders>
            <w:shd w:val="clear" w:color="000000" w:fill="FFFFFF"/>
            <w:noWrap/>
            <w:vAlign w:val="center"/>
            <w:hideMark/>
          </w:tcPr>
          <w:p w14:paraId="436CF56F"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38 117,22</w:t>
            </w:r>
          </w:p>
        </w:tc>
        <w:tc>
          <w:tcPr>
            <w:tcW w:w="2419" w:type="dxa"/>
            <w:tcBorders>
              <w:top w:val="nil"/>
              <w:left w:val="nil"/>
              <w:bottom w:val="nil"/>
              <w:right w:val="nil"/>
            </w:tcBorders>
            <w:shd w:val="clear" w:color="000000" w:fill="FFFFFF"/>
            <w:noWrap/>
            <w:vAlign w:val="center"/>
            <w:hideMark/>
          </w:tcPr>
          <w:p w14:paraId="46106E67"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6 726,60</w:t>
            </w:r>
          </w:p>
        </w:tc>
      </w:tr>
      <w:tr w:rsidR="000567EB" w:rsidRPr="00AE6FF3" w14:paraId="5C653051" w14:textId="77777777" w:rsidTr="00C119D8">
        <w:trPr>
          <w:trHeight w:val="283"/>
        </w:trPr>
        <w:tc>
          <w:tcPr>
            <w:tcW w:w="4464" w:type="dxa"/>
            <w:tcBorders>
              <w:top w:val="nil"/>
              <w:left w:val="nil"/>
              <w:bottom w:val="nil"/>
              <w:right w:val="nil"/>
            </w:tcBorders>
            <w:shd w:val="clear" w:color="000000" w:fill="FFFFFF"/>
            <w:noWrap/>
            <w:vAlign w:val="center"/>
            <w:hideMark/>
          </w:tcPr>
          <w:p w14:paraId="5D555863"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 xml:space="preserve">OP Rybné hospodárstvo </w:t>
            </w:r>
          </w:p>
        </w:tc>
        <w:tc>
          <w:tcPr>
            <w:tcW w:w="2179" w:type="dxa"/>
            <w:tcBorders>
              <w:top w:val="nil"/>
              <w:left w:val="nil"/>
              <w:bottom w:val="nil"/>
              <w:right w:val="nil"/>
            </w:tcBorders>
            <w:shd w:val="clear" w:color="000000" w:fill="FFFFFF"/>
            <w:noWrap/>
            <w:vAlign w:val="center"/>
            <w:hideMark/>
          </w:tcPr>
          <w:p w14:paraId="2E2CC57A"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579 936,35</w:t>
            </w:r>
          </w:p>
        </w:tc>
        <w:tc>
          <w:tcPr>
            <w:tcW w:w="2419" w:type="dxa"/>
            <w:tcBorders>
              <w:top w:val="nil"/>
              <w:left w:val="nil"/>
              <w:bottom w:val="nil"/>
              <w:right w:val="nil"/>
            </w:tcBorders>
            <w:shd w:val="clear" w:color="000000" w:fill="FFFFFF"/>
            <w:noWrap/>
            <w:vAlign w:val="center"/>
            <w:hideMark/>
          </w:tcPr>
          <w:p w14:paraId="06A0A84C"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color w:val="000000"/>
                <w:sz w:val="18"/>
                <w:szCs w:val="18"/>
                <w:lang w:eastAsia="sk-SK"/>
              </w:rPr>
              <w:t>164 493,80</w:t>
            </w:r>
          </w:p>
        </w:tc>
      </w:tr>
      <w:tr w:rsidR="000567EB" w:rsidRPr="00AE6FF3" w14:paraId="30A60887" w14:textId="77777777" w:rsidTr="00C119D8">
        <w:trPr>
          <w:trHeight w:val="283"/>
        </w:trPr>
        <w:tc>
          <w:tcPr>
            <w:tcW w:w="4464" w:type="dxa"/>
            <w:tcBorders>
              <w:top w:val="nil"/>
              <w:left w:val="nil"/>
              <w:bottom w:val="single" w:sz="8" w:space="0" w:color="auto"/>
              <w:right w:val="nil"/>
            </w:tcBorders>
            <w:shd w:val="clear" w:color="000000" w:fill="FFFFFF"/>
            <w:noWrap/>
            <w:vAlign w:val="center"/>
            <w:hideMark/>
          </w:tcPr>
          <w:p w14:paraId="30FB82EC" w14:textId="77777777" w:rsidR="000567EB" w:rsidRPr="00AE6FF3" w:rsidRDefault="000567EB" w:rsidP="00C119D8">
            <w:pPr>
              <w:spacing w:after="0" w:line="240" w:lineRule="auto"/>
              <w:jc w:val="left"/>
              <w:rPr>
                <w:rFonts w:eastAsia="Times New Roman" w:cs="Segoe UI"/>
                <w:color w:val="000000"/>
                <w:sz w:val="18"/>
                <w:szCs w:val="18"/>
                <w:lang w:eastAsia="sk-SK"/>
              </w:rPr>
            </w:pPr>
            <w:r w:rsidRPr="00AE6FF3">
              <w:rPr>
                <w:rFonts w:eastAsia="Times New Roman" w:cs="Segoe UI"/>
                <w:b/>
                <w:bCs/>
                <w:color w:val="000000"/>
                <w:sz w:val="18"/>
                <w:szCs w:val="18"/>
                <w:lang w:eastAsia="sk-SK"/>
              </w:rPr>
              <w:t xml:space="preserve">SPOLU </w:t>
            </w:r>
          </w:p>
        </w:tc>
        <w:tc>
          <w:tcPr>
            <w:tcW w:w="2179" w:type="dxa"/>
            <w:tcBorders>
              <w:top w:val="nil"/>
              <w:left w:val="nil"/>
              <w:bottom w:val="single" w:sz="8" w:space="0" w:color="auto"/>
              <w:right w:val="nil"/>
            </w:tcBorders>
            <w:shd w:val="clear" w:color="000000" w:fill="FFFFFF"/>
            <w:noWrap/>
            <w:vAlign w:val="center"/>
            <w:hideMark/>
          </w:tcPr>
          <w:p w14:paraId="3BDA5600"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b/>
                <w:bCs/>
                <w:color w:val="000000"/>
                <w:sz w:val="18"/>
                <w:szCs w:val="18"/>
                <w:lang w:eastAsia="sk-SK"/>
              </w:rPr>
              <w:t>390 930 376,04</w:t>
            </w:r>
          </w:p>
        </w:tc>
        <w:tc>
          <w:tcPr>
            <w:tcW w:w="2419" w:type="dxa"/>
            <w:tcBorders>
              <w:top w:val="nil"/>
              <w:left w:val="nil"/>
              <w:bottom w:val="single" w:sz="8" w:space="0" w:color="auto"/>
              <w:right w:val="nil"/>
            </w:tcBorders>
            <w:shd w:val="clear" w:color="000000" w:fill="FFFFFF"/>
            <w:noWrap/>
            <w:vAlign w:val="center"/>
            <w:hideMark/>
          </w:tcPr>
          <w:p w14:paraId="422215AB" w14:textId="77777777" w:rsidR="000567EB" w:rsidRPr="00AE6FF3" w:rsidRDefault="000567EB" w:rsidP="00C119D8">
            <w:pPr>
              <w:spacing w:after="0" w:line="240" w:lineRule="auto"/>
              <w:jc w:val="right"/>
              <w:rPr>
                <w:rFonts w:eastAsia="Times New Roman" w:cs="Segoe UI"/>
                <w:color w:val="000000"/>
                <w:sz w:val="18"/>
                <w:szCs w:val="18"/>
                <w:lang w:eastAsia="sk-SK"/>
              </w:rPr>
            </w:pPr>
            <w:r w:rsidRPr="00AE6FF3">
              <w:rPr>
                <w:rFonts w:eastAsia="Times New Roman" w:cs="Segoe UI"/>
                <w:b/>
                <w:bCs/>
                <w:color w:val="000000"/>
                <w:sz w:val="18"/>
                <w:szCs w:val="18"/>
                <w:lang w:eastAsia="sk-SK"/>
              </w:rPr>
              <w:t>64 020 965,91</w:t>
            </w:r>
          </w:p>
        </w:tc>
      </w:tr>
    </w:tbl>
    <w:p w14:paraId="53396BD9" w14:textId="24AC946D" w:rsidR="00377BD7" w:rsidRDefault="000567EB" w:rsidP="00377BD7">
      <w:pPr>
        <w:pStyle w:val="Zdroj"/>
      </w:pPr>
      <w:r w:rsidRPr="00AE6FF3">
        <w:rPr>
          <w:lang w:eastAsia="sk-SK"/>
        </w:rPr>
        <w:t>Zdroj: CO (MF SR), pri PS INTERACT III ide o národné príspevky</w:t>
      </w:r>
      <w:r>
        <w:rPr>
          <w:lang w:eastAsia="sk-SK"/>
        </w:rPr>
        <w:t xml:space="preserve"> </w:t>
      </w:r>
      <w:r w:rsidRPr="00AE6FF3">
        <w:rPr>
          <w:lang w:eastAsia="sk-SK"/>
        </w:rPr>
        <w:t>členských štátov programu</w:t>
      </w:r>
      <w:r w:rsidR="0024233A">
        <w:rPr>
          <w:lang w:eastAsia="sk-SK"/>
        </w:rPr>
        <w:t>.</w:t>
      </w:r>
    </w:p>
    <w:tbl>
      <w:tblPr>
        <w:tblStyle w:val="Mriekatabuky"/>
        <w:tblpPr w:leftFromText="141" w:rightFromText="141" w:vertAnchor="text" w:horzAnchor="margin" w:tblpY="51"/>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blLook w:val="04A0" w:firstRow="1" w:lastRow="0" w:firstColumn="1" w:lastColumn="0" w:noHBand="0" w:noVBand="1"/>
      </w:tblPr>
      <w:tblGrid>
        <w:gridCol w:w="9060"/>
      </w:tblGrid>
      <w:tr w:rsidR="00377BD7" w:rsidRPr="00CF78E2" w14:paraId="36421C67" w14:textId="77777777" w:rsidTr="002C027A">
        <w:trPr>
          <w:trHeight w:val="625"/>
        </w:trPr>
        <w:tc>
          <w:tcPr>
            <w:tcW w:w="9060" w:type="dxa"/>
            <w:shd w:val="clear" w:color="auto" w:fill="EBF0FB"/>
          </w:tcPr>
          <w:p w14:paraId="5CEB56B2" w14:textId="058C7DAC" w:rsidR="00377BD7" w:rsidRPr="00CF78E2" w:rsidRDefault="00377BD7" w:rsidP="002C027A">
            <w:pPr>
              <w:spacing w:before="120" w:line="240" w:lineRule="auto"/>
              <w:rPr>
                <w:rFonts w:cs="Segoe UI"/>
                <w:b/>
                <w:color w:val="000000" w:themeColor="text1"/>
                <w:sz w:val="18"/>
                <w:szCs w:val="18"/>
              </w:rPr>
            </w:pPr>
            <w:r w:rsidRPr="00CF78E2">
              <w:rPr>
                <w:rFonts w:cs="Segoe UI"/>
                <w:b/>
                <w:color w:val="000000" w:themeColor="text1"/>
                <w:sz w:val="18"/>
                <w:szCs w:val="18"/>
              </w:rPr>
              <w:t xml:space="preserve">BOX </w:t>
            </w:r>
            <w:r w:rsidR="004C18E7">
              <w:rPr>
                <w:rFonts w:cs="Segoe UI"/>
                <w:b/>
                <w:color w:val="000000" w:themeColor="text1"/>
                <w:sz w:val="18"/>
                <w:szCs w:val="18"/>
              </w:rPr>
              <w:t>6</w:t>
            </w:r>
            <w:r w:rsidRPr="00CF78E2">
              <w:rPr>
                <w:rFonts w:cs="Segoe UI"/>
                <w:b/>
                <w:color w:val="000000" w:themeColor="text1"/>
                <w:sz w:val="18"/>
                <w:szCs w:val="18"/>
              </w:rPr>
              <w:t xml:space="preserve">: </w:t>
            </w:r>
            <w:r>
              <w:rPr>
                <w:rFonts w:cs="Segoe UI"/>
                <w:b/>
                <w:color w:val="000000" w:themeColor="text1"/>
                <w:sz w:val="18"/>
                <w:szCs w:val="18"/>
              </w:rPr>
              <w:t>Kontrola nezrovnalostí v čerpaní zdrojov EÚ na MDV SR a MŽP SR</w:t>
            </w:r>
          </w:p>
          <w:p w14:paraId="4B69D5F6" w14:textId="31EDB551" w:rsidR="00377BD7" w:rsidRPr="0021374F" w:rsidRDefault="00377BD7" w:rsidP="00AF7198">
            <w:pPr>
              <w:rPr>
                <w:rFonts w:eastAsia="Calibri" w:cs="Times New Roman"/>
                <w:color w:val="000000"/>
                <w:sz w:val="18"/>
                <w:szCs w:val="18"/>
              </w:rPr>
            </w:pPr>
            <w:r w:rsidRPr="00CF78E2">
              <w:rPr>
                <w:rFonts w:eastAsia="Calibri" w:cs="Times New Roman"/>
                <w:color w:val="000000"/>
                <w:sz w:val="18"/>
                <w:szCs w:val="18"/>
              </w:rPr>
              <w:t>O</w:t>
            </w:r>
            <w:r>
              <w:rPr>
                <w:rFonts w:eastAsia="Calibri" w:cs="Times New Roman"/>
                <w:color w:val="000000"/>
                <w:sz w:val="18"/>
                <w:szCs w:val="18"/>
              </w:rPr>
              <w:t>P</w:t>
            </w:r>
            <w:r w:rsidRPr="00CF78E2">
              <w:rPr>
                <w:rFonts w:eastAsia="Calibri" w:cs="Times New Roman"/>
                <w:color w:val="000000"/>
                <w:sz w:val="18"/>
                <w:szCs w:val="18"/>
              </w:rPr>
              <w:t xml:space="preserve"> </w:t>
            </w:r>
            <w:r>
              <w:rPr>
                <w:rFonts w:eastAsia="Calibri" w:cs="Times New Roman"/>
                <w:color w:val="000000"/>
                <w:sz w:val="18"/>
                <w:szCs w:val="18"/>
              </w:rPr>
              <w:t>I</w:t>
            </w:r>
            <w:r w:rsidRPr="00CF78E2">
              <w:rPr>
                <w:rFonts w:eastAsia="Calibri" w:cs="Times New Roman"/>
                <w:color w:val="000000"/>
                <w:sz w:val="18"/>
                <w:szCs w:val="18"/>
              </w:rPr>
              <w:t>ntegrovaná infraštruktúra a O</w:t>
            </w:r>
            <w:r>
              <w:rPr>
                <w:rFonts w:eastAsia="Calibri" w:cs="Times New Roman"/>
                <w:color w:val="000000"/>
                <w:sz w:val="18"/>
                <w:szCs w:val="18"/>
              </w:rPr>
              <w:t>P</w:t>
            </w:r>
            <w:r w:rsidRPr="00CF78E2">
              <w:rPr>
                <w:rFonts w:eastAsia="Calibri" w:cs="Times New Roman"/>
                <w:color w:val="000000"/>
                <w:sz w:val="18"/>
                <w:szCs w:val="18"/>
              </w:rPr>
              <w:t xml:space="preserve"> Kvalita životného prostredia</w:t>
            </w:r>
            <w:r>
              <w:rPr>
                <w:rFonts w:eastAsia="Calibri" w:cs="Times New Roman"/>
                <w:color w:val="000000"/>
                <w:sz w:val="18"/>
                <w:szCs w:val="18"/>
              </w:rPr>
              <w:t xml:space="preserve"> </w:t>
            </w:r>
            <w:r w:rsidRPr="00CF78E2">
              <w:rPr>
                <w:rFonts w:eastAsia="Calibri" w:cs="Times New Roman"/>
                <w:color w:val="000000"/>
                <w:sz w:val="18"/>
                <w:szCs w:val="18"/>
              </w:rPr>
              <w:t xml:space="preserve">majú v rámci </w:t>
            </w:r>
            <w:r>
              <w:rPr>
                <w:rFonts w:eastAsia="Calibri" w:cs="Times New Roman"/>
                <w:color w:val="000000"/>
                <w:sz w:val="18"/>
                <w:szCs w:val="18"/>
              </w:rPr>
              <w:t>PO</w:t>
            </w:r>
            <w:r w:rsidRPr="00CF78E2">
              <w:rPr>
                <w:rFonts w:eastAsia="Calibri" w:cs="Times New Roman"/>
                <w:color w:val="000000"/>
                <w:sz w:val="18"/>
                <w:szCs w:val="18"/>
              </w:rPr>
              <w:t xml:space="preserve"> 2014 </w:t>
            </w:r>
            <w:r w:rsidR="00AF7198">
              <w:rPr>
                <w:rFonts w:eastAsia="Calibri" w:cs="Times New Roman"/>
                <w:color w:val="000000"/>
                <w:sz w:val="18"/>
                <w:szCs w:val="18"/>
              </w:rPr>
              <w:t xml:space="preserve">– </w:t>
            </w:r>
            <w:r w:rsidRPr="00CF78E2">
              <w:rPr>
                <w:rFonts w:eastAsia="Calibri" w:cs="Times New Roman"/>
                <w:color w:val="000000"/>
                <w:sz w:val="18"/>
                <w:szCs w:val="18"/>
              </w:rPr>
              <w:t>2020 najvyššiu schválenú alokáciu finančných prostriedkov z EŠIF (OP II – 6</w:t>
            </w:r>
            <w:r>
              <w:rPr>
                <w:rFonts w:eastAsia="Calibri" w:cs="Times New Roman"/>
                <w:color w:val="000000"/>
                <w:sz w:val="18"/>
                <w:szCs w:val="18"/>
              </w:rPr>
              <w:t xml:space="preserve"> mld. eur</w:t>
            </w:r>
            <w:r w:rsidRPr="00CF78E2">
              <w:rPr>
                <w:rFonts w:eastAsia="Calibri" w:cs="Times New Roman"/>
                <w:color w:val="000000"/>
                <w:sz w:val="18"/>
                <w:szCs w:val="18"/>
              </w:rPr>
              <w:t>, OP KŽP – 2</w:t>
            </w:r>
            <w:r>
              <w:rPr>
                <w:rFonts w:eastAsia="Calibri" w:cs="Times New Roman"/>
                <w:color w:val="000000"/>
                <w:sz w:val="18"/>
                <w:szCs w:val="18"/>
              </w:rPr>
              <w:t>,</w:t>
            </w:r>
            <w:r w:rsidRPr="00CF78E2">
              <w:rPr>
                <w:rFonts w:eastAsia="Calibri" w:cs="Times New Roman"/>
                <w:color w:val="000000"/>
                <w:sz w:val="18"/>
                <w:szCs w:val="18"/>
              </w:rPr>
              <w:t>8</w:t>
            </w:r>
            <w:r>
              <w:rPr>
                <w:rFonts w:eastAsia="Calibri" w:cs="Times New Roman"/>
                <w:color w:val="000000"/>
                <w:sz w:val="18"/>
                <w:szCs w:val="18"/>
              </w:rPr>
              <w:t xml:space="preserve"> mld. eur</w:t>
            </w:r>
            <w:r w:rsidRPr="00CF78E2">
              <w:rPr>
                <w:rFonts w:eastAsia="Calibri" w:cs="Times New Roman"/>
                <w:color w:val="000000"/>
                <w:sz w:val="18"/>
                <w:szCs w:val="18"/>
              </w:rPr>
              <w:t>). Zároveň v čase prípravy kontrol</w:t>
            </w:r>
            <w:r>
              <w:rPr>
                <w:rFonts w:eastAsia="Calibri" w:cs="Times New Roman"/>
                <w:color w:val="000000"/>
                <w:sz w:val="18"/>
                <w:szCs w:val="18"/>
              </w:rPr>
              <w:t>y</w:t>
            </w:r>
            <w:r w:rsidRPr="00CF78E2">
              <w:rPr>
                <w:rFonts w:eastAsia="Calibri" w:cs="Times New Roman"/>
                <w:color w:val="000000"/>
                <w:sz w:val="18"/>
                <w:szCs w:val="18"/>
              </w:rPr>
              <w:t xml:space="preserve"> (k máju 2021) tieto </w:t>
            </w:r>
            <w:r>
              <w:rPr>
                <w:rFonts w:eastAsia="Calibri" w:cs="Times New Roman"/>
                <w:color w:val="000000"/>
                <w:sz w:val="18"/>
                <w:szCs w:val="18"/>
              </w:rPr>
              <w:t>OP</w:t>
            </w:r>
            <w:r w:rsidRPr="00CF78E2">
              <w:rPr>
                <w:rFonts w:eastAsia="Calibri" w:cs="Times New Roman"/>
                <w:color w:val="000000"/>
                <w:sz w:val="18"/>
                <w:szCs w:val="18"/>
              </w:rPr>
              <w:t xml:space="preserve"> disponovali najväčším objemom (zdroj EÚ, ŠR a VZ) zaevidovaných nezrovnalostí (OP II – 1</w:t>
            </w:r>
            <w:r>
              <w:rPr>
                <w:rFonts w:eastAsia="Calibri" w:cs="Times New Roman"/>
                <w:color w:val="000000"/>
                <w:sz w:val="18"/>
                <w:szCs w:val="18"/>
              </w:rPr>
              <w:t>,6</w:t>
            </w:r>
            <w:r w:rsidRPr="00CF78E2">
              <w:rPr>
                <w:rFonts w:eastAsia="Calibri" w:cs="Times New Roman"/>
                <w:color w:val="000000"/>
                <w:sz w:val="18"/>
                <w:szCs w:val="18"/>
              </w:rPr>
              <w:t xml:space="preserve"> </w:t>
            </w:r>
            <w:r>
              <w:rPr>
                <w:rFonts w:eastAsia="Calibri" w:cs="Times New Roman"/>
                <w:color w:val="000000"/>
                <w:sz w:val="18"/>
                <w:szCs w:val="18"/>
              </w:rPr>
              <w:t>mld. eur</w:t>
            </w:r>
            <w:r w:rsidRPr="00CF78E2">
              <w:rPr>
                <w:rFonts w:eastAsia="Calibri" w:cs="Times New Roman"/>
                <w:color w:val="000000"/>
                <w:sz w:val="18"/>
                <w:szCs w:val="18"/>
              </w:rPr>
              <w:t xml:space="preserve"> a OP KŽP 365</w:t>
            </w:r>
            <w:r>
              <w:rPr>
                <w:rFonts w:eastAsia="Calibri" w:cs="Times New Roman"/>
                <w:color w:val="000000"/>
                <w:sz w:val="18"/>
                <w:szCs w:val="18"/>
              </w:rPr>
              <w:t>,4 mil. eur</w:t>
            </w:r>
            <w:r w:rsidRPr="00CF78E2">
              <w:rPr>
                <w:rFonts w:eastAsia="Calibri" w:cs="Times New Roman"/>
                <w:color w:val="000000"/>
                <w:sz w:val="18"/>
                <w:szCs w:val="18"/>
              </w:rPr>
              <w:t>).</w:t>
            </w:r>
            <w:r>
              <w:rPr>
                <w:rFonts w:eastAsia="Calibri" w:cs="Times New Roman"/>
                <w:color w:val="000000"/>
                <w:sz w:val="18"/>
                <w:szCs w:val="18"/>
              </w:rPr>
              <w:t xml:space="preserve"> V</w:t>
            </w:r>
            <w:r w:rsidRPr="00CF78E2">
              <w:rPr>
                <w:rFonts w:eastAsia="Calibri" w:cs="Times New Roman"/>
                <w:color w:val="000000"/>
                <w:sz w:val="18"/>
                <w:szCs w:val="18"/>
              </w:rPr>
              <w:t xml:space="preserve"> roku 2022 </w:t>
            </w:r>
            <w:r>
              <w:rPr>
                <w:rFonts w:eastAsia="Calibri" w:cs="Times New Roman"/>
                <w:color w:val="000000"/>
                <w:sz w:val="18"/>
                <w:szCs w:val="18"/>
              </w:rPr>
              <w:t xml:space="preserve">NKÚ SR poukázal </w:t>
            </w:r>
            <w:r w:rsidRPr="00CF78E2">
              <w:rPr>
                <w:rFonts w:eastAsia="Calibri" w:cs="Times New Roman"/>
                <w:color w:val="000000"/>
                <w:sz w:val="18"/>
                <w:szCs w:val="18"/>
              </w:rPr>
              <w:t>najmä</w:t>
            </w:r>
            <w:r>
              <w:rPr>
                <w:rFonts w:eastAsia="Calibri" w:cs="Times New Roman"/>
                <w:color w:val="000000"/>
                <w:sz w:val="18"/>
                <w:szCs w:val="18"/>
              </w:rPr>
              <w:t xml:space="preserve"> na</w:t>
            </w:r>
            <w:r w:rsidRPr="00CF78E2">
              <w:rPr>
                <w:rFonts w:eastAsia="Calibri" w:cs="Times New Roman"/>
                <w:color w:val="000000"/>
                <w:sz w:val="18"/>
                <w:szCs w:val="18"/>
              </w:rPr>
              <w:t xml:space="preserve"> prekročenie stanovenej lehoty pre evidenciu a aktualizáciu nezrovnalost</w:t>
            </w:r>
            <w:r>
              <w:rPr>
                <w:rFonts w:eastAsia="Calibri" w:cs="Times New Roman"/>
                <w:color w:val="000000"/>
                <w:sz w:val="18"/>
                <w:szCs w:val="18"/>
              </w:rPr>
              <w:t>í</w:t>
            </w:r>
            <w:r w:rsidRPr="00CF78E2">
              <w:rPr>
                <w:rFonts w:eastAsia="Calibri" w:cs="Times New Roman"/>
                <w:color w:val="000000"/>
                <w:sz w:val="18"/>
                <w:szCs w:val="18"/>
              </w:rPr>
              <w:t xml:space="preserve"> a splnenie oznamovacej povinnosti, ako aj zadávanie neúplných, nesprávnych alebo neaktuálnych údajov o nezrovnalostiach do i</w:t>
            </w:r>
            <w:r>
              <w:rPr>
                <w:rFonts w:eastAsia="Calibri" w:cs="Times New Roman"/>
                <w:color w:val="000000"/>
                <w:sz w:val="18"/>
                <w:szCs w:val="18"/>
              </w:rPr>
              <w:t>nformačného systému ITMS2014+.</w:t>
            </w:r>
            <w:r w:rsidRPr="00CF78E2">
              <w:rPr>
                <w:rFonts w:eastAsia="Calibri" w:cs="Times New Roman"/>
                <w:color w:val="000000"/>
                <w:sz w:val="18"/>
                <w:szCs w:val="18"/>
              </w:rPr>
              <w:t xml:space="preserve"> </w:t>
            </w:r>
          </w:p>
        </w:tc>
      </w:tr>
    </w:tbl>
    <w:p w14:paraId="7C7D8661" w14:textId="3BE96DD8" w:rsidR="00B502B0" w:rsidRPr="005F4E12" w:rsidRDefault="000F0907" w:rsidP="00B502B0">
      <w:pPr>
        <w:spacing w:before="120"/>
        <w:rPr>
          <w:rFonts w:eastAsia="Calibri" w:cs="Segoe UI"/>
        </w:rPr>
      </w:pPr>
      <w:r w:rsidRPr="005F4E12">
        <w:rPr>
          <w:rFonts w:eastAsia="Calibri" w:cs="Segoe UI"/>
        </w:rPr>
        <w:t xml:space="preserve">Za rok 2022 sa eviduje aj </w:t>
      </w:r>
      <w:proofErr w:type="spellStart"/>
      <w:r w:rsidRPr="005F4E12">
        <w:rPr>
          <w:rFonts w:eastAsia="Calibri" w:cs="Segoe UI"/>
        </w:rPr>
        <w:t>dekomitment</w:t>
      </w:r>
      <w:proofErr w:type="spellEnd"/>
      <w:r w:rsidR="0086527E">
        <w:rPr>
          <w:rStyle w:val="Odkaznapoznmkupodiarou"/>
          <w:rFonts w:eastAsia="Calibri" w:cs="Segoe UI"/>
        </w:rPr>
        <w:footnoteReference w:id="41"/>
      </w:r>
      <w:r w:rsidRPr="005F4E12">
        <w:rPr>
          <w:rFonts w:eastAsia="Calibri" w:cs="Segoe UI"/>
        </w:rPr>
        <w:t xml:space="preserve"> 1,65 mil. eur za OP Rybné hospodárstvo, pričom </w:t>
      </w:r>
      <w:r w:rsidR="00D61DC4">
        <w:rPr>
          <w:rFonts w:eastAsia="Calibri" w:cs="Segoe UI"/>
        </w:rPr>
        <w:t xml:space="preserve">SR </w:t>
      </w:r>
      <w:r w:rsidRPr="005F4E12">
        <w:rPr>
          <w:rFonts w:eastAsia="Calibri" w:cs="Segoe UI"/>
        </w:rPr>
        <w:t xml:space="preserve">vykázala </w:t>
      </w:r>
      <w:proofErr w:type="spellStart"/>
      <w:r w:rsidRPr="005F4E12">
        <w:rPr>
          <w:rFonts w:eastAsia="Calibri" w:cs="Segoe UI"/>
        </w:rPr>
        <w:t>dekomitment</w:t>
      </w:r>
      <w:proofErr w:type="spellEnd"/>
      <w:r w:rsidRPr="005F4E12">
        <w:rPr>
          <w:rFonts w:eastAsia="Calibri" w:cs="Segoe UI"/>
        </w:rPr>
        <w:t xml:space="preserve"> už piaty rok po sebe (tabuľka </w:t>
      </w:r>
      <w:r>
        <w:rPr>
          <w:rFonts w:eastAsia="Calibri" w:cs="Segoe UI"/>
        </w:rPr>
        <w:t>17</w:t>
      </w:r>
      <w:r w:rsidRPr="005F4E12">
        <w:rPr>
          <w:rFonts w:eastAsia="Calibri" w:cs="Segoe UI"/>
        </w:rPr>
        <w:t xml:space="preserve">). Avšak situácia oproti rokom 2017 a 2018 je v tomto ohľade podstatne lepšia. </w:t>
      </w:r>
      <w:r w:rsidR="00B502B0">
        <w:rPr>
          <w:rFonts w:eastAsia="Calibri" w:cs="Segoe UI"/>
        </w:rPr>
        <w:t xml:space="preserve">Celková výška nedočerpaných záväzkov v PO 2014 – 2020 </w:t>
      </w:r>
      <w:r w:rsidR="002E2965">
        <w:rPr>
          <w:rFonts w:eastAsia="Calibri" w:cs="Segoe UI"/>
        </w:rPr>
        <w:t xml:space="preserve">bola k 31. 12. 2022 </w:t>
      </w:r>
      <w:r w:rsidR="00B502B0">
        <w:rPr>
          <w:rFonts w:eastAsia="Calibri" w:cs="Segoe UI"/>
        </w:rPr>
        <w:t xml:space="preserve"> vo výške 154,4 mil. eur.</w:t>
      </w:r>
    </w:p>
    <w:p w14:paraId="3F8FA4D8" w14:textId="77777777" w:rsidR="00335E5F" w:rsidRDefault="00335E5F" w:rsidP="00335E5F">
      <w:pPr>
        <w:pStyle w:val="Popis"/>
        <w:keepNext/>
      </w:pPr>
      <w:r>
        <w:t xml:space="preserve">Tabuľka 17: Výška nedočerpaného záväzku so stavom k 31. 12. 2022 </w:t>
      </w:r>
      <w:r w:rsidRPr="00F51BFA">
        <w:t xml:space="preserve">(v </w:t>
      </w:r>
      <w:r>
        <w:t>tis. eur</w:t>
      </w:r>
      <w:r w:rsidRPr="00F51BFA">
        <w:t>)</w:t>
      </w:r>
    </w:p>
    <w:tbl>
      <w:tblPr>
        <w:tblW w:w="9149" w:type="dxa"/>
        <w:tblLayout w:type="fixed"/>
        <w:tblCellMar>
          <w:left w:w="40" w:type="dxa"/>
          <w:right w:w="40" w:type="dxa"/>
        </w:tblCellMar>
        <w:tblLook w:val="04A0" w:firstRow="1" w:lastRow="0" w:firstColumn="1" w:lastColumn="0" w:noHBand="0" w:noVBand="1"/>
      </w:tblPr>
      <w:tblGrid>
        <w:gridCol w:w="1418"/>
        <w:gridCol w:w="1276"/>
        <w:gridCol w:w="1275"/>
        <w:gridCol w:w="1276"/>
        <w:gridCol w:w="1290"/>
        <w:gridCol w:w="1307"/>
        <w:gridCol w:w="1307"/>
      </w:tblGrid>
      <w:tr w:rsidR="00335E5F" w:rsidRPr="00AE6FF3" w14:paraId="1F3900FD" w14:textId="77777777" w:rsidTr="002C027A">
        <w:trPr>
          <w:trHeight w:val="616"/>
        </w:trPr>
        <w:tc>
          <w:tcPr>
            <w:tcW w:w="1418" w:type="dxa"/>
            <w:vMerge w:val="restart"/>
            <w:tcBorders>
              <w:top w:val="nil"/>
              <w:left w:val="nil"/>
              <w:bottom w:val="nil"/>
              <w:right w:val="nil"/>
            </w:tcBorders>
            <w:shd w:val="clear" w:color="000000" w:fill="314364"/>
            <w:vAlign w:val="center"/>
            <w:hideMark/>
          </w:tcPr>
          <w:p w14:paraId="04B3D920" w14:textId="77777777" w:rsidR="00335E5F" w:rsidRPr="00AE6FF3" w:rsidRDefault="00335E5F" w:rsidP="002C027A">
            <w:pPr>
              <w:spacing w:after="0" w:line="240" w:lineRule="auto"/>
              <w:jc w:val="left"/>
              <w:rPr>
                <w:rFonts w:eastAsia="Times New Roman" w:cs="Segoe UI"/>
                <w:b/>
                <w:bCs/>
                <w:color w:val="FFFFFF"/>
                <w:sz w:val="18"/>
                <w:szCs w:val="18"/>
                <w:lang w:eastAsia="sk-SK"/>
              </w:rPr>
            </w:pPr>
            <w:r w:rsidRPr="00AE6FF3">
              <w:rPr>
                <w:rFonts w:eastAsia="Times New Roman" w:cs="Segoe UI"/>
                <w:b/>
                <w:bCs/>
                <w:color w:val="FFFFFF"/>
                <w:sz w:val="18"/>
                <w:szCs w:val="18"/>
                <w:lang w:eastAsia="sk-SK"/>
              </w:rPr>
              <w:t>Program</w:t>
            </w:r>
          </w:p>
        </w:tc>
        <w:tc>
          <w:tcPr>
            <w:tcW w:w="1276" w:type="dxa"/>
            <w:tcBorders>
              <w:top w:val="nil"/>
              <w:left w:val="nil"/>
              <w:bottom w:val="nil"/>
              <w:right w:val="nil"/>
            </w:tcBorders>
            <w:shd w:val="clear" w:color="000000" w:fill="314364"/>
            <w:vAlign w:val="center"/>
            <w:hideMark/>
          </w:tcPr>
          <w:p w14:paraId="029D4E43"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Dekomitment 2017</w:t>
            </w:r>
          </w:p>
        </w:tc>
        <w:tc>
          <w:tcPr>
            <w:tcW w:w="1275" w:type="dxa"/>
            <w:tcBorders>
              <w:top w:val="nil"/>
              <w:left w:val="nil"/>
              <w:bottom w:val="nil"/>
              <w:right w:val="nil"/>
            </w:tcBorders>
            <w:shd w:val="clear" w:color="000000" w:fill="314364"/>
            <w:vAlign w:val="center"/>
            <w:hideMark/>
          </w:tcPr>
          <w:p w14:paraId="67D00534"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Dekomitment 2018</w:t>
            </w:r>
          </w:p>
        </w:tc>
        <w:tc>
          <w:tcPr>
            <w:tcW w:w="1276" w:type="dxa"/>
            <w:tcBorders>
              <w:top w:val="nil"/>
              <w:left w:val="nil"/>
              <w:bottom w:val="nil"/>
              <w:right w:val="nil"/>
            </w:tcBorders>
            <w:shd w:val="clear" w:color="000000" w:fill="314364"/>
            <w:vAlign w:val="center"/>
            <w:hideMark/>
          </w:tcPr>
          <w:p w14:paraId="326483D2"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Dekomitment 2019</w:t>
            </w:r>
          </w:p>
        </w:tc>
        <w:tc>
          <w:tcPr>
            <w:tcW w:w="1290" w:type="dxa"/>
            <w:tcBorders>
              <w:top w:val="nil"/>
              <w:left w:val="nil"/>
              <w:bottom w:val="nil"/>
              <w:right w:val="nil"/>
            </w:tcBorders>
            <w:shd w:val="clear" w:color="000000" w:fill="314364"/>
            <w:vAlign w:val="center"/>
            <w:hideMark/>
          </w:tcPr>
          <w:p w14:paraId="5521D74B"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Dekomitment 2020</w:t>
            </w:r>
          </w:p>
        </w:tc>
        <w:tc>
          <w:tcPr>
            <w:tcW w:w="1307" w:type="dxa"/>
            <w:tcBorders>
              <w:top w:val="nil"/>
              <w:left w:val="nil"/>
              <w:bottom w:val="nil"/>
              <w:right w:val="nil"/>
            </w:tcBorders>
            <w:shd w:val="clear" w:color="000000" w:fill="314364"/>
            <w:vAlign w:val="center"/>
            <w:hideMark/>
          </w:tcPr>
          <w:p w14:paraId="0E4D4771"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Dekomitment 2021</w:t>
            </w:r>
          </w:p>
        </w:tc>
        <w:tc>
          <w:tcPr>
            <w:tcW w:w="1307" w:type="dxa"/>
            <w:tcBorders>
              <w:top w:val="nil"/>
              <w:left w:val="nil"/>
              <w:bottom w:val="nil"/>
              <w:right w:val="nil"/>
            </w:tcBorders>
            <w:shd w:val="clear" w:color="000000" w:fill="314364"/>
            <w:vAlign w:val="center"/>
            <w:hideMark/>
          </w:tcPr>
          <w:p w14:paraId="45BA82CE"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Dekomitment 2022</w:t>
            </w:r>
          </w:p>
        </w:tc>
      </w:tr>
      <w:tr w:rsidR="00335E5F" w:rsidRPr="00AE6FF3" w14:paraId="1C11CE9D" w14:textId="77777777" w:rsidTr="002C027A">
        <w:trPr>
          <w:trHeight w:val="415"/>
        </w:trPr>
        <w:tc>
          <w:tcPr>
            <w:tcW w:w="1418" w:type="dxa"/>
            <w:vMerge/>
            <w:tcBorders>
              <w:top w:val="nil"/>
              <w:left w:val="nil"/>
              <w:bottom w:val="nil"/>
              <w:right w:val="nil"/>
            </w:tcBorders>
            <w:vAlign w:val="center"/>
            <w:hideMark/>
          </w:tcPr>
          <w:p w14:paraId="68E7AFD1" w14:textId="77777777" w:rsidR="00335E5F" w:rsidRPr="00AE6FF3" w:rsidRDefault="00335E5F" w:rsidP="002C027A">
            <w:pPr>
              <w:spacing w:after="0" w:line="240" w:lineRule="auto"/>
              <w:jc w:val="left"/>
              <w:rPr>
                <w:rFonts w:eastAsia="Times New Roman" w:cs="Segoe UI"/>
                <w:b/>
                <w:bCs/>
                <w:color w:val="FFFFFF"/>
                <w:sz w:val="18"/>
                <w:szCs w:val="18"/>
                <w:lang w:eastAsia="sk-SK"/>
              </w:rPr>
            </w:pPr>
          </w:p>
        </w:tc>
        <w:tc>
          <w:tcPr>
            <w:tcW w:w="1276" w:type="dxa"/>
            <w:tcBorders>
              <w:top w:val="nil"/>
              <w:left w:val="nil"/>
              <w:bottom w:val="nil"/>
              <w:right w:val="nil"/>
            </w:tcBorders>
            <w:shd w:val="clear" w:color="000000" w:fill="314364"/>
            <w:vAlign w:val="center"/>
            <w:hideMark/>
          </w:tcPr>
          <w:p w14:paraId="1B50D0D3"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(záväzok 2014)</w:t>
            </w:r>
          </w:p>
        </w:tc>
        <w:tc>
          <w:tcPr>
            <w:tcW w:w="1275" w:type="dxa"/>
            <w:tcBorders>
              <w:top w:val="nil"/>
              <w:left w:val="nil"/>
              <w:bottom w:val="nil"/>
              <w:right w:val="nil"/>
            </w:tcBorders>
            <w:shd w:val="clear" w:color="000000" w:fill="314364"/>
            <w:vAlign w:val="center"/>
            <w:hideMark/>
          </w:tcPr>
          <w:p w14:paraId="0667F7B6"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(záväzok 2015)</w:t>
            </w:r>
          </w:p>
        </w:tc>
        <w:tc>
          <w:tcPr>
            <w:tcW w:w="1276" w:type="dxa"/>
            <w:tcBorders>
              <w:top w:val="nil"/>
              <w:left w:val="nil"/>
              <w:bottom w:val="nil"/>
              <w:right w:val="nil"/>
            </w:tcBorders>
            <w:shd w:val="clear" w:color="000000" w:fill="314364"/>
            <w:vAlign w:val="center"/>
            <w:hideMark/>
          </w:tcPr>
          <w:p w14:paraId="5D96B86A"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(záväzok 2016)</w:t>
            </w:r>
          </w:p>
        </w:tc>
        <w:tc>
          <w:tcPr>
            <w:tcW w:w="1290" w:type="dxa"/>
            <w:tcBorders>
              <w:top w:val="nil"/>
              <w:left w:val="nil"/>
              <w:bottom w:val="nil"/>
              <w:right w:val="nil"/>
            </w:tcBorders>
            <w:shd w:val="clear" w:color="000000" w:fill="314364"/>
            <w:vAlign w:val="center"/>
            <w:hideMark/>
          </w:tcPr>
          <w:p w14:paraId="7A2D964B"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(záväzok 2017)</w:t>
            </w:r>
          </w:p>
        </w:tc>
        <w:tc>
          <w:tcPr>
            <w:tcW w:w="1307" w:type="dxa"/>
            <w:tcBorders>
              <w:top w:val="nil"/>
              <w:left w:val="nil"/>
              <w:bottom w:val="nil"/>
              <w:right w:val="nil"/>
            </w:tcBorders>
            <w:shd w:val="clear" w:color="000000" w:fill="314364"/>
            <w:vAlign w:val="center"/>
            <w:hideMark/>
          </w:tcPr>
          <w:p w14:paraId="41EBA8A4"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(záväzok 2018)</w:t>
            </w:r>
          </w:p>
        </w:tc>
        <w:tc>
          <w:tcPr>
            <w:tcW w:w="1307" w:type="dxa"/>
            <w:tcBorders>
              <w:top w:val="nil"/>
              <w:left w:val="nil"/>
              <w:bottom w:val="nil"/>
              <w:right w:val="nil"/>
            </w:tcBorders>
            <w:shd w:val="clear" w:color="000000" w:fill="314364"/>
            <w:vAlign w:val="center"/>
            <w:hideMark/>
          </w:tcPr>
          <w:p w14:paraId="08B17CEA" w14:textId="77777777" w:rsidR="00335E5F" w:rsidRPr="00AE6FF3" w:rsidRDefault="00335E5F" w:rsidP="002C027A">
            <w:pPr>
              <w:spacing w:after="0" w:line="240" w:lineRule="auto"/>
              <w:jc w:val="center"/>
              <w:rPr>
                <w:rFonts w:eastAsia="Times New Roman" w:cs="Segoe UI"/>
                <w:b/>
                <w:bCs/>
                <w:color w:val="FFFFFF"/>
                <w:sz w:val="18"/>
                <w:szCs w:val="18"/>
                <w:lang w:eastAsia="sk-SK"/>
              </w:rPr>
            </w:pPr>
            <w:r w:rsidRPr="00AE6FF3">
              <w:rPr>
                <w:rFonts w:eastAsia="Times New Roman" w:cs="Segoe UI"/>
                <w:b/>
                <w:bCs/>
                <w:color w:val="FFFFFF"/>
                <w:sz w:val="18"/>
                <w:szCs w:val="18"/>
                <w:lang w:eastAsia="sk-SK"/>
              </w:rPr>
              <w:t>(záväzok 2019)</w:t>
            </w:r>
          </w:p>
        </w:tc>
      </w:tr>
      <w:tr w:rsidR="00335E5F" w:rsidRPr="00AE6FF3" w14:paraId="29777B5B" w14:textId="77777777" w:rsidTr="002C027A">
        <w:trPr>
          <w:trHeight w:val="284"/>
        </w:trPr>
        <w:tc>
          <w:tcPr>
            <w:tcW w:w="1418" w:type="dxa"/>
            <w:tcBorders>
              <w:top w:val="nil"/>
              <w:left w:val="nil"/>
              <w:bottom w:val="nil"/>
              <w:right w:val="nil"/>
            </w:tcBorders>
            <w:shd w:val="clear" w:color="000000" w:fill="FFFFFF"/>
            <w:noWrap/>
            <w:vAlign w:val="center"/>
            <w:hideMark/>
          </w:tcPr>
          <w:p w14:paraId="723019F3" w14:textId="77777777" w:rsidR="00335E5F" w:rsidRPr="00AE6FF3" w:rsidRDefault="00335E5F" w:rsidP="002C027A">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 xml:space="preserve">OP </w:t>
            </w:r>
            <w:proofErr w:type="spellStart"/>
            <w:r w:rsidRPr="00AE6FF3">
              <w:rPr>
                <w:rFonts w:eastAsia="Times New Roman" w:cs="Segoe UI"/>
                <w:color w:val="000000"/>
                <w:sz w:val="18"/>
                <w:szCs w:val="18"/>
                <w:lang w:eastAsia="sk-SK"/>
              </w:rPr>
              <w:t>VaI</w:t>
            </w:r>
            <w:proofErr w:type="spellEnd"/>
          </w:p>
        </w:tc>
        <w:tc>
          <w:tcPr>
            <w:tcW w:w="1276" w:type="dxa"/>
            <w:tcBorders>
              <w:top w:val="nil"/>
              <w:left w:val="nil"/>
              <w:bottom w:val="nil"/>
              <w:right w:val="nil"/>
            </w:tcBorders>
            <w:shd w:val="clear" w:color="000000" w:fill="FFFFFF"/>
            <w:noWrap/>
            <w:vAlign w:val="center"/>
          </w:tcPr>
          <w:p w14:paraId="3A6072F8"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26 973</w:t>
            </w:r>
          </w:p>
        </w:tc>
        <w:tc>
          <w:tcPr>
            <w:tcW w:w="1275" w:type="dxa"/>
            <w:tcBorders>
              <w:top w:val="nil"/>
              <w:left w:val="nil"/>
              <w:bottom w:val="nil"/>
              <w:right w:val="nil"/>
            </w:tcBorders>
            <w:shd w:val="clear" w:color="000000" w:fill="FFFFFF"/>
            <w:noWrap/>
            <w:vAlign w:val="center"/>
          </w:tcPr>
          <w:p w14:paraId="212758F4"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81 451</w:t>
            </w:r>
          </w:p>
        </w:tc>
        <w:tc>
          <w:tcPr>
            <w:tcW w:w="1276" w:type="dxa"/>
            <w:tcBorders>
              <w:top w:val="nil"/>
              <w:left w:val="nil"/>
              <w:bottom w:val="nil"/>
              <w:right w:val="nil"/>
            </w:tcBorders>
            <w:shd w:val="clear" w:color="000000" w:fill="FFFFFF"/>
            <w:noWrap/>
            <w:vAlign w:val="center"/>
          </w:tcPr>
          <w:p w14:paraId="7D8C5FB4"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w:t>
            </w:r>
          </w:p>
        </w:tc>
        <w:tc>
          <w:tcPr>
            <w:tcW w:w="1290" w:type="dxa"/>
            <w:tcBorders>
              <w:top w:val="nil"/>
              <w:left w:val="nil"/>
              <w:bottom w:val="nil"/>
              <w:right w:val="nil"/>
            </w:tcBorders>
            <w:shd w:val="clear" w:color="000000" w:fill="FFFFFF"/>
            <w:noWrap/>
            <w:vAlign w:val="center"/>
          </w:tcPr>
          <w:p w14:paraId="0D407F25"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w:t>
            </w:r>
          </w:p>
        </w:tc>
        <w:tc>
          <w:tcPr>
            <w:tcW w:w="1307" w:type="dxa"/>
            <w:tcBorders>
              <w:top w:val="nil"/>
              <w:left w:val="nil"/>
              <w:bottom w:val="nil"/>
              <w:right w:val="nil"/>
            </w:tcBorders>
            <w:shd w:val="clear" w:color="000000" w:fill="FFFFFF"/>
            <w:noWrap/>
            <w:vAlign w:val="center"/>
          </w:tcPr>
          <w:p w14:paraId="7E5A6091"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w:t>
            </w:r>
          </w:p>
        </w:tc>
        <w:tc>
          <w:tcPr>
            <w:tcW w:w="1307" w:type="dxa"/>
            <w:tcBorders>
              <w:top w:val="nil"/>
              <w:left w:val="nil"/>
              <w:bottom w:val="nil"/>
              <w:right w:val="nil"/>
            </w:tcBorders>
            <w:shd w:val="clear" w:color="000000" w:fill="FFFFFF"/>
            <w:noWrap/>
            <w:vAlign w:val="center"/>
          </w:tcPr>
          <w:p w14:paraId="6C37885E"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w:t>
            </w:r>
          </w:p>
        </w:tc>
      </w:tr>
      <w:tr w:rsidR="00335E5F" w:rsidRPr="00AE6FF3" w14:paraId="12EC39CD" w14:textId="77777777" w:rsidTr="002C027A">
        <w:trPr>
          <w:trHeight w:val="284"/>
        </w:trPr>
        <w:tc>
          <w:tcPr>
            <w:tcW w:w="1418" w:type="dxa"/>
            <w:tcBorders>
              <w:top w:val="nil"/>
              <w:left w:val="nil"/>
              <w:bottom w:val="nil"/>
              <w:right w:val="nil"/>
            </w:tcBorders>
            <w:shd w:val="clear" w:color="000000" w:fill="FFFFFF"/>
            <w:noWrap/>
            <w:vAlign w:val="center"/>
            <w:hideMark/>
          </w:tcPr>
          <w:p w14:paraId="67C4199D" w14:textId="77777777" w:rsidR="00335E5F" w:rsidRPr="00AE6FF3" w:rsidRDefault="00335E5F" w:rsidP="002C027A">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IROP</w:t>
            </w:r>
          </w:p>
        </w:tc>
        <w:tc>
          <w:tcPr>
            <w:tcW w:w="1276" w:type="dxa"/>
            <w:tcBorders>
              <w:top w:val="nil"/>
              <w:left w:val="nil"/>
              <w:bottom w:val="nil"/>
              <w:right w:val="nil"/>
            </w:tcBorders>
            <w:shd w:val="clear" w:color="000000" w:fill="FFFFFF"/>
            <w:noWrap/>
            <w:vAlign w:val="center"/>
          </w:tcPr>
          <w:p w14:paraId="691787C8"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0</w:t>
            </w:r>
          </w:p>
        </w:tc>
        <w:tc>
          <w:tcPr>
            <w:tcW w:w="1275" w:type="dxa"/>
            <w:tcBorders>
              <w:top w:val="nil"/>
              <w:left w:val="nil"/>
              <w:bottom w:val="nil"/>
              <w:right w:val="nil"/>
            </w:tcBorders>
            <w:shd w:val="clear" w:color="000000" w:fill="FFFFFF"/>
            <w:noWrap/>
            <w:vAlign w:val="center"/>
          </w:tcPr>
          <w:p w14:paraId="46C0E523"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38 892</w:t>
            </w:r>
          </w:p>
        </w:tc>
        <w:tc>
          <w:tcPr>
            <w:tcW w:w="1276" w:type="dxa"/>
            <w:tcBorders>
              <w:top w:val="nil"/>
              <w:left w:val="nil"/>
              <w:bottom w:val="nil"/>
              <w:right w:val="nil"/>
            </w:tcBorders>
            <w:shd w:val="clear" w:color="000000" w:fill="FFFFFF"/>
            <w:noWrap/>
            <w:vAlign w:val="center"/>
          </w:tcPr>
          <w:p w14:paraId="7123559D"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0</w:t>
            </w:r>
          </w:p>
        </w:tc>
        <w:tc>
          <w:tcPr>
            <w:tcW w:w="1290" w:type="dxa"/>
            <w:tcBorders>
              <w:top w:val="nil"/>
              <w:left w:val="nil"/>
              <w:bottom w:val="nil"/>
              <w:right w:val="nil"/>
            </w:tcBorders>
            <w:shd w:val="clear" w:color="000000" w:fill="FFFFFF"/>
            <w:noWrap/>
            <w:vAlign w:val="center"/>
          </w:tcPr>
          <w:p w14:paraId="7398696F"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0</w:t>
            </w:r>
          </w:p>
        </w:tc>
        <w:tc>
          <w:tcPr>
            <w:tcW w:w="1307" w:type="dxa"/>
            <w:tcBorders>
              <w:top w:val="nil"/>
              <w:left w:val="nil"/>
              <w:bottom w:val="nil"/>
              <w:right w:val="nil"/>
            </w:tcBorders>
            <w:shd w:val="clear" w:color="000000" w:fill="FFFFFF"/>
            <w:noWrap/>
            <w:vAlign w:val="center"/>
          </w:tcPr>
          <w:p w14:paraId="3911BBD7"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0</w:t>
            </w:r>
          </w:p>
        </w:tc>
        <w:tc>
          <w:tcPr>
            <w:tcW w:w="1307" w:type="dxa"/>
            <w:tcBorders>
              <w:top w:val="nil"/>
              <w:left w:val="nil"/>
              <w:bottom w:val="nil"/>
              <w:right w:val="nil"/>
            </w:tcBorders>
            <w:shd w:val="clear" w:color="000000" w:fill="FFFFFF"/>
            <w:noWrap/>
            <w:vAlign w:val="center"/>
          </w:tcPr>
          <w:p w14:paraId="785FEBF6"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0</w:t>
            </w:r>
          </w:p>
        </w:tc>
      </w:tr>
      <w:tr w:rsidR="00335E5F" w:rsidRPr="00AE6FF3" w14:paraId="752C2F91" w14:textId="77777777" w:rsidTr="002C027A">
        <w:trPr>
          <w:trHeight w:val="284"/>
        </w:trPr>
        <w:tc>
          <w:tcPr>
            <w:tcW w:w="1418" w:type="dxa"/>
            <w:tcBorders>
              <w:top w:val="nil"/>
              <w:left w:val="nil"/>
              <w:right w:val="nil"/>
            </w:tcBorders>
            <w:shd w:val="clear" w:color="000000" w:fill="FFFFFF"/>
            <w:noWrap/>
            <w:vAlign w:val="center"/>
            <w:hideMark/>
          </w:tcPr>
          <w:p w14:paraId="0B7223A6" w14:textId="77777777" w:rsidR="00335E5F" w:rsidRPr="00AE6FF3" w:rsidRDefault="00335E5F" w:rsidP="002C027A">
            <w:pPr>
              <w:spacing w:after="0" w:line="240" w:lineRule="auto"/>
              <w:jc w:val="left"/>
              <w:rPr>
                <w:rFonts w:eastAsia="Times New Roman" w:cs="Segoe UI"/>
                <w:color w:val="000000"/>
                <w:sz w:val="18"/>
                <w:szCs w:val="18"/>
                <w:lang w:eastAsia="sk-SK"/>
              </w:rPr>
            </w:pPr>
            <w:r w:rsidRPr="00AE6FF3">
              <w:rPr>
                <w:rFonts w:eastAsia="Times New Roman" w:cs="Segoe UI"/>
                <w:color w:val="000000"/>
                <w:sz w:val="18"/>
                <w:szCs w:val="18"/>
                <w:lang w:eastAsia="sk-SK"/>
              </w:rPr>
              <w:t>OP RH</w:t>
            </w:r>
          </w:p>
        </w:tc>
        <w:tc>
          <w:tcPr>
            <w:tcW w:w="1276" w:type="dxa"/>
            <w:tcBorders>
              <w:top w:val="nil"/>
              <w:left w:val="nil"/>
              <w:bottom w:val="nil"/>
              <w:right w:val="nil"/>
            </w:tcBorders>
            <w:shd w:val="clear" w:color="000000" w:fill="FFFFFF"/>
            <w:noWrap/>
            <w:vAlign w:val="center"/>
          </w:tcPr>
          <w:p w14:paraId="34CE574B"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0</w:t>
            </w:r>
          </w:p>
        </w:tc>
        <w:tc>
          <w:tcPr>
            <w:tcW w:w="1275" w:type="dxa"/>
            <w:tcBorders>
              <w:top w:val="nil"/>
              <w:left w:val="nil"/>
              <w:bottom w:val="nil"/>
              <w:right w:val="nil"/>
            </w:tcBorders>
            <w:shd w:val="clear" w:color="000000" w:fill="FFFFFF"/>
            <w:noWrap/>
            <w:vAlign w:val="center"/>
          </w:tcPr>
          <w:p w14:paraId="6AF7B6BA"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1 885</w:t>
            </w:r>
          </w:p>
        </w:tc>
        <w:tc>
          <w:tcPr>
            <w:tcW w:w="1276" w:type="dxa"/>
            <w:tcBorders>
              <w:top w:val="nil"/>
              <w:left w:val="nil"/>
              <w:bottom w:val="nil"/>
              <w:right w:val="nil"/>
            </w:tcBorders>
            <w:shd w:val="clear" w:color="000000" w:fill="FFFFFF"/>
            <w:noWrap/>
            <w:vAlign w:val="center"/>
          </w:tcPr>
          <w:p w14:paraId="3C29FFA5"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1 140</w:t>
            </w:r>
          </w:p>
        </w:tc>
        <w:tc>
          <w:tcPr>
            <w:tcW w:w="1290" w:type="dxa"/>
            <w:tcBorders>
              <w:top w:val="nil"/>
              <w:left w:val="nil"/>
              <w:bottom w:val="nil"/>
              <w:right w:val="nil"/>
            </w:tcBorders>
            <w:shd w:val="clear" w:color="000000" w:fill="FFFFFF"/>
            <w:noWrap/>
            <w:vAlign w:val="center"/>
          </w:tcPr>
          <w:p w14:paraId="3241435F"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2 136</w:t>
            </w:r>
          </w:p>
        </w:tc>
        <w:tc>
          <w:tcPr>
            <w:tcW w:w="1307" w:type="dxa"/>
            <w:tcBorders>
              <w:top w:val="nil"/>
              <w:left w:val="nil"/>
              <w:bottom w:val="nil"/>
              <w:right w:val="nil"/>
            </w:tcBorders>
            <w:shd w:val="clear" w:color="000000" w:fill="FFFFFF"/>
            <w:noWrap/>
            <w:vAlign w:val="center"/>
          </w:tcPr>
          <w:p w14:paraId="0CC2529B"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290</w:t>
            </w:r>
          </w:p>
        </w:tc>
        <w:tc>
          <w:tcPr>
            <w:tcW w:w="1307" w:type="dxa"/>
            <w:tcBorders>
              <w:top w:val="nil"/>
              <w:left w:val="nil"/>
              <w:bottom w:val="nil"/>
              <w:right w:val="nil"/>
            </w:tcBorders>
            <w:shd w:val="clear" w:color="000000" w:fill="FFFFFF"/>
            <w:noWrap/>
            <w:vAlign w:val="center"/>
          </w:tcPr>
          <w:p w14:paraId="15E7B58A" w14:textId="77777777" w:rsidR="00335E5F" w:rsidRPr="00AE6FF3" w:rsidRDefault="00335E5F" w:rsidP="002C027A">
            <w:pPr>
              <w:spacing w:after="0" w:line="240" w:lineRule="auto"/>
              <w:jc w:val="right"/>
              <w:rPr>
                <w:rFonts w:eastAsia="Times New Roman" w:cs="Segoe UI"/>
                <w:color w:val="000000"/>
                <w:sz w:val="18"/>
                <w:szCs w:val="18"/>
                <w:lang w:eastAsia="sk-SK"/>
              </w:rPr>
            </w:pPr>
            <w:r>
              <w:rPr>
                <w:rFonts w:cs="Segoe UI"/>
                <w:color w:val="000000"/>
                <w:sz w:val="18"/>
                <w:szCs w:val="18"/>
              </w:rPr>
              <w:t>1 650</w:t>
            </w:r>
          </w:p>
        </w:tc>
      </w:tr>
      <w:tr w:rsidR="00335E5F" w:rsidRPr="00AE6FF3" w14:paraId="3A1833DD" w14:textId="77777777" w:rsidTr="002C027A">
        <w:trPr>
          <w:trHeight w:val="296"/>
        </w:trPr>
        <w:tc>
          <w:tcPr>
            <w:tcW w:w="1418" w:type="dxa"/>
            <w:tcBorders>
              <w:top w:val="nil"/>
              <w:left w:val="nil"/>
              <w:bottom w:val="single" w:sz="4" w:space="0" w:color="314364" w:themeColor="text2"/>
              <w:right w:val="nil"/>
            </w:tcBorders>
            <w:shd w:val="clear" w:color="000000" w:fill="FFFFFF"/>
            <w:noWrap/>
            <w:vAlign w:val="center"/>
            <w:hideMark/>
          </w:tcPr>
          <w:p w14:paraId="3B29D5F9" w14:textId="77777777" w:rsidR="00335E5F" w:rsidRPr="00AE6FF3" w:rsidRDefault="00335E5F" w:rsidP="002C027A">
            <w:pPr>
              <w:spacing w:after="0" w:line="240" w:lineRule="auto"/>
              <w:jc w:val="left"/>
              <w:rPr>
                <w:rFonts w:eastAsia="Times New Roman" w:cs="Segoe UI"/>
                <w:b/>
                <w:bCs/>
                <w:color w:val="000000"/>
                <w:sz w:val="18"/>
                <w:szCs w:val="18"/>
                <w:lang w:eastAsia="sk-SK"/>
              </w:rPr>
            </w:pPr>
            <w:r w:rsidRPr="00AE6FF3">
              <w:rPr>
                <w:rFonts w:eastAsia="Times New Roman" w:cs="Segoe UI"/>
                <w:b/>
                <w:bCs/>
                <w:color w:val="000000"/>
                <w:sz w:val="18"/>
                <w:szCs w:val="18"/>
                <w:lang w:eastAsia="sk-SK"/>
              </w:rPr>
              <w:t>SPOLU</w:t>
            </w:r>
          </w:p>
        </w:tc>
        <w:tc>
          <w:tcPr>
            <w:tcW w:w="1276" w:type="dxa"/>
            <w:tcBorders>
              <w:top w:val="nil"/>
              <w:left w:val="nil"/>
              <w:bottom w:val="single" w:sz="8" w:space="0" w:color="314364"/>
              <w:right w:val="nil"/>
            </w:tcBorders>
            <w:shd w:val="clear" w:color="000000" w:fill="FFFFFF"/>
            <w:noWrap/>
            <w:vAlign w:val="center"/>
          </w:tcPr>
          <w:p w14:paraId="4F027484" w14:textId="77777777" w:rsidR="00335E5F" w:rsidRPr="00AE6FF3" w:rsidRDefault="00335E5F" w:rsidP="002C027A">
            <w:pPr>
              <w:spacing w:after="0" w:line="240" w:lineRule="auto"/>
              <w:jc w:val="right"/>
              <w:rPr>
                <w:rFonts w:eastAsia="Times New Roman" w:cs="Segoe UI"/>
                <w:b/>
                <w:bCs/>
                <w:color w:val="000000"/>
                <w:sz w:val="18"/>
                <w:szCs w:val="18"/>
                <w:lang w:eastAsia="sk-SK"/>
              </w:rPr>
            </w:pPr>
            <w:r>
              <w:rPr>
                <w:rFonts w:cs="Segoe UI"/>
                <w:b/>
                <w:bCs/>
                <w:color w:val="000000"/>
                <w:sz w:val="18"/>
                <w:szCs w:val="18"/>
              </w:rPr>
              <w:t>26 973</w:t>
            </w:r>
          </w:p>
        </w:tc>
        <w:tc>
          <w:tcPr>
            <w:tcW w:w="1275" w:type="dxa"/>
            <w:tcBorders>
              <w:top w:val="nil"/>
              <w:left w:val="nil"/>
              <w:bottom w:val="single" w:sz="8" w:space="0" w:color="314364"/>
              <w:right w:val="nil"/>
            </w:tcBorders>
            <w:shd w:val="clear" w:color="000000" w:fill="FFFFFF"/>
            <w:noWrap/>
            <w:vAlign w:val="center"/>
          </w:tcPr>
          <w:p w14:paraId="2C3CDB99" w14:textId="77777777" w:rsidR="00335E5F" w:rsidRPr="00AE6FF3" w:rsidRDefault="00335E5F" w:rsidP="002C027A">
            <w:pPr>
              <w:spacing w:after="0" w:line="240" w:lineRule="auto"/>
              <w:jc w:val="right"/>
              <w:rPr>
                <w:rFonts w:eastAsia="Times New Roman" w:cs="Segoe UI"/>
                <w:b/>
                <w:bCs/>
                <w:color w:val="000000"/>
                <w:sz w:val="18"/>
                <w:szCs w:val="18"/>
                <w:lang w:eastAsia="sk-SK"/>
              </w:rPr>
            </w:pPr>
            <w:r>
              <w:rPr>
                <w:rFonts w:cs="Segoe UI"/>
                <w:b/>
                <w:bCs/>
                <w:color w:val="000000"/>
                <w:sz w:val="18"/>
                <w:szCs w:val="18"/>
              </w:rPr>
              <w:t>122 228</w:t>
            </w:r>
          </w:p>
        </w:tc>
        <w:tc>
          <w:tcPr>
            <w:tcW w:w="1276" w:type="dxa"/>
            <w:tcBorders>
              <w:top w:val="nil"/>
              <w:left w:val="nil"/>
              <w:bottom w:val="single" w:sz="8" w:space="0" w:color="314364"/>
              <w:right w:val="nil"/>
            </w:tcBorders>
            <w:shd w:val="clear" w:color="000000" w:fill="FFFFFF"/>
            <w:noWrap/>
            <w:vAlign w:val="center"/>
          </w:tcPr>
          <w:p w14:paraId="35C148C9" w14:textId="77777777" w:rsidR="00335E5F" w:rsidRPr="00AE6FF3" w:rsidRDefault="00335E5F" w:rsidP="002C027A">
            <w:pPr>
              <w:spacing w:after="0" w:line="240" w:lineRule="auto"/>
              <w:jc w:val="right"/>
              <w:rPr>
                <w:rFonts w:eastAsia="Times New Roman" w:cs="Segoe UI"/>
                <w:b/>
                <w:bCs/>
                <w:color w:val="000000"/>
                <w:sz w:val="18"/>
                <w:szCs w:val="18"/>
                <w:lang w:eastAsia="sk-SK"/>
              </w:rPr>
            </w:pPr>
            <w:r>
              <w:rPr>
                <w:rFonts w:cs="Segoe UI"/>
                <w:b/>
                <w:bCs/>
                <w:color w:val="000000"/>
                <w:sz w:val="18"/>
                <w:szCs w:val="18"/>
              </w:rPr>
              <w:t>1 140</w:t>
            </w:r>
          </w:p>
        </w:tc>
        <w:tc>
          <w:tcPr>
            <w:tcW w:w="1290" w:type="dxa"/>
            <w:tcBorders>
              <w:top w:val="nil"/>
              <w:left w:val="nil"/>
              <w:bottom w:val="single" w:sz="8" w:space="0" w:color="314364"/>
              <w:right w:val="nil"/>
            </w:tcBorders>
            <w:shd w:val="clear" w:color="000000" w:fill="FFFFFF"/>
            <w:noWrap/>
            <w:vAlign w:val="center"/>
          </w:tcPr>
          <w:p w14:paraId="53121671" w14:textId="77777777" w:rsidR="00335E5F" w:rsidRPr="00AE6FF3" w:rsidRDefault="00335E5F" w:rsidP="002C027A">
            <w:pPr>
              <w:spacing w:after="0" w:line="240" w:lineRule="auto"/>
              <w:jc w:val="right"/>
              <w:rPr>
                <w:rFonts w:eastAsia="Times New Roman" w:cs="Segoe UI"/>
                <w:b/>
                <w:bCs/>
                <w:color w:val="000000"/>
                <w:sz w:val="18"/>
                <w:szCs w:val="18"/>
                <w:lang w:eastAsia="sk-SK"/>
              </w:rPr>
            </w:pPr>
            <w:r>
              <w:rPr>
                <w:rFonts w:cs="Segoe UI"/>
                <w:b/>
                <w:bCs/>
                <w:color w:val="000000"/>
                <w:sz w:val="18"/>
                <w:szCs w:val="18"/>
              </w:rPr>
              <w:t>2 136</w:t>
            </w:r>
          </w:p>
        </w:tc>
        <w:tc>
          <w:tcPr>
            <w:tcW w:w="1307" w:type="dxa"/>
            <w:tcBorders>
              <w:top w:val="nil"/>
              <w:left w:val="nil"/>
              <w:bottom w:val="single" w:sz="8" w:space="0" w:color="314364"/>
              <w:right w:val="nil"/>
            </w:tcBorders>
            <w:shd w:val="clear" w:color="000000" w:fill="FFFFFF"/>
            <w:noWrap/>
            <w:vAlign w:val="center"/>
          </w:tcPr>
          <w:p w14:paraId="77F3DB91" w14:textId="77777777" w:rsidR="00335E5F" w:rsidRPr="00AE6FF3" w:rsidRDefault="00335E5F" w:rsidP="002C027A">
            <w:pPr>
              <w:spacing w:after="0" w:line="240" w:lineRule="auto"/>
              <w:jc w:val="right"/>
              <w:rPr>
                <w:rFonts w:eastAsia="Times New Roman" w:cs="Segoe UI"/>
                <w:b/>
                <w:bCs/>
                <w:color w:val="000000"/>
                <w:sz w:val="18"/>
                <w:szCs w:val="18"/>
                <w:lang w:eastAsia="sk-SK"/>
              </w:rPr>
            </w:pPr>
            <w:r>
              <w:rPr>
                <w:rFonts w:cs="Segoe UI"/>
                <w:b/>
                <w:bCs/>
                <w:color w:val="000000"/>
                <w:sz w:val="18"/>
                <w:szCs w:val="18"/>
              </w:rPr>
              <w:t>290</w:t>
            </w:r>
          </w:p>
        </w:tc>
        <w:tc>
          <w:tcPr>
            <w:tcW w:w="1307" w:type="dxa"/>
            <w:tcBorders>
              <w:top w:val="nil"/>
              <w:left w:val="nil"/>
              <w:bottom w:val="single" w:sz="8" w:space="0" w:color="314364"/>
              <w:right w:val="nil"/>
            </w:tcBorders>
            <w:shd w:val="clear" w:color="000000" w:fill="FFFFFF"/>
            <w:noWrap/>
            <w:vAlign w:val="center"/>
          </w:tcPr>
          <w:p w14:paraId="613B46CE" w14:textId="77777777" w:rsidR="00335E5F" w:rsidRPr="00AE6FF3" w:rsidRDefault="00335E5F" w:rsidP="002C027A">
            <w:pPr>
              <w:spacing w:after="0" w:line="240" w:lineRule="auto"/>
              <w:jc w:val="right"/>
              <w:rPr>
                <w:rFonts w:eastAsia="Times New Roman" w:cs="Segoe UI"/>
                <w:b/>
                <w:bCs/>
                <w:color w:val="000000"/>
                <w:sz w:val="18"/>
                <w:szCs w:val="18"/>
                <w:lang w:eastAsia="sk-SK"/>
              </w:rPr>
            </w:pPr>
            <w:r>
              <w:rPr>
                <w:rFonts w:cs="Segoe UI"/>
                <w:b/>
                <w:bCs/>
                <w:color w:val="000000"/>
                <w:sz w:val="18"/>
                <w:szCs w:val="18"/>
              </w:rPr>
              <w:t>1 650</w:t>
            </w:r>
          </w:p>
        </w:tc>
      </w:tr>
    </w:tbl>
    <w:p w14:paraId="4D8A75C2" w14:textId="09A5755B" w:rsidR="00335E5F" w:rsidRDefault="00335E5F" w:rsidP="00335E5F">
      <w:pPr>
        <w:rPr>
          <w:rFonts w:eastAsia="Times New Roman" w:cs="Segoe UI"/>
          <w:i/>
          <w:iCs/>
          <w:color w:val="44546A"/>
          <w:sz w:val="16"/>
          <w:szCs w:val="16"/>
          <w:lang w:eastAsia="sk-SK"/>
        </w:rPr>
      </w:pPr>
      <w:r w:rsidRPr="00AE6FF3">
        <w:rPr>
          <w:rFonts w:eastAsia="Times New Roman" w:cs="Segoe UI"/>
          <w:i/>
          <w:iCs/>
          <w:color w:val="44546A"/>
          <w:sz w:val="16"/>
          <w:szCs w:val="16"/>
          <w:lang w:eastAsia="sk-SK"/>
        </w:rPr>
        <w:t>Zdroj: CO (MF SR)</w:t>
      </w:r>
      <w:r w:rsidR="0024233A">
        <w:rPr>
          <w:rFonts w:eastAsia="Times New Roman" w:cs="Segoe UI"/>
          <w:i/>
          <w:iCs/>
          <w:color w:val="44546A"/>
          <w:sz w:val="16"/>
          <w:szCs w:val="16"/>
          <w:lang w:eastAsia="sk-SK"/>
        </w:rPr>
        <w:t>.</w:t>
      </w:r>
    </w:p>
    <w:p w14:paraId="46DCF655" w14:textId="23264D29" w:rsidR="00B713D7" w:rsidRDefault="00B713D7" w:rsidP="000F0907">
      <w:pPr>
        <w:rPr>
          <w:rFonts w:eastAsia="Calibri" w:cs="Segoe UI"/>
        </w:rPr>
      </w:pPr>
      <w:r w:rsidRPr="00821911">
        <w:rPr>
          <w:rFonts w:eastAsia="Calibri" w:cs="Segoe UI"/>
          <w:b/>
        </w:rPr>
        <w:t xml:space="preserve">Zo všetkých OP mal ku koncu decembra 2022 najvyššie čerpanie OP Technická pomoc </w:t>
      </w:r>
      <w:r w:rsidRPr="0061240F">
        <w:rPr>
          <w:rFonts w:eastAsia="Calibri" w:cs="Segoe UI"/>
        </w:rPr>
        <w:t>(93,3 %)</w:t>
      </w:r>
      <w:r w:rsidRPr="00821911">
        <w:rPr>
          <w:rFonts w:eastAsia="Calibri" w:cs="Segoe UI"/>
          <w:b/>
        </w:rPr>
        <w:t xml:space="preserve"> a PS INTERACT III </w:t>
      </w:r>
      <w:r w:rsidRPr="0061240F">
        <w:rPr>
          <w:rFonts w:eastAsia="Calibri" w:cs="Segoe UI"/>
        </w:rPr>
        <w:t>(89,9 %).</w:t>
      </w:r>
      <w:r w:rsidRPr="005F4E12">
        <w:rPr>
          <w:rFonts w:eastAsia="Calibri" w:cs="Segoe UI"/>
        </w:rPr>
        <w:t xml:space="preserve"> Programy cezhraničnej spolupráce s Rakúskom a Č</w:t>
      </w:r>
      <w:r w:rsidR="00821911">
        <w:rPr>
          <w:rFonts w:eastAsia="Calibri" w:cs="Segoe UI"/>
        </w:rPr>
        <w:t>R</w:t>
      </w:r>
      <w:r>
        <w:rPr>
          <w:rFonts w:eastAsia="Calibri" w:cs="Segoe UI"/>
        </w:rPr>
        <w:t xml:space="preserve"> </w:t>
      </w:r>
      <w:r w:rsidRPr="005F4E12">
        <w:rPr>
          <w:rFonts w:eastAsia="Calibri" w:cs="Segoe UI"/>
        </w:rPr>
        <w:t>spolu s OP Efektívna verejná správa boli programy s najdynamickejším rastom</w:t>
      </w:r>
      <w:r>
        <w:rPr>
          <w:rFonts w:eastAsia="Calibri" w:cs="Segoe UI"/>
        </w:rPr>
        <w:t xml:space="preserve"> čerpania</w:t>
      </w:r>
      <w:r w:rsidRPr="005F4E12">
        <w:rPr>
          <w:rFonts w:eastAsia="Calibri" w:cs="Segoe UI"/>
        </w:rPr>
        <w:t xml:space="preserve"> v roku 2022, kedy vyčerpali viac ako 22 % zo svojej celkovej alokácie (graf </w:t>
      </w:r>
      <w:r w:rsidR="00A33708">
        <w:rPr>
          <w:rFonts w:eastAsia="Calibri" w:cs="Segoe UI"/>
        </w:rPr>
        <w:t>3</w:t>
      </w:r>
      <w:r w:rsidR="00135D56">
        <w:rPr>
          <w:rFonts w:eastAsia="Calibri" w:cs="Segoe UI"/>
        </w:rPr>
        <w:t>4</w:t>
      </w:r>
      <w:r w:rsidRPr="005F4E12">
        <w:rPr>
          <w:rFonts w:eastAsia="Calibri" w:cs="Segoe UI"/>
        </w:rPr>
        <w:t>). Spolu za všetky EŠIF bolo čerpanie v roku 2022 v objeme 15,18 % z celkovej</w:t>
      </w:r>
      <w:r w:rsidR="000F0907">
        <w:rPr>
          <w:rFonts w:eastAsia="Calibri" w:cs="Segoe UI"/>
        </w:rPr>
        <w:t xml:space="preserve"> alokácie.</w:t>
      </w:r>
    </w:p>
    <w:p w14:paraId="689DD477" w14:textId="77777777" w:rsidR="0025552C" w:rsidRDefault="00335E5F">
      <w:r w:rsidRPr="005F4E12">
        <w:t xml:space="preserve">Za zmienku stojí aj dodatočný balík </w:t>
      </w:r>
      <w:r w:rsidRPr="00335E5F">
        <w:rPr>
          <w:b/>
        </w:rPr>
        <w:t>REACT-EU</w:t>
      </w:r>
      <w:r w:rsidRPr="005F4E12">
        <w:t xml:space="preserve">, v ktorom EK vyčlenila nad rámec alokácie prostriedky na zníženie negatívnych dopadov pandémie a navýšila alokáciu do OP ĽZ, IROP a OP EVS. Prvá </w:t>
      </w:r>
      <w:proofErr w:type="spellStart"/>
      <w:r w:rsidRPr="005F4E12">
        <w:t>tranža</w:t>
      </w:r>
      <w:proofErr w:type="spellEnd"/>
      <w:r w:rsidRPr="005F4E12">
        <w:t xml:space="preserve"> z roku 2021 (597 mil. eur) bola v roku 2022 doplnená o druhú </w:t>
      </w:r>
      <w:proofErr w:type="spellStart"/>
      <w:r w:rsidRPr="005F4E12">
        <w:t>tranžu</w:t>
      </w:r>
      <w:proofErr w:type="spellEnd"/>
      <w:r w:rsidRPr="005F4E12">
        <w:t xml:space="preserve"> (125 mil. eur). Miera čerpania v rámci </w:t>
      </w:r>
      <w:r w:rsidRPr="005F4E12">
        <w:lastRenderedPageBreak/>
        <w:t xml:space="preserve">balíka REACT-EU sa dostala na takmer 39 % pri miere kontrahovania viac ako 90 %. </w:t>
      </w:r>
      <w:r>
        <w:t>Z</w:t>
      </w:r>
      <w:r w:rsidRPr="005F4E12">
        <w:t>ostatok celkovej alokácie</w:t>
      </w:r>
      <w:r>
        <w:t xml:space="preserve"> z tohto balíka</w:t>
      </w:r>
      <w:r w:rsidRPr="005F4E12">
        <w:t xml:space="preserve"> (441 mil. eur) je potrebné na úrovni prijímateľov vyčerpať do konca</w:t>
      </w:r>
      <w:r>
        <w:t xml:space="preserve"> roka 2023.  </w:t>
      </w:r>
    </w:p>
    <w:p w14:paraId="0715C298" w14:textId="7CF99081" w:rsidR="0086527E" w:rsidRDefault="0086527E" w:rsidP="0086527E">
      <w:pPr>
        <w:pStyle w:val="Popis"/>
        <w:keepNext/>
        <w:jc w:val="left"/>
      </w:pPr>
      <w:r>
        <w:t>Graf 3</w:t>
      </w:r>
      <w:r w:rsidR="00050329">
        <w:t>4</w:t>
      </w:r>
      <w:r>
        <w:t>: Vývoj kontrahovania a čerpania PO 2014 – 2020 v roku 2022 podľa jednotlivých OP</w:t>
      </w:r>
    </w:p>
    <w:tbl>
      <w:tblPr>
        <w:tblStyle w:val="Mriekatabuky"/>
        <w:tblW w:w="8974" w:type="dxa"/>
        <w:tblCellMar>
          <w:left w:w="70" w:type="dxa"/>
          <w:right w:w="70" w:type="dxa"/>
        </w:tblCellMar>
        <w:tblLook w:val="04A0" w:firstRow="1" w:lastRow="0" w:firstColumn="1" w:lastColumn="0" w:noHBand="0" w:noVBand="1"/>
      </w:tblPr>
      <w:tblGrid>
        <w:gridCol w:w="9070"/>
      </w:tblGrid>
      <w:tr w:rsidR="0086527E" w14:paraId="1AFD10C0" w14:textId="77777777" w:rsidTr="00B770E0">
        <w:trPr>
          <w:trHeight w:val="2491"/>
        </w:trPr>
        <w:tc>
          <w:tcPr>
            <w:tcW w:w="8974" w:type="dxa"/>
            <w:tcBorders>
              <w:top w:val="single" w:sz="4" w:space="0" w:color="314364" w:themeColor="text2"/>
              <w:left w:val="nil"/>
              <w:bottom w:val="single" w:sz="4" w:space="0" w:color="314364" w:themeColor="text2"/>
              <w:right w:val="nil"/>
            </w:tcBorders>
          </w:tcPr>
          <w:p w14:paraId="68D6FEE2" w14:textId="77777777" w:rsidR="0086527E" w:rsidRDefault="0086527E" w:rsidP="006B7D1B">
            <w:pPr>
              <w:spacing w:after="0"/>
            </w:pPr>
            <w:r>
              <w:rPr>
                <w:noProof/>
                <w:lang w:eastAsia="sk-SK"/>
              </w:rPr>
              <w:drawing>
                <wp:inline distT="0" distB="0" distL="0" distR="0" wp14:anchorId="18CBAEA8" wp14:editId="7817184F">
                  <wp:extent cx="5686425" cy="2800350"/>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797857C2" w14:textId="108DCCF0" w:rsidR="0086527E" w:rsidRDefault="0086527E" w:rsidP="0086527E">
      <w:pPr>
        <w:pStyle w:val="Zdroj"/>
        <w:rPr>
          <w:lang w:eastAsia="sk-SK"/>
        </w:rPr>
      </w:pPr>
      <w:r w:rsidRPr="0083197C">
        <w:rPr>
          <w:lang w:eastAsia="sk-SK"/>
        </w:rPr>
        <w:t>Zdroj: MIRRI SR, vlastné spracovanie</w:t>
      </w:r>
      <w:r w:rsidR="0024233A">
        <w:rPr>
          <w:lang w:eastAsia="sk-SK"/>
        </w:rPr>
        <w:t xml:space="preserve"> NKÚ SR.</w:t>
      </w:r>
    </w:p>
    <w:p w14:paraId="151F5AA6" w14:textId="00115538" w:rsidR="00135D56" w:rsidRDefault="00135D56" w:rsidP="00135D56">
      <w:r w:rsidRPr="00314500">
        <w:rPr>
          <w:b/>
        </w:rPr>
        <w:t>Dlhodobý problém v čerpaní vykazuje OP Rybné hospodárstvo (26,5 %)</w:t>
      </w:r>
      <w:r w:rsidR="00857CC6">
        <w:rPr>
          <w:b/>
        </w:rPr>
        <w:t>,</w:t>
      </w:r>
      <w:r w:rsidRPr="00314500">
        <w:rPr>
          <w:b/>
        </w:rPr>
        <w:t xml:space="preserve"> pri miere kontrahovania len 32 %</w:t>
      </w:r>
      <w:r w:rsidRPr="005F4E12">
        <w:t xml:space="preserve">. Za posledný kalendárny rok sa miera </w:t>
      </w:r>
      <w:proofErr w:type="spellStart"/>
      <w:r w:rsidRPr="005F4E12">
        <w:t>zazmluvňovania</w:t>
      </w:r>
      <w:proofErr w:type="spellEnd"/>
      <w:r w:rsidRPr="005F4E12">
        <w:t xml:space="preserve"> pri tomto OP zvýšila len o necelú desatinu percenta a čerpanie bolo na úrovni len 3 % z celkove</w:t>
      </w:r>
      <w:r>
        <w:t>j alokácie tohto OP. EK schválila v</w:t>
      </w:r>
      <w:r w:rsidR="00902809">
        <w:t> </w:t>
      </w:r>
      <w:r>
        <w:t>roku</w:t>
      </w:r>
      <w:r w:rsidR="00902809">
        <w:t xml:space="preserve"> 2022</w:t>
      </w:r>
      <w:r>
        <w:t xml:space="preserve"> legislatívnu iniciatívu SAFE, v rámci ktorej je možné využiť nevyčerpané zdroje z PO 2014 – 2020 </w:t>
      </w:r>
      <w:r w:rsidRPr="005F4E12">
        <w:t>na kompenzáciu vysokých cien energií pre malé a stredné podniky</w:t>
      </w:r>
      <w:r>
        <w:t>,</w:t>
      </w:r>
      <w:r w:rsidRPr="005F4E12">
        <w:t xml:space="preserve"> ako aj pre zraniteľné domácnosti.</w:t>
      </w:r>
      <w:r>
        <w:rPr>
          <w:rStyle w:val="Odkaznapoznmkupodiarou"/>
          <w:rFonts w:eastAsia="Calibri" w:cs="Segoe UI"/>
        </w:rPr>
        <w:footnoteReference w:id="42"/>
      </w:r>
    </w:p>
    <w:p w14:paraId="03DBB325" w14:textId="0546A8B7" w:rsidR="00195BFD" w:rsidRDefault="00195BFD" w:rsidP="005074F1">
      <w:pPr>
        <w:rPr>
          <w:rFonts w:eastAsia="Calibri" w:cs="Segoe UI"/>
          <w:b/>
          <w:color w:val="000000"/>
        </w:rPr>
      </w:pPr>
      <w:r>
        <w:rPr>
          <w:rFonts w:cs="Segoe UI"/>
        </w:rPr>
        <w:t>Medzi n</w:t>
      </w:r>
      <w:r w:rsidRPr="007C1122">
        <w:rPr>
          <w:rFonts w:cs="Segoe UI"/>
        </w:rPr>
        <w:t>ajvýznamnejš</w:t>
      </w:r>
      <w:r>
        <w:rPr>
          <w:rFonts w:cs="Segoe UI"/>
        </w:rPr>
        <w:t>ie</w:t>
      </w:r>
      <w:r w:rsidRPr="007C1122">
        <w:rPr>
          <w:rFonts w:cs="Segoe UI"/>
        </w:rPr>
        <w:t xml:space="preserve"> limitáci</w:t>
      </w:r>
      <w:r>
        <w:rPr>
          <w:rFonts w:cs="Segoe UI"/>
        </w:rPr>
        <w:t xml:space="preserve">e </w:t>
      </w:r>
      <w:r w:rsidRPr="007C1122">
        <w:rPr>
          <w:rFonts w:cs="Segoe UI"/>
        </w:rPr>
        <w:t>efektívn</w:t>
      </w:r>
      <w:r>
        <w:rPr>
          <w:rFonts w:cs="Segoe UI"/>
        </w:rPr>
        <w:t>eho</w:t>
      </w:r>
      <w:r w:rsidRPr="007C1122">
        <w:rPr>
          <w:rFonts w:cs="Segoe UI"/>
        </w:rPr>
        <w:t>, úč</w:t>
      </w:r>
      <w:r w:rsidR="009859F8">
        <w:rPr>
          <w:rFonts w:cs="Segoe UI"/>
        </w:rPr>
        <w:t>inného</w:t>
      </w:r>
      <w:r w:rsidRPr="007C1122">
        <w:rPr>
          <w:rFonts w:cs="Segoe UI"/>
        </w:rPr>
        <w:t xml:space="preserve"> a hospodárn</w:t>
      </w:r>
      <w:r>
        <w:rPr>
          <w:rFonts w:cs="Segoe UI"/>
        </w:rPr>
        <w:t>eho</w:t>
      </w:r>
      <w:r w:rsidRPr="007C1122">
        <w:rPr>
          <w:rFonts w:cs="Segoe UI"/>
        </w:rPr>
        <w:t xml:space="preserve"> čerpan</w:t>
      </w:r>
      <w:r>
        <w:rPr>
          <w:rFonts w:cs="Segoe UI"/>
        </w:rPr>
        <w:t>ia</w:t>
      </w:r>
      <w:r w:rsidRPr="007C1122">
        <w:rPr>
          <w:rFonts w:cs="Segoe UI"/>
        </w:rPr>
        <w:t xml:space="preserve"> </w:t>
      </w:r>
      <w:r>
        <w:rPr>
          <w:rFonts w:cs="Segoe UI"/>
        </w:rPr>
        <w:t xml:space="preserve">zdrojov z </w:t>
      </w:r>
      <w:r w:rsidRPr="007C1122">
        <w:rPr>
          <w:rFonts w:cs="Segoe UI"/>
        </w:rPr>
        <w:t xml:space="preserve">EÚ </w:t>
      </w:r>
      <w:r>
        <w:rPr>
          <w:rFonts w:cs="Segoe UI"/>
        </w:rPr>
        <w:t>patrí</w:t>
      </w:r>
      <w:r w:rsidRPr="007C1122">
        <w:rPr>
          <w:rFonts w:cs="Segoe UI"/>
        </w:rPr>
        <w:t xml:space="preserve"> </w:t>
      </w:r>
      <w:r w:rsidR="00AC6426">
        <w:rPr>
          <w:rFonts w:cs="Segoe UI"/>
        </w:rPr>
        <w:t xml:space="preserve">podľa NKÚ SR </w:t>
      </w:r>
      <w:r w:rsidRPr="007C1122">
        <w:rPr>
          <w:rFonts w:cs="Segoe UI"/>
        </w:rPr>
        <w:t>zložitosť nastaveného systému, byrokracia administrácie projektového riadenia, zneužívanie resp. korupcia, nedostatočné personálne kapacity</w:t>
      </w:r>
      <w:r>
        <w:rPr>
          <w:rFonts w:cs="Segoe UI"/>
        </w:rPr>
        <w:t>,</w:t>
      </w:r>
      <w:r w:rsidRPr="007C1122">
        <w:rPr>
          <w:rFonts w:cs="Segoe UI"/>
        </w:rPr>
        <w:t xml:space="preserve"> vrátane vysokej fluktuácie najmä vo volebných rokoch.</w:t>
      </w:r>
      <w:r>
        <w:rPr>
          <w:rFonts w:cs="Segoe UI"/>
        </w:rPr>
        <w:t xml:space="preserve"> </w:t>
      </w:r>
      <w:r w:rsidRPr="007C1122">
        <w:rPr>
          <w:rFonts w:cs="Segoe UI"/>
        </w:rPr>
        <w:t xml:space="preserve">Špecifickú kategóriu, ktorá ovplyvňuje úspešné čerpanie zdrojov </w:t>
      </w:r>
      <w:r>
        <w:rPr>
          <w:rFonts w:cs="Segoe UI"/>
        </w:rPr>
        <w:t>z</w:t>
      </w:r>
      <w:r w:rsidR="00DE30F4">
        <w:rPr>
          <w:rFonts w:cs="Segoe UI"/>
        </w:rPr>
        <w:t> </w:t>
      </w:r>
      <w:r>
        <w:rPr>
          <w:rFonts w:cs="Segoe UI"/>
        </w:rPr>
        <w:t>EÚ</w:t>
      </w:r>
      <w:r w:rsidR="00DE30F4">
        <w:rPr>
          <w:rFonts w:cs="Segoe UI"/>
        </w:rPr>
        <w:t>,</w:t>
      </w:r>
      <w:r>
        <w:rPr>
          <w:rFonts w:cs="Segoe UI"/>
        </w:rPr>
        <w:t xml:space="preserve"> </w:t>
      </w:r>
      <w:r w:rsidRPr="007C1122">
        <w:rPr>
          <w:rFonts w:cs="Segoe UI"/>
        </w:rPr>
        <w:t>tvorí udržateľnosť projektov (nedosiahnutie merateľných ukazovateľov, nezabezpečenie udržateľnosti, nedodržanie zmluvných podm</w:t>
      </w:r>
      <w:r>
        <w:rPr>
          <w:rFonts w:cs="Segoe UI"/>
        </w:rPr>
        <w:t>ienok, uchovávanie dokumentácie</w:t>
      </w:r>
      <w:r w:rsidRPr="007C1122">
        <w:rPr>
          <w:rFonts w:cs="Segoe UI"/>
        </w:rPr>
        <w:t xml:space="preserve"> atď.)</w:t>
      </w:r>
      <w:r>
        <w:rPr>
          <w:rFonts w:cs="Segoe UI"/>
        </w:rPr>
        <w:t>.</w:t>
      </w:r>
      <w:r w:rsidR="0086527E" w:rsidRPr="0086527E">
        <w:t xml:space="preserve"> </w:t>
      </w:r>
      <w:r w:rsidR="0086527E" w:rsidRPr="0086527E">
        <w:rPr>
          <w:rFonts w:cs="Segoe UI"/>
        </w:rPr>
        <w:t>Tieto limitácie</w:t>
      </w:r>
      <w:r w:rsidR="0086527E">
        <w:rPr>
          <w:rFonts w:cs="Segoe UI"/>
        </w:rPr>
        <w:t>,</w:t>
      </w:r>
      <w:r w:rsidR="0086527E" w:rsidRPr="0086527E">
        <w:rPr>
          <w:rFonts w:cs="Segoe UI"/>
        </w:rPr>
        <w:t xml:space="preserve"> najmä vo vzťahu ku krátkosti zostávajúceho času na dočerpanie</w:t>
      </w:r>
      <w:r w:rsidR="0086527E">
        <w:rPr>
          <w:rFonts w:cs="Segoe UI"/>
        </w:rPr>
        <w:t>,</w:t>
      </w:r>
      <w:r w:rsidR="0086527E" w:rsidRPr="0086527E">
        <w:rPr>
          <w:rFonts w:cs="Segoe UI"/>
        </w:rPr>
        <w:t xml:space="preserve"> môžu spôsobiť riziko vyššej miery chybovosti a následných nezrovnalostí a sankcií.  </w:t>
      </w:r>
    </w:p>
    <w:p w14:paraId="5D5DAB17" w14:textId="71A71477" w:rsidR="007C1122" w:rsidRDefault="00AC6426" w:rsidP="007C1122">
      <w:pPr>
        <w:rPr>
          <w:rFonts w:cs="Segoe UI"/>
        </w:rPr>
      </w:pPr>
      <w:r>
        <w:rPr>
          <w:rFonts w:cs="Segoe UI"/>
        </w:rPr>
        <w:t>V</w:t>
      </w:r>
      <w:r w:rsidR="007C1122" w:rsidRPr="007C1122">
        <w:rPr>
          <w:rFonts w:cs="Segoe UI"/>
        </w:rPr>
        <w:t>ýznamným faktorom vplývajúcim na realizáciu projektových zámerov boli/sú aj dlhodobé problémy spojené s vysporiadaním pozemkov</w:t>
      </w:r>
      <w:r w:rsidR="00DE30F4">
        <w:rPr>
          <w:rFonts w:cs="Segoe UI"/>
        </w:rPr>
        <w:t>,</w:t>
      </w:r>
      <w:r w:rsidR="007C1122" w:rsidRPr="007C1122">
        <w:rPr>
          <w:rFonts w:cs="Segoe UI"/>
        </w:rPr>
        <w:t xml:space="preserve"> resp. nehnuteľností. Efektívne a transparentné čerpani</w:t>
      </w:r>
      <w:r>
        <w:rPr>
          <w:rFonts w:cs="Segoe UI"/>
        </w:rPr>
        <w:t>e</w:t>
      </w:r>
      <w:r w:rsidR="007C1122" w:rsidRPr="007C1122">
        <w:rPr>
          <w:rFonts w:cs="Segoe UI"/>
        </w:rPr>
        <w:t xml:space="preserve"> zdrojov z EÚ ovplyvňuje aj VO vrátane služieb, ktoré sú často obstarávané mimo zákona o VO, ktoré následne navyšujú neoprávnené výdavky.</w:t>
      </w:r>
      <w:r w:rsidR="00D91AF1">
        <w:rPr>
          <w:rFonts w:cs="Segoe UI"/>
        </w:rPr>
        <w:t xml:space="preserve"> </w:t>
      </w:r>
      <w:r w:rsidR="007C1122" w:rsidRPr="007C1122">
        <w:rPr>
          <w:rFonts w:cs="Segoe UI"/>
        </w:rPr>
        <w:t>V roku 2022 pribudla ďalšia významná limitácia – inflácia, ktorá skokovo navyšovala ceny najmä stavebných materiálov a projektové zámery sa pre mnohé obce/mestá stali nerealizovateľné</w:t>
      </w:r>
      <w:r>
        <w:rPr>
          <w:rStyle w:val="Odkaznapoznmkupodiarou"/>
          <w:rFonts w:cs="Segoe UI"/>
        </w:rPr>
        <w:footnoteReference w:id="43"/>
      </w:r>
      <w:r w:rsidR="007C1122" w:rsidRPr="007C1122">
        <w:rPr>
          <w:rFonts w:cs="Segoe UI"/>
        </w:rPr>
        <w:t>.</w:t>
      </w:r>
      <w:r w:rsidR="00D91AF1">
        <w:rPr>
          <w:rFonts w:cs="Segoe UI"/>
        </w:rPr>
        <w:t xml:space="preserve"> V</w:t>
      </w:r>
      <w:r w:rsidR="007C1122" w:rsidRPr="007C1122">
        <w:rPr>
          <w:rFonts w:cs="Segoe UI"/>
        </w:rPr>
        <w:t xml:space="preserve">erejné projekty </w:t>
      </w:r>
      <w:r w:rsidR="00D91AF1">
        <w:rPr>
          <w:rFonts w:cs="Segoe UI"/>
        </w:rPr>
        <w:t xml:space="preserve">sa </w:t>
      </w:r>
      <w:r w:rsidR="007C1122" w:rsidRPr="007C1122">
        <w:rPr>
          <w:rFonts w:cs="Segoe UI"/>
        </w:rPr>
        <w:t>predražujú o</w:t>
      </w:r>
      <w:r w:rsidR="00D91AF1">
        <w:rPr>
          <w:rFonts w:cs="Segoe UI"/>
        </w:rPr>
        <w:t> </w:t>
      </w:r>
      <w:r w:rsidR="007C1122" w:rsidRPr="007C1122">
        <w:rPr>
          <w:rFonts w:cs="Segoe UI"/>
        </w:rPr>
        <w:t>80</w:t>
      </w:r>
      <w:r w:rsidR="00D91AF1">
        <w:rPr>
          <w:rFonts w:cs="Segoe UI"/>
        </w:rPr>
        <w:t xml:space="preserve"> </w:t>
      </w:r>
      <w:r w:rsidR="007C1122" w:rsidRPr="007C1122">
        <w:rPr>
          <w:rFonts w:cs="Segoe UI"/>
        </w:rPr>
        <w:t>% a pri časových posunoch až o cca 190 % aj po od</w:t>
      </w:r>
      <w:r>
        <w:rPr>
          <w:rFonts w:cs="Segoe UI"/>
        </w:rPr>
        <w:t>znení</w:t>
      </w:r>
      <w:r w:rsidR="007C1122" w:rsidRPr="007C1122">
        <w:rPr>
          <w:rFonts w:cs="Segoe UI"/>
        </w:rPr>
        <w:t xml:space="preserve"> </w:t>
      </w:r>
      <w:r w:rsidR="00B770E0">
        <w:rPr>
          <w:rFonts w:cs="Segoe UI"/>
        </w:rPr>
        <w:t xml:space="preserve">efektu </w:t>
      </w:r>
      <w:r w:rsidR="007C1122" w:rsidRPr="007C1122">
        <w:rPr>
          <w:rFonts w:cs="Segoe UI"/>
        </w:rPr>
        <w:t>zvýšen</w:t>
      </w:r>
      <w:r>
        <w:rPr>
          <w:rFonts w:cs="Segoe UI"/>
        </w:rPr>
        <w:t>ia cien</w:t>
      </w:r>
      <w:r w:rsidR="007C1122" w:rsidRPr="007C1122">
        <w:rPr>
          <w:rFonts w:cs="Segoe UI"/>
        </w:rPr>
        <w:t xml:space="preserve">. Dôvody sú najmä vnútorné faktory vyplývajúce zo systému </w:t>
      </w:r>
      <w:r>
        <w:rPr>
          <w:rFonts w:cs="Segoe UI"/>
        </w:rPr>
        <w:t>r</w:t>
      </w:r>
      <w:r w:rsidR="007C1122" w:rsidRPr="007C1122">
        <w:rPr>
          <w:rFonts w:cs="Segoe UI"/>
        </w:rPr>
        <w:t xml:space="preserve">iadenia verejného sektora, ktoré sú z veľkej časti zodpovedné za oneskorenia a prekročenie nákladov (zlý návrh </w:t>
      </w:r>
      <w:r w:rsidR="007C1122" w:rsidRPr="007C1122">
        <w:rPr>
          <w:rFonts w:cs="Segoe UI"/>
        </w:rPr>
        <w:lastRenderedPageBreak/>
        <w:t>a implementácia projektov, nedostatočné financovanie projektov, byrokratická nerozhodnosť, nedostatočná koordinácia medzi zúčastnenými stranami).</w:t>
      </w:r>
      <w:r w:rsidRPr="00AC6426">
        <w:rPr>
          <w:rStyle w:val="Odkaznapoznmkupodiarou"/>
          <w:rFonts w:cs="Segoe UI"/>
        </w:rPr>
        <w:t xml:space="preserve"> </w:t>
      </w:r>
      <w:r>
        <w:rPr>
          <w:rStyle w:val="Odkaznapoznmkupodiarou"/>
          <w:rFonts w:cs="Segoe UI"/>
        </w:rPr>
        <w:footnoteReference w:id="44"/>
      </w:r>
      <w:r w:rsidR="00195BFD">
        <w:rPr>
          <w:rFonts w:cs="Segoe UI"/>
        </w:rPr>
        <w:t xml:space="preserve"> Na problémy s čerpaním prostriedkov na projekty v samospráve sa NKÚ SR pozrel bližšie aj v </w:t>
      </w:r>
      <w:r>
        <w:rPr>
          <w:rFonts w:cs="Segoe UI"/>
        </w:rPr>
        <w:t>niekoľkých</w:t>
      </w:r>
      <w:r w:rsidR="00195BFD">
        <w:rPr>
          <w:rFonts w:cs="Segoe UI"/>
        </w:rPr>
        <w:t xml:space="preserve"> kontrolách (box </w:t>
      </w:r>
      <w:r w:rsidR="004C18E7">
        <w:rPr>
          <w:rFonts w:cs="Segoe UI"/>
        </w:rPr>
        <w:t>7</w:t>
      </w:r>
      <w:r w:rsidR="00195BFD">
        <w:rPr>
          <w:rFonts w:cs="Segoe UI"/>
        </w:rPr>
        <w:t>).</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blLook w:val="04A0" w:firstRow="1" w:lastRow="0" w:firstColumn="1" w:lastColumn="0" w:noHBand="0" w:noVBand="1"/>
      </w:tblPr>
      <w:tblGrid>
        <w:gridCol w:w="9060"/>
      </w:tblGrid>
      <w:tr w:rsidR="005074F1" w:rsidRPr="00E526A6" w14:paraId="6865FE02" w14:textId="77777777" w:rsidTr="0035229D">
        <w:trPr>
          <w:trHeight w:val="625"/>
        </w:trPr>
        <w:tc>
          <w:tcPr>
            <w:tcW w:w="9060" w:type="dxa"/>
            <w:shd w:val="clear" w:color="auto" w:fill="EBF0FB"/>
          </w:tcPr>
          <w:p w14:paraId="011B6076" w14:textId="5438B8C3" w:rsidR="005074F1" w:rsidRPr="0035229D" w:rsidRDefault="005074F1" w:rsidP="0025552C">
            <w:pPr>
              <w:spacing w:before="120" w:line="240" w:lineRule="auto"/>
              <w:rPr>
                <w:rFonts w:cs="Segoe UI"/>
                <w:b/>
                <w:color w:val="000000" w:themeColor="text1"/>
                <w:szCs w:val="18"/>
              </w:rPr>
            </w:pPr>
            <w:r w:rsidRPr="0035229D">
              <w:rPr>
                <w:rFonts w:cs="Segoe UI"/>
                <w:b/>
                <w:color w:val="000000" w:themeColor="text1"/>
                <w:szCs w:val="18"/>
              </w:rPr>
              <w:t xml:space="preserve">BOX </w:t>
            </w:r>
            <w:r w:rsidR="004C18E7">
              <w:rPr>
                <w:rFonts w:cs="Segoe UI"/>
                <w:b/>
                <w:color w:val="000000" w:themeColor="text1"/>
                <w:szCs w:val="18"/>
              </w:rPr>
              <w:t>7</w:t>
            </w:r>
            <w:r w:rsidR="00CF78E2" w:rsidRPr="0035229D">
              <w:rPr>
                <w:rFonts w:cs="Segoe UI"/>
                <w:b/>
                <w:color w:val="000000" w:themeColor="text1"/>
                <w:szCs w:val="18"/>
              </w:rPr>
              <w:t>: Čerpanie výdavkov z</w:t>
            </w:r>
            <w:r w:rsidR="007C1122" w:rsidRPr="0035229D">
              <w:rPr>
                <w:rFonts w:cs="Segoe UI"/>
                <w:b/>
                <w:color w:val="000000" w:themeColor="text1"/>
                <w:szCs w:val="18"/>
              </w:rPr>
              <w:t xml:space="preserve"> PO </w:t>
            </w:r>
            <w:r w:rsidRPr="0035229D">
              <w:rPr>
                <w:rFonts w:cs="Segoe UI"/>
                <w:b/>
                <w:color w:val="000000" w:themeColor="text1"/>
                <w:szCs w:val="18"/>
              </w:rPr>
              <w:t>2014</w:t>
            </w:r>
            <w:r w:rsidR="007C1122" w:rsidRPr="0035229D">
              <w:rPr>
                <w:rFonts w:cs="Segoe UI"/>
                <w:b/>
                <w:color w:val="000000" w:themeColor="text1"/>
                <w:szCs w:val="18"/>
              </w:rPr>
              <w:t xml:space="preserve"> – </w:t>
            </w:r>
            <w:r w:rsidRPr="0035229D">
              <w:rPr>
                <w:rFonts w:cs="Segoe UI"/>
                <w:b/>
                <w:color w:val="000000" w:themeColor="text1"/>
                <w:szCs w:val="18"/>
              </w:rPr>
              <w:t xml:space="preserve">2020 </w:t>
            </w:r>
            <w:r w:rsidR="00CF78E2" w:rsidRPr="0035229D">
              <w:rPr>
                <w:rFonts w:cs="Segoe UI"/>
                <w:b/>
                <w:color w:val="000000" w:themeColor="text1"/>
                <w:szCs w:val="18"/>
              </w:rPr>
              <w:t xml:space="preserve">na projekty </w:t>
            </w:r>
            <w:r w:rsidR="007C1122" w:rsidRPr="0035229D">
              <w:rPr>
                <w:rFonts w:cs="Segoe UI"/>
                <w:b/>
                <w:color w:val="000000" w:themeColor="text1"/>
                <w:szCs w:val="18"/>
              </w:rPr>
              <w:t>v samospráve</w:t>
            </w:r>
          </w:p>
          <w:p w14:paraId="10644721" w14:textId="77777777" w:rsidR="00914BF8" w:rsidRPr="002C2B32" w:rsidRDefault="00914BF8" w:rsidP="00914BF8">
            <w:pPr>
              <w:rPr>
                <w:rFonts w:cs="Segoe UI"/>
                <w:sz w:val="18"/>
              </w:rPr>
            </w:pPr>
            <w:r w:rsidRPr="002C2B32">
              <w:rPr>
                <w:rFonts w:cs="Segoe UI"/>
                <w:sz w:val="18"/>
              </w:rPr>
              <w:t xml:space="preserve">Významným rizikom podľa NKÚ SR je aj digitalizácia samosprávy. NKÚ SR sa pri kontrole  v roku 2017 prioritne zameral najmä na elektronizáciu originálnych kompetencií a na pripravenosť obcí, ktoré nevyužívali žiaden špecializovaný informačný systém. V roku 2019 sa NKÚ SR zameral v rámci kontroly  na zabezpečenie účinnosti zavedeného Informačného systému dátového centra obcí (IS DCOM) a jeho súlad so stratégiou informatizácie miestnej územnej samosprávy. Projekt DCOM+  má za cieľ plošné rozšírenie IS DCOM, ktoré poskytne ďalším cca tisíc obciam a mestám plnú funkčnosť už existujúceho riešenia pre elektronický výkon VS a pre vyše 1 470 už zapojeným obciam a mestám poskytne doplnenie infraštruktúrnych služieb. Suma alokovaná na projekt predstavuje cca 31 mil. eur a má byť saturovaná z OP II. NKÚ SR, podobne ako ÚHP a </w:t>
            </w:r>
            <w:proofErr w:type="spellStart"/>
            <w:r w:rsidRPr="002C2B32">
              <w:rPr>
                <w:rFonts w:cs="Segoe UI"/>
                <w:sz w:val="18"/>
              </w:rPr>
              <w:t>Slovensko.Digital</w:t>
            </w:r>
            <w:proofErr w:type="spellEnd"/>
            <w:r w:rsidRPr="002C2B32">
              <w:rPr>
                <w:rFonts w:cs="Segoe UI"/>
                <w:sz w:val="18"/>
              </w:rPr>
              <w:t xml:space="preserve"> , vníma v rámci prípravnej fázy projektu riziko neefektívnej obnovy HW.</w:t>
            </w:r>
          </w:p>
          <w:p w14:paraId="2C4ED8E5" w14:textId="37747EF9" w:rsidR="00CF78E2" w:rsidRPr="00E526A6" w:rsidRDefault="00CF78E2" w:rsidP="00B770E0">
            <w:pPr>
              <w:rPr>
                <w:rFonts w:eastAsia="Calibri" w:cs="Times New Roman"/>
                <w:iCs/>
                <w:color w:val="314364"/>
                <w:sz w:val="18"/>
                <w:szCs w:val="18"/>
              </w:rPr>
            </w:pPr>
            <w:r w:rsidRPr="00E526A6">
              <w:rPr>
                <w:rFonts w:eastAsia="Calibri" w:cs="Times New Roman"/>
                <w:color w:val="000000"/>
                <w:sz w:val="18"/>
                <w:szCs w:val="18"/>
              </w:rPr>
              <w:t xml:space="preserve">Veľkosť a časová náročnosť realizácie vybraných infraštruktúrnych projektov umožňuje tzv. </w:t>
            </w:r>
            <w:proofErr w:type="spellStart"/>
            <w:r w:rsidRPr="00E526A6">
              <w:rPr>
                <w:rFonts w:eastAsia="Calibri" w:cs="Times New Roman"/>
                <w:color w:val="000000"/>
                <w:sz w:val="18"/>
                <w:szCs w:val="18"/>
              </w:rPr>
              <w:t>fázovanie</w:t>
            </w:r>
            <w:proofErr w:type="spellEnd"/>
            <w:r w:rsidRPr="00E526A6">
              <w:rPr>
                <w:rFonts w:eastAsia="Calibri" w:cs="Times New Roman"/>
                <w:color w:val="000000"/>
                <w:sz w:val="18"/>
                <w:szCs w:val="18"/>
              </w:rPr>
              <w:t xml:space="preserve"> projektov. </w:t>
            </w:r>
            <w:proofErr w:type="spellStart"/>
            <w:r w:rsidRPr="00E526A6">
              <w:rPr>
                <w:rFonts w:eastAsia="Calibri" w:cs="Times New Roman"/>
                <w:color w:val="000000"/>
                <w:sz w:val="18"/>
                <w:szCs w:val="18"/>
              </w:rPr>
              <w:t>Fázovanie</w:t>
            </w:r>
            <w:proofErr w:type="spellEnd"/>
            <w:r w:rsidRPr="00E526A6">
              <w:rPr>
                <w:rFonts w:eastAsia="Calibri" w:cs="Times New Roman"/>
                <w:color w:val="000000"/>
                <w:sz w:val="18"/>
                <w:szCs w:val="18"/>
              </w:rPr>
              <w:t xml:space="preserve"> rozdeľuje implementáciu projektu na </w:t>
            </w:r>
            <w:r w:rsidR="00E248E5" w:rsidRPr="00E526A6">
              <w:rPr>
                <w:rFonts w:eastAsia="Calibri" w:cs="Times New Roman"/>
                <w:color w:val="000000"/>
                <w:sz w:val="18"/>
                <w:szCs w:val="18"/>
              </w:rPr>
              <w:t>dve</w:t>
            </w:r>
            <w:r w:rsidRPr="00E526A6">
              <w:rPr>
                <w:rFonts w:eastAsia="Calibri" w:cs="Times New Roman"/>
                <w:color w:val="000000"/>
                <w:sz w:val="18"/>
                <w:szCs w:val="18"/>
              </w:rPr>
              <w:t xml:space="preserve"> fázy, ktoré budú financované z prostriedkov dvoch </w:t>
            </w:r>
            <w:r w:rsidR="00E248E5" w:rsidRPr="00E526A6">
              <w:rPr>
                <w:rFonts w:eastAsia="Calibri" w:cs="Times New Roman"/>
                <w:color w:val="000000"/>
                <w:sz w:val="18"/>
                <w:szCs w:val="18"/>
              </w:rPr>
              <w:t>PO</w:t>
            </w:r>
            <w:r w:rsidRPr="00E526A6">
              <w:rPr>
                <w:rFonts w:eastAsia="Calibri" w:cs="Times New Roman"/>
                <w:color w:val="000000"/>
                <w:sz w:val="18"/>
                <w:szCs w:val="18"/>
              </w:rPr>
              <w:t xml:space="preserve"> za presne stanovených podmienok</w:t>
            </w:r>
            <w:r w:rsidR="00AC6426">
              <w:rPr>
                <w:rFonts w:eastAsia="Calibri" w:cs="Times New Roman"/>
                <w:color w:val="000000"/>
                <w:sz w:val="18"/>
                <w:szCs w:val="18"/>
              </w:rPr>
              <w:t>.</w:t>
            </w:r>
            <w:r w:rsidRPr="00E526A6">
              <w:rPr>
                <w:rStyle w:val="Odkaznapoznmkupodiarou"/>
                <w:rFonts w:eastAsia="Calibri" w:cs="Times New Roman"/>
                <w:color w:val="000000"/>
                <w:sz w:val="18"/>
                <w:szCs w:val="18"/>
              </w:rPr>
              <w:footnoteReference w:id="45"/>
            </w:r>
            <w:r w:rsidRPr="00E526A6">
              <w:rPr>
                <w:rFonts w:eastAsia="Calibri" w:cs="Times New Roman"/>
                <w:color w:val="000000"/>
                <w:sz w:val="18"/>
                <w:szCs w:val="18"/>
              </w:rPr>
              <w:t xml:space="preserve"> Súčasťou </w:t>
            </w:r>
            <w:r w:rsidR="00E526A6" w:rsidRPr="00E526A6">
              <w:rPr>
                <w:rFonts w:eastAsia="Calibri" w:cs="Times New Roman"/>
                <w:color w:val="000000"/>
                <w:sz w:val="18"/>
                <w:szCs w:val="18"/>
              </w:rPr>
              <w:t xml:space="preserve">OP </w:t>
            </w:r>
            <w:r w:rsidRPr="00E526A6">
              <w:rPr>
                <w:rFonts w:eastAsia="Calibri" w:cs="Times New Roman"/>
                <w:color w:val="000000"/>
                <w:sz w:val="18"/>
                <w:szCs w:val="18"/>
              </w:rPr>
              <w:t>II</w:t>
            </w:r>
            <w:r w:rsidRPr="00E526A6">
              <w:rPr>
                <w:rFonts w:eastAsia="Calibri" w:cs="Times New Roman"/>
                <w:color w:val="000000"/>
                <w:sz w:val="18"/>
                <w:szCs w:val="18"/>
                <w:vertAlign w:val="superscript"/>
              </w:rPr>
              <w:footnoteReference w:id="46"/>
            </w:r>
            <w:r w:rsidRPr="00E526A6">
              <w:rPr>
                <w:rFonts w:eastAsia="Calibri" w:cs="Times New Roman"/>
                <w:color w:val="000000"/>
                <w:sz w:val="18"/>
                <w:szCs w:val="18"/>
              </w:rPr>
              <w:t> je aj špecifická kategória</w:t>
            </w:r>
            <w:r w:rsidR="00914BF8">
              <w:rPr>
                <w:rFonts w:eastAsia="Calibri" w:cs="Times New Roman"/>
                <w:color w:val="000000"/>
                <w:sz w:val="18"/>
                <w:szCs w:val="18"/>
              </w:rPr>
              <w:t>,</w:t>
            </w:r>
            <w:r w:rsidRPr="00E526A6">
              <w:rPr>
                <w:rFonts w:eastAsia="Calibri" w:cs="Times New Roman"/>
                <w:color w:val="000000"/>
                <w:sz w:val="18"/>
                <w:szCs w:val="18"/>
              </w:rPr>
              <w:t xml:space="preserve"> tzv. </w:t>
            </w:r>
            <w:r w:rsidR="00E526A6" w:rsidRPr="00E526A6">
              <w:rPr>
                <w:rFonts w:eastAsia="Calibri" w:cs="Times New Roman"/>
                <w:color w:val="000000"/>
                <w:sz w:val="18"/>
                <w:szCs w:val="18"/>
              </w:rPr>
              <w:t>v</w:t>
            </w:r>
            <w:r w:rsidRPr="00E526A6">
              <w:rPr>
                <w:rFonts w:eastAsia="Calibri" w:cs="Times New Roman"/>
                <w:color w:val="000000"/>
                <w:sz w:val="18"/>
                <w:szCs w:val="18"/>
              </w:rPr>
              <w:t>eľké projekty.</w:t>
            </w:r>
            <w:r w:rsidRPr="00E526A6">
              <w:rPr>
                <w:rFonts w:eastAsia="Calibri" w:cs="Times New Roman"/>
                <w:color w:val="000000"/>
                <w:sz w:val="18"/>
                <w:szCs w:val="18"/>
                <w:vertAlign w:val="superscript"/>
              </w:rPr>
              <w:footnoteReference w:id="47"/>
            </w:r>
            <w:r w:rsidRPr="00E526A6">
              <w:rPr>
                <w:rFonts w:eastAsia="Calibri" w:cs="Times New Roman"/>
                <w:color w:val="000000"/>
                <w:sz w:val="18"/>
                <w:szCs w:val="18"/>
              </w:rPr>
              <w:t xml:space="preserve"> Do tejto kategórie boli zaradené aj tri projekty zo samosprávy (mestá Bratislava, Košice) (schéma 1):</w:t>
            </w:r>
            <w:r w:rsidR="00B770E0">
              <w:rPr>
                <w:rFonts w:eastAsia="Calibri" w:cs="Times New Roman"/>
                <w:color w:val="000000"/>
                <w:sz w:val="18"/>
                <w:szCs w:val="18"/>
              </w:rPr>
              <w:t xml:space="preserve"> </w:t>
            </w:r>
            <w:r w:rsidRPr="00E526A6">
              <w:rPr>
                <w:rFonts w:eastAsia="Calibri" w:cs="Times New Roman"/>
                <w:color w:val="000000"/>
                <w:sz w:val="18"/>
                <w:szCs w:val="18"/>
              </w:rPr>
              <w:t xml:space="preserve">BA_NS MHD_I, časť </w:t>
            </w:r>
            <w:proofErr w:type="spellStart"/>
            <w:r w:rsidRPr="00E526A6">
              <w:rPr>
                <w:rFonts w:eastAsia="Calibri" w:cs="Times New Roman"/>
                <w:color w:val="000000"/>
                <w:sz w:val="18"/>
                <w:szCs w:val="18"/>
              </w:rPr>
              <w:t>Bosáková</w:t>
            </w:r>
            <w:proofErr w:type="spellEnd"/>
            <w:r w:rsidRPr="00E526A6">
              <w:rPr>
                <w:rFonts w:eastAsia="Calibri" w:cs="Times New Roman"/>
                <w:color w:val="000000"/>
                <w:sz w:val="18"/>
                <w:szCs w:val="18"/>
              </w:rPr>
              <w:t xml:space="preserve"> – Šafárikovo nám., BA_NS MHD_II, časť </w:t>
            </w:r>
            <w:proofErr w:type="spellStart"/>
            <w:r w:rsidRPr="00E526A6">
              <w:rPr>
                <w:rFonts w:eastAsia="Calibri" w:cs="Times New Roman"/>
                <w:color w:val="000000"/>
                <w:sz w:val="18"/>
                <w:szCs w:val="18"/>
              </w:rPr>
              <w:t>Bosákova</w:t>
            </w:r>
            <w:proofErr w:type="spellEnd"/>
            <w:r w:rsidRPr="00E526A6">
              <w:rPr>
                <w:rFonts w:eastAsia="Calibri" w:cs="Times New Roman"/>
                <w:color w:val="000000"/>
                <w:sz w:val="18"/>
                <w:szCs w:val="18"/>
              </w:rPr>
              <w:t xml:space="preserve"> – Janíkov Dvor, KE_MET_II, 1. časť.</w:t>
            </w:r>
          </w:p>
          <w:p w14:paraId="67E3A20E" w14:textId="08CD0389" w:rsidR="00CF78E2" w:rsidRDefault="00CF78E2" w:rsidP="0025552C">
            <w:pPr>
              <w:pStyle w:val="Popis"/>
              <w:keepNext/>
              <w:jc w:val="left"/>
              <w:rPr>
                <w:sz w:val="18"/>
              </w:rPr>
            </w:pPr>
            <w:r w:rsidRPr="00512FE6">
              <w:rPr>
                <w:sz w:val="18"/>
              </w:rPr>
              <w:t>Schéma 1:  Realizácia veľkých projektov v samospráve v rokoch 2007 – 2027</w:t>
            </w:r>
          </w:p>
          <w:p w14:paraId="3C0D5C70" w14:textId="12897095" w:rsidR="00B51FCD" w:rsidRPr="00B51FCD" w:rsidRDefault="00B51FCD" w:rsidP="00B51FCD">
            <w:r>
              <w:rPr>
                <w:noProof/>
                <w:lang w:eastAsia="sk-SK"/>
              </w:rPr>
              <w:drawing>
                <wp:inline distT="0" distB="0" distL="0" distR="0" wp14:anchorId="3DB0BD26" wp14:editId="414B639A">
                  <wp:extent cx="5591175" cy="1590040"/>
                  <wp:effectExtent l="0" t="0" r="9525"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ma 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03588" cy="1593570"/>
                          </a:xfrm>
                          <a:prstGeom prst="rect">
                            <a:avLst/>
                          </a:prstGeom>
                        </pic:spPr>
                      </pic:pic>
                    </a:graphicData>
                  </a:graphic>
                </wp:inline>
              </w:drawing>
            </w:r>
          </w:p>
          <w:p w14:paraId="3201D816" w14:textId="5DCC3272" w:rsidR="00512FE6" w:rsidRDefault="00CF78E2" w:rsidP="0035229D">
            <w:pPr>
              <w:pStyle w:val="Zdroj"/>
              <w:rPr>
                <w:lang w:eastAsia="sk-SK"/>
              </w:rPr>
            </w:pPr>
            <w:r w:rsidRPr="00E526A6">
              <w:rPr>
                <w:lang w:eastAsia="sk-SK"/>
              </w:rPr>
              <w:t>Zdroj:</w:t>
            </w:r>
            <w:r w:rsidR="00512FE6">
              <w:rPr>
                <w:lang w:eastAsia="sk-SK"/>
              </w:rPr>
              <w:t xml:space="preserve"> v</w:t>
            </w:r>
            <w:r w:rsidRPr="00E526A6">
              <w:rPr>
                <w:lang w:eastAsia="sk-SK"/>
              </w:rPr>
              <w:t>lastné sprac</w:t>
            </w:r>
            <w:r w:rsidR="00E36A1F">
              <w:rPr>
                <w:lang w:eastAsia="sk-SK"/>
              </w:rPr>
              <w:t>ovan</w:t>
            </w:r>
            <w:r w:rsidR="00512FE6">
              <w:rPr>
                <w:lang w:eastAsia="sk-SK"/>
              </w:rPr>
              <w:t>ie</w:t>
            </w:r>
            <w:r w:rsidR="00B51FCD">
              <w:rPr>
                <w:lang w:eastAsia="sk-SK"/>
              </w:rPr>
              <w:t xml:space="preserve"> NKÚ SR.</w:t>
            </w:r>
          </w:p>
          <w:p w14:paraId="2E009BCE" w14:textId="14FB9FDD" w:rsidR="00CF78E2" w:rsidRPr="00E36A1F" w:rsidRDefault="00CF78E2" w:rsidP="00387EA0">
            <w:pPr>
              <w:rPr>
                <w:rFonts w:eastAsia="Times New Roman" w:cs="Segoe UI"/>
                <w:i/>
                <w:iCs/>
                <w:color w:val="44546A"/>
                <w:sz w:val="18"/>
                <w:szCs w:val="18"/>
                <w:lang w:eastAsia="sk-SK"/>
              </w:rPr>
            </w:pPr>
            <w:r w:rsidRPr="00E526A6">
              <w:rPr>
                <w:rFonts w:eastAsia="Calibri" w:cs="Segoe UI"/>
                <w:color w:val="000000"/>
                <w:sz w:val="18"/>
                <w:szCs w:val="18"/>
              </w:rPr>
              <w:t xml:space="preserve">Predĺženie električkovej trate NS MHD_II malo byť hotové do konca roku 2023. </w:t>
            </w:r>
            <w:proofErr w:type="spellStart"/>
            <w:r w:rsidRPr="00E526A6">
              <w:rPr>
                <w:rFonts w:eastAsia="Calibri" w:cs="Segoe UI"/>
                <w:color w:val="000000"/>
                <w:sz w:val="18"/>
                <w:szCs w:val="18"/>
              </w:rPr>
              <w:t>Fázovanie</w:t>
            </w:r>
            <w:proofErr w:type="spellEnd"/>
            <w:r w:rsidRPr="00E526A6">
              <w:rPr>
                <w:rFonts w:eastAsia="Calibri" w:cs="Segoe UI"/>
                <w:color w:val="000000"/>
                <w:sz w:val="18"/>
                <w:szCs w:val="18"/>
              </w:rPr>
              <w:t xml:space="preserve"> je iba záložným plánom</w:t>
            </w:r>
            <w:r w:rsidR="00E526A6">
              <w:rPr>
                <w:rFonts w:eastAsia="Calibri" w:cs="Segoe UI"/>
                <w:color w:val="000000"/>
                <w:sz w:val="18"/>
                <w:szCs w:val="18"/>
              </w:rPr>
              <w:t>,</w:t>
            </w:r>
            <w:r w:rsidR="00E36A1F">
              <w:rPr>
                <w:rFonts w:eastAsia="Calibri" w:cs="Segoe UI"/>
                <w:color w:val="000000"/>
                <w:sz w:val="18"/>
                <w:szCs w:val="18"/>
              </w:rPr>
              <w:t xml:space="preserve"> ktor</w:t>
            </w:r>
            <w:r w:rsidR="00AC6426">
              <w:rPr>
                <w:rFonts w:eastAsia="Calibri" w:cs="Segoe UI"/>
                <w:color w:val="000000"/>
                <w:sz w:val="18"/>
                <w:szCs w:val="18"/>
              </w:rPr>
              <w:t>ý</w:t>
            </w:r>
            <w:r w:rsidRPr="00E526A6">
              <w:rPr>
                <w:rFonts w:eastAsia="Calibri" w:cs="Segoe UI"/>
                <w:color w:val="000000"/>
                <w:sz w:val="18"/>
                <w:szCs w:val="18"/>
              </w:rPr>
              <w:t xml:space="preserve"> sa spúšťa za presne zadefinovaných podmienok.</w:t>
            </w:r>
            <w:r w:rsidRPr="00E526A6">
              <w:rPr>
                <w:rFonts w:eastAsia="Calibri" w:cs="Segoe UI"/>
                <w:color w:val="000000"/>
                <w:sz w:val="18"/>
                <w:szCs w:val="18"/>
                <w:vertAlign w:val="superscript"/>
              </w:rPr>
              <w:footnoteReference w:id="48"/>
            </w:r>
            <w:r w:rsidRPr="00E526A6">
              <w:rPr>
                <w:rFonts w:eastAsia="Calibri" w:cs="Segoe UI"/>
                <w:color w:val="000000"/>
                <w:sz w:val="18"/>
                <w:szCs w:val="18"/>
              </w:rPr>
              <w:t xml:space="preserve"> Financovanie tohto projektu z OP Slovensko (PO 2021</w:t>
            </w:r>
            <w:r w:rsidR="00E526A6">
              <w:rPr>
                <w:rFonts w:eastAsia="Calibri" w:cs="Segoe UI"/>
                <w:color w:val="000000"/>
                <w:sz w:val="18"/>
                <w:szCs w:val="18"/>
              </w:rPr>
              <w:t xml:space="preserve"> – </w:t>
            </w:r>
            <w:r w:rsidRPr="00E526A6">
              <w:rPr>
                <w:rFonts w:eastAsia="Calibri" w:cs="Segoe UI"/>
                <w:color w:val="000000"/>
                <w:sz w:val="18"/>
                <w:szCs w:val="18"/>
              </w:rPr>
              <w:t>2027) bude realizované na úkor iných projektov, ktoré mohli byť spustené v rámci nového PO.</w:t>
            </w:r>
          </w:p>
        </w:tc>
      </w:tr>
    </w:tbl>
    <w:p w14:paraId="045756E9" w14:textId="60E4C15C" w:rsidR="00AC6426" w:rsidRPr="00F754E4" w:rsidRDefault="00131776" w:rsidP="002C027A">
      <w:pPr>
        <w:pStyle w:val="Nadpis2"/>
      </w:pPr>
      <w:bookmarkStart w:id="42" w:name="_Toc136418414"/>
      <w:r>
        <w:lastRenderedPageBreak/>
        <w:t xml:space="preserve">5.2 </w:t>
      </w:r>
      <w:r w:rsidR="00AC6426">
        <w:t xml:space="preserve">PO 2021 – </w:t>
      </w:r>
      <w:r w:rsidR="00AC6426" w:rsidRPr="00F754E4">
        <w:t>2027</w:t>
      </w:r>
      <w:r w:rsidR="00AC6426">
        <w:t xml:space="preserve"> a Plán obnovy odolnosti</w:t>
      </w:r>
      <w:bookmarkEnd w:id="42"/>
    </w:p>
    <w:p w14:paraId="2022A1E5" w14:textId="64CE0101" w:rsidR="0086527E" w:rsidRDefault="0086527E" w:rsidP="000F0907">
      <w:pPr>
        <w:rPr>
          <w:rFonts w:eastAsia="Calibri" w:cs="Segoe UI"/>
          <w:color w:val="000000"/>
        </w:rPr>
      </w:pPr>
      <w:r w:rsidRPr="00C60492">
        <w:rPr>
          <w:rFonts w:eastAsia="Calibri" w:cs="Segoe UI"/>
          <w:color w:val="000000"/>
        </w:rPr>
        <w:t xml:space="preserve">PO 2021 </w:t>
      </w:r>
      <w:r>
        <w:rPr>
          <w:rFonts w:eastAsia="Calibri" w:cs="Segoe UI"/>
          <w:color w:val="000000"/>
        </w:rPr>
        <w:t xml:space="preserve">– </w:t>
      </w:r>
      <w:r w:rsidRPr="00C60492">
        <w:rPr>
          <w:rFonts w:eastAsia="Calibri" w:cs="Segoe UI"/>
          <w:color w:val="000000"/>
        </w:rPr>
        <w:t xml:space="preserve"> 2027 a POO predstavujú možnosť čerpať ďalšie prostriedky</w:t>
      </w:r>
      <w:r w:rsidR="0046701B">
        <w:rPr>
          <w:rFonts w:eastAsia="Calibri" w:cs="Segoe UI"/>
          <w:color w:val="000000"/>
          <w:lang w:val="en-US"/>
        </w:rPr>
        <w:t>;</w:t>
      </w:r>
      <w:r w:rsidRPr="00C60492">
        <w:rPr>
          <w:rFonts w:eastAsia="Calibri" w:cs="Segoe UI"/>
          <w:color w:val="000000"/>
        </w:rPr>
        <w:t xml:space="preserve"> vzniká tak súbeh implementácie nových nástrojov EÚ s dočerpávaním prostriedkov </w:t>
      </w:r>
      <w:r>
        <w:rPr>
          <w:rFonts w:eastAsia="Calibri" w:cs="Segoe UI"/>
          <w:color w:val="000000"/>
        </w:rPr>
        <w:t xml:space="preserve">z </w:t>
      </w:r>
      <w:r w:rsidRPr="00C60492">
        <w:rPr>
          <w:rFonts w:eastAsia="Calibri" w:cs="Segoe UI"/>
          <w:color w:val="000000"/>
        </w:rPr>
        <w:t>PO 2014</w:t>
      </w:r>
      <w:r>
        <w:rPr>
          <w:rFonts w:eastAsia="Calibri" w:cs="Segoe UI"/>
          <w:color w:val="000000"/>
        </w:rPr>
        <w:t xml:space="preserve"> – </w:t>
      </w:r>
      <w:r w:rsidRPr="00C60492">
        <w:rPr>
          <w:rFonts w:eastAsia="Calibri" w:cs="Segoe UI"/>
          <w:color w:val="000000"/>
        </w:rPr>
        <w:t xml:space="preserve">2020, čím vzniká riziko posúvania implementácie nového PO, ako </w:t>
      </w:r>
      <w:r>
        <w:rPr>
          <w:rFonts w:eastAsia="Calibri" w:cs="Segoe UI"/>
          <w:color w:val="000000"/>
        </w:rPr>
        <w:t>a</w:t>
      </w:r>
      <w:r w:rsidRPr="00C60492">
        <w:rPr>
          <w:rFonts w:eastAsia="Calibri" w:cs="Segoe UI"/>
          <w:color w:val="000000"/>
        </w:rPr>
        <w:t xml:space="preserve">j zvýšený tlak na efektívnu koordináciu všetkých nástrojov. </w:t>
      </w:r>
    </w:p>
    <w:p w14:paraId="0A95D53D" w14:textId="47AC847B" w:rsidR="00EB0030" w:rsidRDefault="000F0907" w:rsidP="00EB0030">
      <w:pPr>
        <w:rPr>
          <w:rFonts w:eastAsia="Calibri" w:cs="Segoe UI"/>
          <w:color w:val="000000"/>
        </w:rPr>
      </w:pPr>
      <w:r w:rsidRPr="003C19F0">
        <w:rPr>
          <w:rFonts w:eastAsia="Calibri" w:cs="Segoe UI"/>
          <w:b/>
          <w:color w:val="000000"/>
        </w:rPr>
        <w:t>Počas roka 2022 nebola spustená reálna implementácia OP Slovensko a programov cezhrani</w:t>
      </w:r>
      <w:r w:rsidR="007A33DA">
        <w:rPr>
          <w:rFonts w:eastAsia="Calibri" w:cs="Segoe UI"/>
          <w:b/>
          <w:color w:val="000000"/>
        </w:rPr>
        <w:t xml:space="preserve">čnej spolupráce v novom PO 2021 – </w:t>
      </w:r>
      <w:r w:rsidRPr="003C19F0">
        <w:rPr>
          <w:rFonts w:eastAsia="Calibri" w:cs="Segoe UI"/>
          <w:b/>
          <w:color w:val="000000"/>
        </w:rPr>
        <w:t>2027</w:t>
      </w:r>
      <w:r w:rsidR="003C19F0" w:rsidRPr="003C19F0">
        <w:rPr>
          <w:rFonts w:eastAsia="Calibri" w:cs="Segoe UI"/>
          <w:b/>
          <w:color w:val="000000"/>
        </w:rPr>
        <w:t xml:space="preserve"> a preto č</w:t>
      </w:r>
      <w:r w:rsidRPr="003C19F0">
        <w:rPr>
          <w:rFonts w:eastAsia="Calibri" w:cs="Segoe UI"/>
          <w:b/>
          <w:color w:val="000000"/>
        </w:rPr>
        <w:t>erpanie</w:t>
      </w:r>
      <w:r w:rsidRPr="00314500">
        <w:rPr>
          <w:rFonts w:eastAsia="Calibri" w:cs="Segoe UI"/>
          <w:b/>
          <w:color w:val="000000"/>
        </w:rPr>
        <w:t xml:space="preserve"> v rá</w:t>
      </w:r>
      <w:r w:rsidR="006372C4">
        <w:rPr>
          <w:rFonts w:eastAsia="Calibri" w:cs="Segoe UI"/>
          <w:b/>
          <w:color w:val="000000"/>
        </w:rPr>
        <w:t>mci tohto PO bolo</w:t>
      </w:r>
      <w:r w:rsidRPr="00314500">
        <w:rPr>
          <w:rFonts w:eastAsia="Calibri" w:cs="Segoe UI"/>
          <w:b/>
          <w:color w:val="000000"/>
        </w:rPr>
        <w:t xml:space="preserve"> nulové.</w:t>
      </w:r>
      <w:r w:rsidRPr="005F4E12">
        <w:rPr>
          <w:rFonts w:eastAsia="Calibri" w:cs="Segoe UI"/>
          <w:color w:val="000000"/>
        </w:rPr>
        <w:t xml:space="preserve"> Aj napriek tomu, že príjmy z fondov </w:t>
      </w:r>
      <w:r w:rsidR="006372C4">
        <w:rPr>
          <w:rFonts w:eastAsia="Calibri" w:cs="Segoe UI"/>
          <w:color w:val="000000"/>
        </w:rPr>
        <w:t xml:space="preserve">EÚ </w:t>
      </w:r>
      <w:r w:rsidRPr="005F4E12">
        <w:rPr>
          <w:rFonts w:eastAsia="Calibri" w:cs="Segoe UI"/>
          <w:color w:val="000000"/>
        </w:rPr>
        <w:t>(</w:t>
      </w:r>
      <w:r w:rsidR="006372C4">
        <w:rPr>
          <w:rFonts w:eastAsia="Calibri" w:cs="Segoe UI"/>
          <w:color w:val="000000"/>
        </w:rPr>
        <w:t>O</w:t>
      </w:r>
      <w:r w:rsidRPr="005F4E12">
        <w:rPr>
          <w:rFonts w:eastAsia="Calibri" w:cs="Segoe UI"/>
          <w:color w:val="000000"/>
        </w:rPr>
        <w:t xml:space="preserve">P Slovensko, </w:t>
      </w:r>
      <w:r w:rsidR="006372C4">
        <w:rPr>
          <w:rFonts w:eastAsia="Calibri" w:cs="Segoe UI"/>
          <w:color w:val="000000"/>
        </w:rPr>
        <w:t>O</w:t>
      </w:r>
      <w:r w:rsidRPr="005F4E12">
        <w:rPr>
          <w:rFonts w:eastAsia="Calibri" w:cs="Segoe UI"/>
          <w:color w:val="000000"/>
        </w:rPr>
        <w:t>P</w:t>
      </w:r>
      <w:r w:rsidR="006372C4">
        <w:rPr>
          <w:rFonts w:eastAsia="Calibri" w:cs="Segoe UI"/>
          <w:color w:val="000000"/>
        </w:rPr>
        <w:t xml:space="preserve"> </w:t>
      </w:r>
      <w:r w:rsidRPr="005F4E12">
        <w:rPr>
          <w:rFonts w:eastAsia="Calibri" w:cs="Segoe UI"/>
          <w:color w:val="000000"/>
        </w:rPr>
        <w:t xml:space="preserve">Rybné hospodárstvo a Fondy pre oblasť vnútorných záležitostí) v tomto </w:t>
      </w:r>
      <w:r w:rsidR="006372C4">
        <w:rPr>
          <w:rFonts w:eastAsia="Calibri" w:cs="Segoe UI"/>
          <w:color w:val="000000"/>
        </w:rPr>
        <w:t>PO</w:t>
      </w:r>
      <w:r w:rsidRPr="005F4E12">
        <w:rPr>
          <w:rFonts w:eastAsia="Calibri" w:cs="Segoe UI"/>
          <w:color w:val="000000"/>
        </w:rPr>
        <w:t xml:space="preserve"> boli rozpočtované na úrovni 63,9 mil. eur, skutočné plnenie príjmov rozpočtu bolo</w:t>
      </w:r>
      <w:r w:rsidR="008A57E1">
        <w:rPr>
          <w:rFonts w:eastAsia="Calibri" w:cs="Segoe UI"/>
          <w:color w:val="000000"/>
        </w:rPr>
        <w:t xml:space="preserve"> nulové</w:t>
      </w:r>
      <w:r w:rsidRPr="005F4E12">
        <w:rPr>
          <w:rFonts w:eastAsia="Calibri" w:cs="Segoe UI"/>
          <w:color w:val="000000"/>
        </w:rPr>
        <w:t xml:space="preserve">. </w:t>
      </w:r>
      <w:r w:rsidR="00EB0030" w:rsidRPr="005F4E12">
        <w:rPr>
          <w:rFonts w:eastAsia="Calibri" w:cs="Segoe UI"/>
          <w:color w:val="000000"/>
        </w:rPr>
        <w:t>Poľnohospodárske fondy v </w:t>
      </w:r>
      <w:r w:rsidR="00EB0030">
        <w:rPr>
          <w:rFonts w:eastAsia="Calibri" w:cs="Segoe UI"/>
          <w:color w:val="000000"/>
        </w:rPr>
        <w:t>tomto</w:t>
      </w:r>
      <w:r w:rsidR="00EB0030" w:rsidRPr="005F4E12">
        <w:rPr>
          <w:rFonts w:eastAsia="Calibri" w:cs="Segoe UI"/>
          <w:color w:val="000000"/>
        </w:rPr>
        <w:t xml:space="preserve"> </w:t>
      </w:r>
      <w:r w:rsidR="00EB0030">
        <w:rPr>
          <w:rFonts w:eastAsia="Calibri" w:cs="Segoe UI"/>
          <w:color w:val="000000"/>
        </w:rPr>
        <w:t>PO</w:t>
      </w:r>
      <w:r w:rsidR="00EB0030" w:rsidRPr="005F4E12">
        <w:rPr>
          <w:rFonts w:eastAsia="Calibri" w:cs="Segoe UI"/>
          <w:color w:val="000000"/>
        </w:rPr>
        <w:t xml:space="preserve"> </w:t>
      </w:r>
      <w:r w:rsidR="0046701B">
        <w:rPr>
          <w:rFonts w:eastAsia="Calibri" w:cs="Segoe UI"/>
          <w:color w:val="000000"/>
        </w:rPr>
        <w:t>pre</w:t>
      </w:r>
      <w:r w:rsidR="00EB0030">
        <w:rPr>
          <w:rFonts w:eastAsia="Calibri" w:cs="Segoe UI"/>
          <w:color w:val="000000"/>
        </w:rPr>
        <w:t> rok 2022 neboli rozpočtované.</w:t>
      </w:r>
    </w:p>
    <w:p w14:paraId="0750DBF9" w14:textId="10C92A11" w:rsidR="00225746" w:rsidRPr="00225746" w:rsidRDefault="008A57E1" w:rsidP="000F0907">
      <w:pPr>
        <w:rPr>
          <w:rFonts w:eastAsia="Calibri" w:cs="Segoe UI"/>
          <w:b/>
        </w:rPr>
      </w:pPr>
      <w:r>
        <w:rPr>
          <w:rFonts w:eastAsia="Calibri" w:cs="Segoe UI"/>
          <w:color w:val="000000"/>
        </w:rPr>
        <w:t>S</w:t>
      </w:r>
      <w:r w:rsidR="000F0907" w:rsidRPr="005F4E12">
        <w:rPr>
          <w:rFonts w:eastAsia="Calibri" w:cs="Segoe UI"/>
          <w:color w:val="000000"/>
        </w:rPr>
        <w:t xml:space="preserve">imultánne </w:t>
      </w:r>
      <w:r>
        <w:rPr>
          <w:rFonts w:eastAsia="Calibri" w:cs="Segoe UI"/>
          <w:color w:val="000000"/>
        </w:rPr>
        <w:t xml:space="preserve">s prostriedkami z PO 2021 – 2027 je potrebné </w:t>
      </w:r>
      <w:r w:rsidR="000F0907" w:rsidRPr="005F4E12">
        <w:rPr>
          <w:rFonts w:eastAsia="Calibri" w:cs="Segoe UI"/>
          <w:color w:val="000000"/>
        </w:rPr>
        <w:t xml:space="preserve">čerpať aj </w:t>
      </w:r>
      <w:r>
        <w:rPr>
          <w:rFonts w:eastAsia="Calibri" w:cs="Segoe UI"/>
          <w:color w:val="000000"/>
        </w:rPr>
        <w:t xml:space="preserve">prostriedky z </w:t>
      </w:r>
      <w:r w:rsidR="007A33DA">
        <w:rPr>
          <w:rFonts w:eastAsia="Calibri" w:cs="Segoe UI"/>
          <w:color w:val="000000"/>
        </w:rPr>
        <w:t>P</w:t>
      </w:r>
      <w:r w:rsidR="007D05C1">
        <w:rPr>
          <w:rFonts w:eastAsia="Calibri" w:cs="Segoe UI"/>
          <w:color w:val="000000"/>
        </w:rPr>
        <w:t>OO</w:t>
      </w:r>
      <w:r>
        <w:rPr>
          <w:rFonts w:eastAsia="Calibri" w:cs="Segoe UI"/>
          <w:color w:val="000000"/>
        </w:rPr>
        <w:t>, ktoré</w:t>
      </w:r>
      <w:r w:rsidR="000F0907" w:rsidRPr="005F4E12">
        <w:rPr>
          <w:rFonts w:eastAsia="Calibri" w:cs="Segoe UI"/>
          <w:color w:val="000000"/>
        </w:rPr>
        <w:t xml:space="preserve"> sa S</w:t>
      </w:r>
      <w:r w:rsidR="007A33DA">
        <w:rPr>
          <w:rFonts w:eastAsia="Calibri" w:cs="Segoe UI"/>
          <w:color w:val="000000"/>
        </w:rPr>
        <w:t>R</w:t>
      </w:r>
      <w:r w:rsidR="000F0907" w:rsidRPr="005F4E12">
        <w:rPr>
          <w:rFonts w:eastAsia="Calibri" w:cs="Segoe UI"/>
          <w:color w:val="000000"/>
        </w:rPr>
        <w:t xml:space="preserve"> zaviazala minúť do roku 2026. </w:t>
      </w:r>
      <w:r w:rsidR="000F0907" w:rsidRPr="0095134F">
        <w:rPr>
          <w:rFonts w:eastAsia="Calibri" w:cs="Segoe UI"/>
          <w:b/>
        </w:rPr>
        <w:t>Príjmy z P</w:t>
      </w:r>
      <w:r w:rsidR="007D05C1">
        <w:rPr>
          <w:rFonts w:eastAsia="Calibri" w:cs="Segoe UI"/>
          <w:b/>
        </w:rPr>
        <w:t>OO</w:t>
      </w:r>
      <w:r w:rsidR="000F0907" w:rsidRPr="0095134F">
        <w:rPr>
          <w:rFonts w:eastAsia="Calibri" w:cs="Segoe UI"/>
          <w:b/>
        </w:rPr>
        <w:t xml:space="preserve"> boli </w:t>
      </w:r>
      <w:r w:rsidR="007D05C1">
        <w:rPr>
          <w:rFonts w:eastAsia="Calibri" w:cs="Segoe UI"/>
          <w:b/>
        </w:rPr>
        <w:t xml:space="preserve">pôvodne </w:t>
      </w:r>
      <w:r w:rsidR="000F0907" w:rsidRPr="0095134F">
        <w:rPr>
          <w:rFonts w:eastAsia="Calibri" w:cs="Segoe UI"/>
          <w:b/>
        </w:rPr>
        <w:t>rozpočtované v roku 2022 v 13 kapitolách ŠR vo výške 1,3 mld. eur</w:t>
      </w:r>
      <w:r w:rsidR="007A33DA" w:rsidRPr="0095134F">
        <w:rPr>
          <w:rFonts w:eastAsia="Calibri" w:cs="Segoe UI"/>
          <w:b/>
        </w:rPr>
        <w:t>, a</w:t>
      </w:r>
      <w:r w:rsidR="000F0907" w:rsidRPr="0095134F">
        <w:rPr>
          <w:rFonts w:eastAsia="Calibri" w:cs="Segoe UI"/>
          <w:b/>
        </w:rPr>
        <w:t xml:space="preserve">však skutočné plnenie </w:t>
      </w:r>
      <w:r w:rsidR="0095134F" w:rsidRPr="00797CA1">
        <w:rPr>
          <w:rFonts w:eastAsia="Calibri" w:cs="Segoe UI"/>
          <w:b/>
        </w:rPr>
        <w:t>predstavovalo k</w:t>
      </w:r>
      <w:r w:rsidR="0095134F">
        <w:rPr>
          <w:rFonts w:eastAsia="Calibri" w:cs="Segoe UI"/>
          <w:b/>
        </w:rPr>
        <w:t>u koncu minulého roka</w:t>
      </w:r>
      <w:r w:rsidR="0095134F" w:rsidRPr="00797CA1">
        <w:rPr>
          <w:rFonts w:eastAsia="Calibri" w:cs="Segoe UI"/>
          <w:b/>
        </w:rPr>
        <w:t xml:space="preserve"> 3,76 %</w:t>
      </w:r>
      <w:r w:rsidR="0095134F">
        <w:rPr>
          <w:rFonts w:eastAsia="Calibri" w:cs="Segoe UI"/>
        </w:rPr>
        <w:t xml:space="preserve">, </w:t>
      </w:r>
      <w:r w:rsidR="0095134F" w:rsidRPr="008265EF">
        <w:rPr>
          <w:rFonts w:eastAsia="Calibri" w:cs="Segoe UI"/>
          <w:b/>
        </w:rPr>
        <w:t>t. j.</w:t>
      </w:r>
      <w:r w:rsidR="000F0907" w:rsidRPr="008265EF">
        <w:rPr>
          <w:rFonts w:eastAsia="Calibri" w:cs="Segoe UI"/>
          <w:b/>
        </w:rPr>
        <w:t xml:space="preserve"> 49 mil. </w:t>
      </w:r>
      <w:r w:rsidR="000F0907" w:rsidRPr="002F2116">
        <w:rPr>
          <w:rFonts w:eastAsia="Calibri" w:cs="Segoe UI"/>
          <w:b/>
        </w:rPr>
        <w:t>eur, z toho kapitálové výdavky len 2,</w:t>
      </w:r>
      <w:r w:rsidR="00EB0030" w:rsidRPr="002F2116">
        <w:rPr>
          <w:rFonts w:eastAsia="Calibri" w:cs="Segoe UI"/>
          <w:b/>
        </w:rPr>
        <w:t>3 mil. eur</w:t>
      </w:r>
      <w:r w:rsidR="002F2116">
        <w:rPr>
          <w:rFonts w:eastAsia="Calibri" w:cs="Segoe UI"/>
          <w:b/>
        </w:rPr>
        <w:t>.</w:t>
      </w:r>
      <w:r w:rsidR="000F0907" w:rsidRPr="0095134F">
        <w:rPr>
          <w:rFonts w:eastAsia="Calibri" w:cs="Segoe UI"/>
        </w:rPr>
        <w:t xml:space="preserve"> Vykoná</w:t>
      </w:r>
      <w:r w:rsidR="000F0907" w:rsidRPr="005F4E12">
        <w:rPr>
          <w:rFonts w:eastAsia="Calibri" w:cs="Segoe UI"/>
        </w:rPr>
        <w:t>vatelia P</w:t>
      </w:r>
      <w:r w:rsidR="0095134F">
        <w:rPr>
          <w:rFonts w:eastAsia="Calibri" w:cs="Segoe UI"/>
        </w:rPr>
        <w:t>OO</w:t>
      </w:r>
      <w:r w:rsidR="000F0907" w:rsidRPr="005F4E12">
        <w:rPr>
          <w:rFonts w:eastAsia="Calibri" w:cs="Segoe UI"/>
        </w:rPr>
        <w:t xml:space="preserve"> aplikovali zásadu rozpočtového krytia</w:t>
      </w:r>
      <w:r w:rsidR="002F2116">
        <w:rPr>
          <w:rFonts w:eastAsia="Calibri" w:cs="Segoe UI"/>
        </w:rPr>
        <w:t>,</w:t>
      </w:r>
      <w:r w:rsidR="000F0907" w:rsidRPr="005F4E12">
        <w:rPr>
          <w:rFonts w:eastAsia="Calibri" w:cs="Segoe UI"/>
        </w:rPr>
        <w:t xml:space="preserve"> na základe ktorého vzniká rozdiel medzi rozpočtovanými </w:t>
      </w:r>
      <w:r w:rsidR="0095134F">
        <w:rPr>
          <w:rFonts w:eastAsia="Calibri" w:cs="Segoe UI"/>
        </w:rPr>
        <w:t>výdavkami a skutočným čerpaním.</w:t>
      </w:r>
      <w:r w:rsidR="00225746">
        <w:rPr>
          <w:rFonts w:eastAsia="Calibri" w:cs="Segoe UI"/>
        </w:rPr>
        <w:t xml:space="preserve"> </w:t>
      </w:r>
      <w:r w:rsidR="00225746" w:rsidRPr="00225746">
        <w:rPr>
          <w:rFonts w:eastAsia="Calibri" w:cs="Segoe UI"/>
          <w:b/>
        </w:rPr>
        <w:t>Výdavky z POO sa rozpočtujú už v čase vyhlasovania výziev a priamych vyzvaní, avšak samotné výdavky na základe týchto vyhlásených výziev a priamych vyzvaní môžu vzniknúť až v nasledujúcich rozpočtových rokoch.</w:t>
      </w:r>
    </w:p>
    <w:p w14:paraId="4951FB83" w14:textId="3FDBCF6D" w:rsidR="007D05C1" w:rsidRPr="00540BC2" w:rsidRDefault="007D05C1" w:rsidP="007D05C1">
      <w:pPr>
        <w:rPr>
          <w:rFonts w:eastAsia="Calibri" w:cs="Segoe UI"/>
          <w:b/>
        </w:rPr>
      </w:pPr>
      <w:r w:rsidRPr="00B558B8">
        <w:rPr>
          <w:rFonts w:eastAsia="Calibri" w:cs="Segoe UI"/>
          <w:b/>
        </w:rPr>
        <w:t>Z</w:t>
      </w:r>
      <w:r>
        <w:rPr>
          <w:rFonts w:eastAsia="Calibri" w:cs="Segoe UI"/>
          <w:b/>
        </w:rPr>
        <w:t xml:space="preserve"> celkového</w:t>
      </w:r>
      <w:r w:rsidRPr="00B558B8">
        <w:rPr>
          <w:rFonts w:eastAsia="Calibri" w:cs="Segoe UI"/>
          <w:b/>
        </w:rPr>
        <w:t xml:space="preserve"> čerpania </w:t>
      </w:r>
      <w:r>
        <w:rPr>
          <w:rFonts w:eastAsia="Calibri" w:cs="Segoe UI"/>
          <w:b/>
        </w:rPr>
        <w:t xml:space="preserve">z POO v roku 2022 </w:t>
      </w:r>
      <w:r w:rsidRPr="00540BC2">
        <w:rPr>
          <w:rFonts w:eastAsia="Calibri" w:cs="Segoe UI"/>
        </w:rPr>
        <w:t>(49 mil. eur)</w:t>
      </w:r>
      <w:r>
        <w:rPr>
          <w:rFonts w:eastAsia="Calibri" w:cs="Segoe UI"/>
          <w:b/>
        </w:rPr>
        <w:t>,</w:t>
      </w:r>
      <w:r w:rsidRPr="00B558B8">
        <w:rPr>
          <w:rFonts w:eastAsia="Calibri" w:cs="Segoe UI"/>
          <w:b/>
        </w:rPr>
        <w:t xml:space="preserve"> takmer 920 tis. eur išlo len na odmeny zamestnancom</w:t>
      </w:r>
      <w:r>
        <w:rPr>
          <w:rFonts w:eastAsia="Calibri" w:cs="Segoe UI"/>
          <w:b/>
        </w:rPr>
        <w:t xml:space="preserve"> v štátnej správe.</w:t>
      </w:r>
      <w:r w:rsidRPr="00B558B8">
        <w:rPr>
          <w:rFonts w:eastAsia="Calibri" w:cs="Segoe UI"/>
          <w:b/>
        </w:rPr>
        <w:t xml:space="preserve"> </w:t>
      </w:r>
      <w:r>
        <w:rPr>
          <w:rFonts w:eastAsia="Calibri" w:cs="Segoe UI"/>
          <w:b/>
        </w:rPr>
        <w:t>V</w:t>
      </w:r>
      <w:r w:rsidRPr="00B558B8">
        <w:rPr>
          <w:rFonts w:eastAsia="Calibri" w:cs="Segoe UI"/>
          <w:b/>
        </w:rPr>
        <w:t>ýška odmien v pôvodne schválenom rozpočte bola 174,6 tis. eur</w:t>
      </w:r>
      <w:r w:rsidRPr="00C60492">
        <w:rPr>
          <w:rFonts w:eastAsia="Calibri" w:cs="Segoe UI"/>
        </w:rPr>
        <w:t>. Značnú časť odmien z POO financovalo MŠVVaŠ SR (407 tis. eur), MS SR (194 tis. eur), MIRRI SR (131 tis. eur), MH SR (59 tis. eur), MŽP SR (45 tis. eur), Na odmeny zamestnancov mimo pracovného pomeru</w:t>
      </w:r>
      <w:r>
        <w:rPr>
          <w:rStyle w:val="Odkaznapoznmkupodiarou"/>
          <w:rFonts w:eastAsia="Calibri" w:cs="Segoe UI"/>
        </w:rPr>
        <w:footnoteReference w:id="49"/>
      </w:r>
      <w:r w:rsidRPr="00C60492">
        <w:rPr>
          <w:rFonts w:eastAsia="Calibri" w:cs="Segoe UI"/>
        </w:rPr>
        <w:t xml:space="preserve"> sa čerpalo z POO za minulý rok spolu 701,7 tis. eur. Najviac na MIRRI SR (223,6 tis. eur), MŠVVaŠ SR (116,4 tis. eur), MS SR (115,9 tis. eur), Úrad vlády SR (106,3 tis. eur), MŽP SR (57,3 tis. eur), MK SR (40 tis. eur)</w:t>
      </w:r>
      <w:r>
        <w:rPr>
          <w:rFonts w:eastAsia="Calibri" w:cs="Segoe UI"/>
        </w:rPr>
        <w:t>.</w:t>
      </w:r>
    </w:p>
    <w:p w14:paraId="3E429CDB" w14:textId="30321F34" w:rsidR="0095134F" w:rsidRDefault="007D05C1" w:rsidP="0095134F">
      <w:pPr>
        <w:rPr>
          <w:rFonts w:eastAsia="Calibri" w:cs="Segoe UI"/>
        </w:rPr>
      </w:pPr>
      <w:r>
        <w:rPr>
          <w:rFonts w:eastAsia="Calibri" w:cs="Segoe UI"/>
          <w:b/>
          <w:color w:val="000000"/>
        </w:rPr>
        <w:t>K</w:t>
      </w:r>
      <w:r w:rsidR="00420ED9" w:rsidRPr="00314500">
        <w:rPr>
          <w:rFonts w:eastAsia="Calibri" w:cs="Segoe UI"/>
          <w:b/>
          <w:color w:val="000000"/>
        </w:rPr>
        <w:t xml:space="preserve">u koncu štvrťroka 2023 z 29 míľnikov </w:t>
      </w:r>
      <w:r w:rsidR="00420ED9">
        <w:rPr>
          <w:rFonts w:eastAsia="Calibri" w:cs="Segoe UI"/>
          <w:b/>
          <w:color w:val="000000"/>
        </w:rPr>
        <w:t xml:space="preserve">v rámci tretej žiadosti </w:t>
      </w:r>
      <w:r w:rsidR="00BA78E8">
        <w:rPr>
          <w:rFonts w:eastAsia="Calibri" w:cs="Segoe UI"/>
          <w:b/>
          <w:color w:val="000000"/>
        </w:rPr>
        <w:t xml:space="preserve">o platbu </w:t>
      </w:r>
      <w:r w:rsidR="00420ED9" w:rsidRPr="00314500">
        <w:rPr>
          <w:rFonts w:eastAsia="Calibri" w:cs="Segoe UI"/>
          <w:b/>
          <w:color w:val="000000"/>
        </w:rPr>
        <w:t xml:space="preserve">bolo splnených 14. </w:t>
      </w:r>
      <w:r w:rsidR="0095134F" w:rsidRPr="005F4E12">
        <w:rPr>
          <w:rFonts w:eastAsia="Calibri" w:cs="Segoe UI"/>
          <w:color w:val="000000"/>
        </w:rPr>
        <w:t>Na základe podpísanej dohody o financovaní medzi S</w:t>
      </w:r>
      <w:r w:rsidR="00420ED9">
        <w:rPr>
          <w:rFonts w:eastAsia="Calibri" w:cs="Segoe UI"/>
          <w:color w:val="000000"/>
        </w:rPr>
        <w:t>R</w:t>
      </w:r>
      <w:r w:rsidR="0095134F" w:rsidRPr="005F4E12">
        <w:rPr>
          <w:rFonts w:eastAsia="Calibri" w:cs="Segoe UI"/>
          <w:color w:val="000000"/>
        </w:rPr>
        <w:t xml:space="preserve"> a EK, prvé prostriedky v objeme 82</w:t>
      </w:r>
      <w:r w:rsidR="009859F8">
        <w:rPr>
          <w:rFonts w:eastAsia="Calibri" w:cs="Segoe UI"/>
          <w:color w:val="000000"/>
        </w:rPr>
        <w:t>2</w:t>
      </w:r>
      <w:r w:rsidR="0095134F" w:rsidRPr="005F4E12">
        <w:rPr>
          <w:rFonts w:eastAsia="Calibri" w:cs="Segoe UI"/>
          <w:color w:val="000000"/>
        </w:rPr>
        <w:t xml:space="preserve"> mil. eur</w:t>
      </w:r>
      <w:r w:rsidR="00AC6426">
        <w:rPr>
          <w:rStyle w:val="Odkaznapoznmkupodiarou"/>
          <w:rFonts w:eastAsia="Calibri" w:cs="Segoe UI"/>
          <w:color w:val="000000"/>
        </w:rPr>
        <w:footnoteReference w:id="50"/>
      </w:r>
      <w:r w:rsidR="0095134F" w:rsidRPr="005F4E12">
        <w:rPr>
          <w:rFonts w:eastAsia="Calibri" w:cs="Segoe UI"/>
          <w:color w:val="000000"/>
        </w:rPr>
        <w:t xml:space="preserve"> priš</w:t>
      </w:r>
      <w:r w:rsidR="0095134F">
        <w:rPr>
          <w:rFonts w:eastAsia="Calibri" w:cs="Segoe UI"/>
          <w:color w:val="000000"/>
        </w:rPr>
        <w:t>li už v októbri 2021</w:t>
      </w:r>
      <w:r w:rsidR="0095134F" w:rsidRPr="005F4E12">
        <w:rPr>
          <w:rFonts w:eastAsia="Calibri" w:cs="Segoe UI"/>
          <w:color w:val="000000"/>
        </w:rPr>
        <w:t xml:space="preserve">. </w:t>
      </w:r>
      <w:r w:rsidR="009859F8">
        <w:rPr>
          <w:rFonts w:eastAsia="Calibri" w:cs="Segoe UI"/>
          <w:color w:val="000000"/>
        </w:rPr>
        <w:t xml:space="preserve">Prostriedky za splnenie míľnikov v prvej žiadosti o platbu prišli v lete 2022 v objeme takmer 400 mil. eur. </w:t>
      </w:r>
      <w:r w:rsidR="0095134F" w:rsidRPr="005F4E12">
        <w:rPr>
          <w:rFonts w:eastAsia="Calibri" w:cs="Segoe UI"/>
          <w:color w:val="000000"/>
        </w:rPr>
        <w:t>Druhú žiadosť o platbu si podala SR na jeseň 2022 vo výške takmer 815 mil. eur</w:t>
      </w:r>
      <w:r w:rsidR="00AC6426">
        <w:rPr>
          <w:rStyle w:val="Odkaznapoznmkupodiarou"/>
          <w:rFonts w:eastAsia="Calibri" w:cs="Segoe UI"/>
          <w:color w:val="000000"/>
        </w:rPr>
        <w:footnoteReference w:id="51"/>
      </w:r>
      <w:r w:rsidR="0095134F" w:rsidRPr="005F4E12">
        <w:rPr>
          <w:rFonts w:eastAsia="Calibri" w:cs="Segoe UI"/>
          <w:color w:val="000000"/>
        </w:rPr>
        <w:t>. Medzi najväčšie reformy v druhej žiadosti o platbu patrí reforma siete nemocníc, reforma dohľadu nad zdravotnou starostlivosťou, zákon o odpadoch a ochrana životného pr</w:t>
      </w:r>
      <w:r w:rsidR="0095134F">
        <w:rPr>
          <w:rFonts w:eastAsia="Calibri" w:cs="Segoe UI"/>
          <w:color w:val="000000"/>
        </w:rPr>
        <w:t>ostredia. Na jar 2023 pracuje SR</w:t>
      </w:r>
      <w:r w:rsidR="0095134F" w:rsidRPr="005F4E12">
        <w:rPr>
          <w:rFonts w:eastAsia="Calibri" w:cs="Segoe UI"/>
          <w:color w:val="000000"/>
        </w:rPr>
        <w:t xml:space="preserve"> na plnení míľnikov v rámci tretej žiadosti o platbu v celkovej výške 814 mil. eur. Medzi najväčšie reformy v tejto žiadosti môžeme zaradiť oblasť digitalizácie, školstva, vedy,</w:t>
      </w:r>
      <w:r w:rsidR="00420ED9">
        <w:rPr>
          <w:rFonts w:eastAsia="Calibri" w:cs="Segoe UI"/>
          <w:color w:val="000000"/>
        </w:rPr>
        <w:t xml:space="preserve"> výskumu, dopravy a energetiky.</w:t>
      </w:r>
    </w:p>
    <w:p w14:paraId="2D722630" w14:textId="55E0972F" w:rsidR="00512FE6" w:rsidRDefault="00BB288E" w:rsidP="00BB288E">
      <w:pPr>
        <w:rPr>
          <w:rFonts w:eastAsia="Calibri" w:cs="Segoe UI"/>
        </w:rPr>
      </w:pPr>
      <w:r w:rsidRPr="004E4975">
        <w:rPr>
          <w:rFonts w:eastAsia="Calibri" w:cs="Segoe UI"/>
          <w:b/>
        </w:rPr>
        <w:t>Najväčší objem z pôvodne rozpočtovaných 1,3 mld. eur malo smerovať do oblasti školstva, zdravotníctv</w:t>
      </w:r>
      <w:r>
        <w:rPr>
          <w:rFonts w:eastAsia="Calibri" w:cs="Segoe UI"/>
          <w:b/>
        </w:rPr>
        <w:t xml:space="preserve">a a životného prostredia </w:t>
      </w:r>
      <w:r w:rsidRPr="00BB288E">
        <w:rPr>
          <w:rFonts w:eastAsia="Calibri" w:cs="Segoe UI"/>
        </w:rPr>
        <w:t>(tabuľka 19).</w:t>
      </w:r>
    </w:p>
    <w:p w14:paraId="2414CF47" w14:textId="77777777" w:rsidR="00DF08D1" w:rsidRDefault="00DF08D1" w:rsidP="00BB288E">
      <w:pPr>
        <w:rPr>
          <w:rFonts w:eastAsia="Calibri" w:cs="Segoe UI"/>
          <w:b/>
        </w:rPr>
      </w:pPr>
    </w:p>
    <w:p w14:paraId="096EB462" w14:textId="77777777" w:rsidR="00AC6426" w:rsidRDefault="00AC6426" w:rsidP="00AC6426">
      <w:pPr>
        <w:pStyle w:val="Popis"/>
        <w:keepNext/>
      </w:pPr>
      <w:r>
        <w:lastRenderedPageBreak/>
        <w:t xml:space="preserve">Tabuľka 19: Výdavky na POO podľa kapitol ŠR </w:t>
      </w:r>
      <w:r w:rsidRPr="00307C4F">
        <w:t>(v tis. eur)</w:t>
      </w:r>
    </w:p>
    <w:tbl>
      <w:tblPr>
        <w:tblW w:w="9072" w:type="dxa"/>
        <w:tblCellMar>
          <w:left w:w="70" w:type="dxa"/>
          <w:right w:w="70" w:type="dxa"/>
        </w:tblCellMar>
        <w:tblLook w:val="04A0" w:firstRow="1" w:lastRow="0" w:firstColumn="1" w:lastColumn="0" w:noHBand="0" w:noVBand="1"/>
      </w:tblPr>
      <w:tblGrid>
        <w:gridCol w:w="1998"/>
        <w:gridCol w:w="1404"/>
        <w:gridCol w:w="1276"/>
        <w:gridCol w:w="1276"/>
        <w:gridCol w:w="1417"/>
        <w:gridCol w:w="1701"/>
      </w:tblGrid>
      <w:tr w:rsidR="00AC6426" w:rsidRPr="00FC2FD0" w14:paraId="3DFA0258" w14:textId="77777777" w:rsidTr="002C027A">
        <w:trPr>
          <w:trHeight w:val="283"/>
        </w:trPr>
        <w:tc>
          <w:tcPr>
            <w:tcW w:w="1998" w:type="dxa"/>
            <w:tcBorders>
              <w:top w:val="nil"/>
              <w:left w:val="nil"/>
              <w:bottom w:val="nil"/>
              <w:right w:val="nil"/>
            </w:tcBorders>
            <w:shd w:val="clear" w:color="000000" w:fill="314364"/>
            <w:noWrap/>
            <w:vAlign w:val="center"/>
            <w:hideMark/>
          </w:tcPr>
          <w:p w14:paraId="770AB850" w14:textId="77777777" w:rsidR="00AC6426" w:rsidRPr="00FC2FD0" w:rsidRDefault="00AC6426" w:rsidP="002C027A">
            <w:pPr>
              <w:spacing w:after="0" w:line="240" w:lineRule="auto"/>
              <w:jc w:val="left"/>
              <w:rPr>
                <w:rFonts w:eastAsia="Times New Roman" w:cs="Segoe UI"/>
                <w:b/>
                <w:bCs/>
                <w:color w:val="FFFFFF"/>
                <w:sz w:val="18"/>
                <w:szCs w:val="18"/>
                <w:lang w:eastAsia="sk-SK"/>
              </w:rPr>
            </w:pPr>
            <w:r w:rsidRPr="00FC2FD0">
              <w:rPr>
                <w:rFonts w:eastAsia="Times New Roman" w:cs="Segoe UI"/>
                <w:b/>
                <w:bCs/>
                <w:color w:val="FFFFFF"/>
                <w:sz w:val="18"/>
                <w:szCs w:val="18"/>
                <w:lang w:eastAsia="sk-SK"/>
              </w:rPr>
              <w:t>Ukazovateľ</w:t>
            </w:r>
            <w:r w:rsidRPr="00FC2FD0" w:rsidDel="00307C4F">
              <w:rPr>
                <w:rFonts w:eastAsia="Times New Roman" w:cs="Segoe UI"/>
                <w:b/>
                <w:bCs/>
                <w:color w:val="FFFFFF"/>
                <w:sz w:val="18"/>
                <w:szCs w:val="18"/>
                <w:lang w:eastAsia="sk-SK"/>
              </w:rPr>
              <w:t xml:space="preserve"> </w:t>
            </w:r>
          </w:p>
        </w:tc>
        <w:tc>
          <w:tcPr>
            <w:tcW w:w="1404" w:type="dxa"/>
            <w:tcBorders>
              <w:top w:val="nil"/>
              <w:left w:val="nil"/>
              <w:bottom w:val="nil"/>
              <w:right w:val="nil"/>
            </w:tcBorders>
            <w:shd w:val="clear" w:color="000000" w:fill="314364"/>
            <w:noWrap/>
            <w:vAlign w:val="center"/>
            <w:hideMark/>
          </w:tcPr>
          <w:p w14:paraId="714DD569" w14:textId="77777777" w:rsidR="00AC6426" w:rsidRPr="00FC2FD0" w:rsidRDefault="00AC6426" w:rsidP="002C027A">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 xml:space="preserve">S </w:t>
            </w:r>
            <w:r w:rsidRPr="00FC2FD0">
              <w:rPr>
                <w:rFonts w:eastAsia="Times New Roman" w:cs="Segoe UI"/>
                <w:b/>
                <w:bCs/>
                <w:color w:val="FFFFFF"/>
                <w:sz w:val="18"/>
                <w:szCs w:val="18"/>
                <w:lang w:eastAsia="sk-SK"/>
              </w:rPr>
              <w:t>2021</w:t>
            </w:r>
          </w:p>
        </w:tc>
        <w:tc>
          <w:tcPr>
            <w:tcW w:w="1276" w:type="dxa"/>
            <w:tcBorders>
              <w:top w:val="nil"/>
              <w:left w:val="nil"/>
              <w:bottom w:val="nil"/>
              <w:right w:val="nil"/>
            </w:tcBorders>
            <w:shd w:val="clear" w:color="000000" w:fill="314364"/>
            <w:noWrap/>
            <w:vAlign w:val="center"/>
            <w:hideMark/>
          </w:tcPr>
          <w:p w14:paraId="52012331" w14:textId="77777777" w:rsidR="00AC6426" w:rsidRPr="00FC2FD0" w:rsidRDefault="00AC6426" w:rsidP="002C027A">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 xml:space="preserve">R </w:t>
            </w:r>
            <w:r w:rsidRPr="00FC2FD0">
              <w:rPr>
                <w:rFonts w:eastAsia="Times New Roman" w:cs="Segoe UI"/>
                <w:b/>
                <w:bCs/>
                <w:color w:val="FFFFFF"/>
                <w:sz w:val="18"/>
                <w:szCs w:val="18"/>
                <w:lang w:eastAsia="sk-SK"/>
              </w:rPr>
              <w:t>2022</w:t>
            </w:r>
          </w:p>
        </w:tc>
        <w:tc>
          <w:tcPr>
            <w:tcW w:w="1276" w:type="dxa"/>
            <w:tcBorders>
              <w:top w:val="nil"/>
              <w:left w:val="nil"/>
              <w:bottom w:val="nil"/>
              <w:right w:val="nil"/>
            </w:tcBorders>
            <w:shd w:val="clear" w:color="000000" w:fill="314364"/>
            <w:noWrap/>
            <w:vAlign w:val="center"/>
            <w:hideMark/>
          </w:tcPr>
          <w:p w14:paraId="10AFE6FF" w14:textId="77777777" w:rsidR="00AC6426" w:rsidRPr="00FC2FD0" w:rsidRDefault="00AC6426" w:rsidP="002C027A">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 xml:space="preserve">S </w:t>
            </w:r>
            <w:r w:rsidRPr="00FC2FD0">
              <w:rPr>
                <w:rFonts w:eastAsia="Times New Roman" w:cs="Segoe UI"/>
                <w:b/>
                <w:bCs/>
                <w:color w:val="FFFFFF"/>
                <w:sz w:val="18"/>
                <w:szCs w:val="18"/>
                <w:lang w:eastAsia="sk-SK"/>
              </w:rPr>
              <w:t>2022</w:t>
            </w:r>
          </w:p>
        </w:tc>
        <w:tc>
          <w:tcPr>
            <w:tcW w:w="1417" w:type="dxa"/>
            <w:tcBorders>
              <w:top w:val="nil"/>
              <w:left w:val="nil"/>
              <w:bottom w:val="nil"/>
              <w:right w:val="nil"/>
            </w:tcBorders>
            <w:shd w:val="clear" w:color="000000" w:fill="314364"/>
            <w:noWrap/>
            <w:vAlign w:val="center"/>
            <w:hideMark/>
          </w:tcPr>
          <w:p w14:paraId="473D7018" w14:textId="77777777" w:rsidR="00AC6426" w:rsidRPr="00FC2FD0" w:rsidRDefault="00AC6426" w:rsidP="002C027A">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 xml:space="preserve">S </w:t>
            </w:r>
            <w:r w:rsidRPr="00FC2FD0">
              <w:rPr>
                <w:rFonts w:eastAsia="Times New Roman" w:cs="Segoe UI"/>
                <w:b/>
                <w:bCs/>
                <w:color w:val="FFFFFF"/>
                <w:sz w:val="18"/>
                <w:szCs w:val="18"/>
                <w:lang w:eastAsia="sk-SK"/>
              </w:rPr>
              <w:t>22</w:t>
            </w:r>
            <w:r>
              <w:rPr>
                <w:rFonts w:eastAsia="Times New Roman" w:cs="Segoe UI"/>
                <w:b/>
                <w:bCs/>
                <w:color w:val="FFFFFF"/>
                <w:sz w:val="18"/>
                <w:szCs w:val="18"/>
                <w:lang w:eastAsia="sk-SK"/>
              </w:rPr>
              <w:t xml:space="preserve"> - R </w:t>
            </w:r>
            <w:r w:rsidRPr="00FC2FD0">
              <w:rPr>
                <w:rFonts w:eastAsia="Times New Roman" w:cs="Segoe UI"/>
                <w:b/>
                <w:bCs/>
                <w:color w:val="FFFFFF"/>
                <w:sz w:val="18"/>
                <w:szCs w:val="18"/>
                <w:lang w:eastAsia="sk-SK"/>
              </w:rPr>
              <w:t>22</w:t>
            </w:r>
          </w:p>
        </w:tc>
        <w:tc>
          <w:tcPr>
            <w:tcW w:w="1701" w:type="dxa"/>
            <w:tcBorders>
              <w:top w:val="nil"/>
              <w:left w:val="nil"/>
              <w:bottom w:val="nil"/>
              <w:right w:val="nil"/>
            </w:tcBorders>
            <w:shd w:val="clear" w:color="000000" w:fill="314364"/>
            <w:noWrap/>
            <w:vAlign w:val="center"/>
            <w:hideMark/>
          </w:tcPr>
          <w:p w14:paraId="1B02300C" w14:textId="77777777" w:rsidR="00AC6426" w:rsidRPr="00FC2FD0" w:rsidRDefault="00AC6426" w:rsidP="002C027A">
            <w:pPr>
              <w:spacing w:after="0" w:line="240" w:lineRule="auto"/>
              <w:jc w:val="right"/>
              <w:rPr>
                <w:rFonts w:eastAsia="Times New Roman" w:cs="Segoe UI"/>
                <w:b/>
                <w:bCs/>
                <w:color w:val="FFFFFF"/>
                <w:sz w:val="18"/>
                <w:szCs w:val="18"/>
                <w:lang w:eastAsia="sk-SK"/>
              </w:rPr>
            </w:pPr>
            <w:r>
              <w:rPr>
                <w:rFonts w:eastAsia="Times New Roman" w:cs="Segoe UI"/>
                <w:b/>
                <w:bCs/>
                <w:color w:val="FFFFFF"/>
                <w:sz w:val="18"/>
                <w:szCs w:val="18"/>
                <w:lang w:eastAsia="sk-SK"/>
              </w:rPr>
              <w:t xml:space="preserve">S </w:t>
            </w:r>
            <w:r w:rsidRPr="00FC2FD0">
              <w:rPr>
                <w:rFonts w:eastAsia="Times New Roman" w:cs="Segoe UI"/>
                <w:b/>
                <w:bCs/>
                <w:color w:val="FFFFFF"/>
                <w:sz w:val="18"/>
                <w:szCs w:val="18"/>
                <w:lang w:eastAsia="sk-SK"/>
              </w:rPr>
              <w:t>22</w:t>
            </w:r>
            <w:r>
              <w:rPr>
                <w:rFonts w:eastAsia="Times New Roman" w:cs="Segoe UI"/>
                <w:b/>
                <w:bCs/>
                <w:color w:val="FFFFFF"/>
                <w:sz w:val="18"/>
                <w:szCs w:val="18"/>
                <w:lang w:eastAsia="sk-SK"/>
              </w:rPr>
              <w:t xml:space="preserve"> </w:t>
            </w:r>
            <w:r w:rsidRPr="00FC2FD0">
              <w:rPr>
                <w:rFonts w:eastAsia="Times New Roman" w:cs="Segoe UI"/>
                <w:b/>
                <w:bCs/>
                <w:color w:val="FFFFFF"/>
                <w:sz w:val="18"/>
                <w:szCs w:val="18"/>
                <w:lang w:eastAsia="sk-SK"/>
              </w:rPr>
              <w:t>/</w:t>
            </w:r>
            <w:r>
              <w:rPr>
                <w:rFonts w:eastAsia="Times New Roman" w:cs="Segoe UI"/>
                <w:b/>
                <w:bCs/>
                <w:color w:val="FFFFFF"/>
                <w:sz w:val="18"/>
                <w:szCs w:val="18"/>
                <w:lang w:eastAsia="sk-SK"/>
              </w:rPr>
              <w:t xml:space="preserve"> R </w:t>
            </w:r>
            <w:r w:rsidRPr="00FC2FD0">
              <w:rPr>
                <w:rFonts w:eastAsia="Times New Roman" w:cs="Segoe UI"/>
                <w:b/>
                <w:bCs/>
                <w:color w:val="FFFFFF"/>
                <w:sz w:val="18"/>
                <w:szCs w:val="18"/>
                <w:lang w:eastAsia="sk-SK"/>
              </w:rPr>
              <w:t>22</w:t>
            </w:r>
            <w:r>
              <w:rPr>
                <w:rFonts w:eastAsia="Times New Roman" w:cs="Segoe UI"/>
                <w:b/>
                <w:bCs/>
                <w:color w:val="FFFFFF"/>
                <w:sz w:val="18"/>
                <w:szCs w:val="18"/>
                <w:lang w:eastAsia="sk-SK"/>
              </w:rPr>
              <w:t xml:space="preserve">  (v %)</w:t>
            </w:r>
          </w:p>
        </w:tc>
      </w:tr>
      <w:tr w:rsidR="00AC6426" w:rsidRPr="00FC2FD0" w14:paraId="2D93BBF8" w14:textId="77777777" w:rsidTr="002C027A">
        <w:trPr>
          <w:trHeight w:val="283"/>
        </w:trPr>
        <w:tc>
          <w:tcPr>
            <w:tcW w:w="1998" w:type="dxa"/>
            <w:tcBorders>
              <w:top w:val="nil"/>
              <w:left w:val="nil"/>
              <w:bottom w:val="nil"/>
              <w:right w:val="nil"/>
            </w:tcBorders>
            <w:shd w:val="clear" w:color="000000" w:fill="FFFFFF"/>
            <w:vAlign w:val="center"/>
            <w:hideMark/>
          </w:tcPr>
          <w:p w14:paraId="3B38B679"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MŠVVaŠ SR</w:t>
            </w:r>
          </w:p>
        </w:tc>
        <w:tc>
          <w:tcPr>
            <w:tcW w:w="1404" w:type="dxa"/>
            <w:tcBorders>
              <w:top w:val="nil"/>
              <w:left w:val="nil"/>
              <w:bottom w:val="nil"/>
              <w:right w:val="nil"/>
            </w:tcBorders>
            <w:shd w:val="clear" w:color="000000" w:fill="FFFFFF"/>
            <w:vAlign w:val="center"/>
            <w:hideMark/>
          </w:tcPr>
          <w:p w14:paraId="09BD04E5"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2 214</w:t>
            </w:r>
          </w:p>
        </w:tc>
        <w:tc>
          <w:tcPr>
            <w:tcW w:w="1276" w:type="dxa"/>
            <w:tcBorders>
              <w:top w:val="nil"/>
              <w:left w:val="nil"/>
              <w:bottom w:val="nil"/>
              <w:right w:val="nil"/>
            </w:tcBorders>
            <w:shd w:val="clear" w:color="000000" w:fill="FFFFFF"/>
            <w:vAlign w:val="center"/>
            <w:hideMark/>
          </w:tcPr>
          <w:p w14:paraId="33717CDD"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334 207</w:t>
            </w:r>
          </w:p>
        </w:tc>
        <w:tc>
          <w:tcPr>
            <w:tcW w:w="1276" w:type="dxa"/>
            <w:tcBorders>
              <w:top w:val="nil"/>
              <w:left w:val="nil"/>
              <w:bottom w:val="nil"/>
              <w:right w:val="nil"/>
            </w:tcBorders>
            <w:shd w:val="clear" w:color="000000" w:fill="FFFFFF"/>
            <w:vAlign w:val="center"/>
            <w:hideMark/>
          </w:tcPr>
          <w:p w14:paraId="23D0028D"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25 800</w:t>
            </w:r>
          </w:p>
        </w:tc>
        <w:tc>
          <w:tcPr>
            <w:tcW w:w="1417" w:type="dxa"/>
            <w:tcBorders>
              <w:top w:val="nil"/>
              <w:left w:val="nil"/>
              <w:bottom w:val="nil"/>
              <w:right w:val="nil"/>
            </w:tcBorders>
            <w:shd w:val="clear" w:color="000000" w:fill="FFFFFF"/>
            <w:vAlign w:val="center"/>
            <w:hideMark/>
          </w:tcPr>
          <w:p w14:paraId="7DFEB402"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-308 407</w:t>
            </w:r>
          </w:p>
        </w:tc>
        <w:tc>
          <w:tcPr>
            <w:tcW w:w="1701" w:type="dxa"/>
            <w:tcBorders>
              <w:top w:val="nil"/>
              <w:left w:val="nil"/>
              <w:bottom w:val="nil"/>
              <w:right w:val="nil"/>
            </w:tcBorders>
            <w:shd w:val="clear" w:color="000000" w:fill="FFFFFF"/>
            <w:vAlign w:val="bottom"/>
            <w:hideMark/>
          </w:tcPr>
          <w:p w14:paraId="2F4CBA4C"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7,71</w:t>
            </w:r>
          </w:p>
        </w:tc>
      </w:tr>
      <w:tr w:rsidR="00AC6426" w:rsidRPr="00FC2FD0" w14:paraId="1CA925D7" w14:textId="77777777" w:rsidTr="002C027A">
        <w:trPr>
          <w:trHeight w:val="283"/>
        </w:trPr>
        <w:tc>
          <w:tcPr>
            <w:tcW w:w="1998" w:type="dxa"/>
            <w:tcBorders>
              <w:top w:val="nil"/>
              <w:left w:val="nil"/>
              <w:bottom w:val="nil"/>
              <w:right w:val="nil"/>
            </w:tcBorders>
            <w:shd w:val="clear" w:color="000000" w:fill="FFFFFF"/>
            <w:vAlign w:val="center"/>
            <w:hideMark/>
          </w:tcPr>
          <w:p w14:paraId="179EE214"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MV SR</w:t>
            </w:r>
          </w:p>
        </w:tc>
        <w:tc>
          <w:tcPr>
            <w:tcW w:w="1404" w:type="dxa"/>
            <w:tcBorders>
              <w:top w:val="nil"/>
              <w:left w:val="nil"/>
              <w:bottom w:val="nil"/>
              <w:right w:val="nil"/>
            </w:tcBorders>
            <w:shd w:val="clear" w:color="000000" w:fill="FFFFFF"/>
            <w:vAlign w:val="center"/>
            <w:hideMark/>
          </w:tcPr>
          <w:p w14:paraId="4553C998"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3 127</w:t>
            </w:r>
          </w:p>
        </w:tc>
        <w:tc>
          <w:tcPr>
            <w:tcW w:w="1276" w:type="dxa"/>
            <w:tcBorders>
              <w:top w:val="nil"/>
              <w:left w:val="nil"/>
              <w:bottom w:val="nil"/>
              <w:right w:val="nil"/>
            </w:tcBorders>
            <w:shd w:val="clear" w:color="000000" w:fill="FFFFFF"/>
            <w:vAlign w:val="center"/>
            <w:hideMark/>
          </w:tcPr>
          <w:p w14:paraId="3A69AC21"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57 379</w:t>
            </w:r>
          </w:p>
        </w:tc>
        <w:tc>
          <w:tcPr>
            <w:tcW w:w="1276" w:type="dxa"/>
            <w:tcBorders>
              <w:top w:val="nil"/>
              <w:left w:val="nil"/>
              <w:bottom w:val="nil"/>
              <w:right w:val="nil"/>
            </w:tcBorders>
            <w:shd w:val="clear" w:color="000000" w:fill="FFFFFF"/>
            <w:vAlign w:val="center"/>
            <w:hideMark/>
          </w:tcPr>
          <w:p w14:paraId="02FD34A6" w14:textId="77777777" w:rsidR="00AC6426" w:rsidRPr="00C60492" w:rsidRDefault="00AC6426" w:rsidP="002C027A">
            <w:pPr>
              <w:spacing w:after="0" w:line="240" w:lineRule="auto"/>
              <w:jc w:val="right"/>
              <w:rPr>
                <w:rFonts w:eastAsia="Times New Roman" w:cs="Segoe UI"/>
                <w:sz w:val="18"/>
                <w:szCs w:val="18"/>
                <w:lang w:eastAsia="sk-SK"/>
              </w:rPr>
            </w:pPr>
            <w:r w:rsidRPr="00F51BFA">
              <w:rPr>
                <w:rFonts w:eastAsia="Times New Roman" w:cs="Segoe UI"/>
                <w:sz w:val="18"/>
                <w:szCs w:val="18"/>
                <w:lang w:eastAsia="sk-SK"/>
              </w:rPr>
              <w:t>5 093</w:t>
            </w:r>
          </w:p>
        </w:tc>
        <w:tc>
          <w:tcPr>
            <w:tcW w:w="1417" w:type="dxa"/>
            <w:tcBorders>
              <w:top w:val="nil"/>
              <w:left w:val="nil"/>
              <w:bottom w:val="nil"/>
              <w:right w:val="nil"/>
            </w:tcBorders>
            <w:shd w:val="clear" w:color="000000" w:fill="FFFFFF"/>
            <w:vAlign w:val="center"/>
            <w:hideMark/>
          </w:tcPr>
          <w:p w14:paraId="46D982CB"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-52 286</w:t>
            </w:r>
          </w:p>
        </w:tc>
        <w:tc>
          <w:tcPr>
            <w:tcW w:w="1701" w:type="dxa"/>
            <w:tcBorders>
              <w:top w:val="nil"/>
              <w:left w:val="nil"/>
              <w:bottom w:val="nil"/>
              <w:right w:val="nil"/>
            </w:tcBorders>
            <w:shd w:val="clear" w:color="000000" w:fill="FFFFFF"/>
            <w:vAlign w:val="bottom"/>
            <w:hideMark/>
          </w:tcPr>
          <w:p w14:paraId="217B9252"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8,87</w:t>
            </w:r>
          </w:p>
        </w:tc>
      </w:tr>
      <w:tr w:rsidR="00AC6426" w:rsidRPr="00FC2FD0" w14:paraId="0407719E" w14:textId="77777777" w:rsidTr="002C027A">
        <w:trPr>
          <w:trHeight w:val="283"/>
        </w:trPr>
        <w:tc>
          <w:tcPr>
            <w:tcW w:w="1998" w:type="dxa"/>
            <w:tcBorders>
              <w:top w:val="nil"/>
              <w:left w:val="nil"/>
              <w:bottom w:val="nil"/>
              <w:right w:val="nil"/>
            </w:tcBorders>
            <w:shd w:val="clear" w:color="000000" w:fill="FFFFFF"/>
            <w:vAlign w:val="center"/>
            <w:hideMark/>
          </w:tcPr>
          <w:p w14:paraId="201D589D"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Úrad vlády SR</w:t>
            </w:r>
          </w:p>
        </w:tc>
        <w:tc>
          <w:tcPr>
            <w:tcW w:w="1404" w:type="dxa"/>
            <w:tcBorders>
              <w:top w:val="nil"/>
              <w:left w:val="nil"/>
              <w:bottom w:val="nil"/>
              <w:right w:val="nil"/>
            </w:tcBorders>
            <w:shd w:val="clear" w:color="000000" w:fill="FFFFFF"/>
            <w:vAlign w:val="center"/>
            <w:hideMark/>
          </w:tcPr>
          <w:p w14:paraId="20DD38A8"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159</w:t>
            </w:r>
          </w:p>
        </w:tc>
        <w:tc>
          <w:tcPr>
            <w:tcW w:w="1276" w:type="dxa"/>
            <w:tcBorders>
              <w:top w:val="nil"/>
              <w:left w:val="nil"/>
              <w:bottom w:val="nil"/>
              <w:right w:val="nil"/>
            </w:tcBorders>
            <w:shd w:val="clear" w:color="000000" w:fill="FFFFFF"/>
            <w:vAlign w:val="center"/>
            <w:hideMark/>
          </w:tcPr>
          <w:p w14:paraId="61D352A8"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114 291</w:t>
            </w:r>
          </w:p>
        </w:tc>
        <w:tc>
          <w:tcPr>
            <w:tcW w:w="1276" w:type="dxa"/>
            <w:tcBorders>
              <w:top w:val="nil"/>
              <w:left w:val="nil"/>
              <w:bottom w:val="nil"/>
              <w:right w:val="nil"/>
            </w:tcBorders>
            <w:shd w:val="clear" w:color="000000" w:fill="FFFFFF"/>
            <w:vAlign w:val="center"/>
            <w:hideMark/>
          </w:tcPr>
          <w:p w14:paraId="0316D7C5"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3 987</w:t>
            </w:r>
          </w:p>
        </w:tc>
        <w:tc>
          <w:tcPr>
            <w:tcW w:w="1417" w:type="dxa"/>
            <w:tcBorders>
              <w:top w:val="nil"/>
              <w:left w:val="nil"/>
              <w:bottom w:val="nil"/>
              <w:right w:val="nil"/>
            </w:tcBorders>
            <w:shd w:val="clear" w:color="000000" w:fill="FFFFFF"/>
            <w:vAlign w:val="center"/>
            <w:hideMark/>
          </w:tcPr>
          <w:p w14:paraId="1E6040CA"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-110 304</w:t>
            </w:r>
          </w:p>
        </w:tc>
        <w:tc>
          <w:tcPr>
            <w:tcW w:w="1701" w:type="dxa"/>
            <w:tcBorders>
              <w:top w:val="nil"/>
              <w:left w:val="nil"/>
              <w:bottom w:val="nil"/>
              <w:right w:val="nil"/>
            </w:tcBorders>
            <w:shd w:val="clear" w:color="000000" w:fill="FFFFFF"/>
            <w:vAlign w:val="bottom"/>
            <w:hideMark/>
          </w:tcPr>
          <w:p w14:paraId="6DA23CE8"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3,49</w:t>
            </w:r>
          </w:p>
        </w:tc>
      </w:tr>
      <w:tr w:rsidR="00AC6426" w:rsidRPr="00FC2FD0" w14:paraId="4BFFBF6A" w14:textId="77777777" w:rsidTr="002C027A">
        <w:trPr>
          <w:trHeight w:val="283"/>
        </w:trPr>
        <w:tc>
          <w:tcPr>
            <w:tcW w:w="1998" w:type="dxa"/>
            <w:tcBorders>
              <w:top w:val="nil"/>
              <w:left w:val="nil"/>
              <w:bottom w:val="nil"/>
              <w:right w:val="nil"/>
            </w:tcBorders>
            <w:shd w:val="clear" w:color="000000" w:fill="FFFFFF"/>
            <w:vAlign w:val="center"/>
            <w:hideMark/>
          </w:tcPr>
          <w:p w14:paraId="2C9E6C14"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MŽP SR</w:t>
            </w:r>
          </w:p>
        </w:tc>
        <w:tc>
          <w:tcPr>
            <w:tcW w:w="1404" w:type="dxa"/>
            <w:tcBorders>
              <w:top w:val="nil"/>
              <w:left w:val="nil"/>
              <w:bottom w:val="nil"/>
              <w:right w:val="nil"/>
            </w:tcBorders>
            <w:shd w:val="clear" w:color="000000" w:fill="FFFFFF"/>
            <w:vAlign w:val="center"/>
            <w:hideMark/>
          </w:tcPr>
          <w:p w14:paraId="54A4FF26"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648</w:t>
            </w:r>
          </w:p>
        </w:tc>
        <w:tc>
          <w:tcPr>
            <w:tcW w:w="1276" w:type="dxa"/>
            <w:tcBorders>
              <w:top w:val="nil"/>
              <w:left w:val="nil"/>
              <w:bottom w:val="nil"/>
              <w:right w:val="nil"/>
            </w:tcBorders>
            <w:shd w:val="clear" w:color="000000" w:fill="FFFFFF"/>
            <w:vAlign w:val="center"/>
            <w:hideMark/>
          </w:tcPr>
          <w:p w14:paraId="58DD445F"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181 324</w:t>
            </w:r>
          </w:p>
        </w:tc>
        <w:tc>
          <w:tcPr>
            <w:tcW w:w="1276" w:type="dxa"/>
            <w:tcBorders>
              <w:top w:val="nil"/>
              <w:left w:val="nil"/>
              <w:bottom w:val="nil"/>
              <w:right w:val="nil"/>
            </w:tcBorders>
            <w:shd w:val="clear" w:color="000000" w:fill="FFFFFF"/>
            <w:vAlign w:val="center"/>
            <w:hideMark/>
          </w:tcPr>
          <w:p w14:paraId="3B94DC1C"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3 850</w:t>
            </w:r>
          </w:p>
        </w:tc>
        <w:tc>
          <w:tcPr>
            <w:tcW w:w="1417" w:type="dxa"/>
            <w:tcBorders>
              <w:top w:val="nil"/>
              <w:left w:val="nil"/>
              <w:bottom w:val="nil"/>
              <w:right w:val="nil"/>
            </w:tcBorders>
            <w:shd w:val="clear" w:color="000000" w:fill="FFFFFF"/>
            <w:vAlign w:val="center"/>
            <w:hideMark/>
          </w:tcPr>
          <w:p w14:paraId="58CCF1B7"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-177 474</w:t>
            </w:r>
          </w:p>
        </w:tc>
        <w:tc>
          <w:tcPr>
            <w:tcW w:w="1701" w:type="dxa"/>
            <w:tcBorders>
              <w:top w:val="nil"/>
              <w:left w:val="nil"/>
              <w:bottom w:val="nil"/>
              <w:right w:val="nil"/>
            </w:tcBorders>
            <w:shd w:val="clear" w:color="000000" w:fill="FFFFFF"/>
            <w:vAlign w:val="bottom"/>
            <w:hideMark/>
          </w:tcPr>
          <w:p w14:paraId="4961E7A0"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2,12</w:t>
            </w:r>
          </w:p>
        </w:tc>
      </w:tr>
      <w:tr w:rsidR="00AC6426" w:rsidRPr="00FC2FD0" w14:paraId="4EB71E35" w14:textId="77777777" w:rsidTr="002C027A">
        <w:trPr>
          <w:trHeight w:val="283"/>
        </w:trPr>
        <w:tc>
          <w:tcPr>
            <w:tcW w:w="1998" w:type="dxa"/>
            <w:tcBorders>
              <w:top w:val="nil"/>
              <w:left w:val="nil"/>
              <w:bottom w:val="nil"/>
              <w:right w:val="nil"/>
            </w:tcBorders>
            <w:shd w:val="clear" w:color="000000" w:fill="FFFFFF"/>
            <w:vAlign w:val="center"/>
            <w:hideMark/>
          </w:tcPr>
          <w:p w14:paraId="2D5F1AA1"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MZ SR</w:t>
            </w:r>
          </w:p>
        </w:tc>
        <w:tc>
          <w:tcPr>
            <w:tcW w:w="1404" w:type="dxa"/>
            <w:tcBorders>
              <w:top w:val="nil"/>
              <w:left w:val="nil"/>
              <w:bottom w:val="nil"/>
              <w:right w:val="nil"/>
            </w:tcBorders>
            <w:shd w:val="clear" w:color="000000" w:fill="FFFFFF"/>
            <w:vAlign w:val="center"/>
            <w:hideMark/>
          </w:tcPr>
          <w:p w14:paraId="348D5327"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2CBBCFA4"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184 546</w:t>
            </w:r>
          </w:p>
        </w:tc>
        <w:tc>
          <w:tcPr>
            <w:tcW w:w="1276" w:type="dxa"/>
            <w:tcBorders>
              <w:top w:val="nil"/>
              <w:left w:val="nil"/>
              <w:bottom w:val="nil"/>
              <w:right w:val="nil"/>
            </w:tcBorders>
            <w:shd w:val="clear" w:color="000000" w:fill="FFFFFF"/>
            <w:vAlign w:val="center"/>
            <w:hideMark/>
          </w:tcPr>
          <w:p w14:paraId="3C19A391"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3 070</w:t>
            </w:r>
          </w:p>
        </w:tc>
        <w:tc>
          <w:tcPr>
            <w:tcW w:w="1417" w:type="dxa"/>
            <w:tcBorders>
              <w:top w:val="nil"/>
              <w:left w:val="nil"/>
              <w:bottom w:val="nil"/>
              <w:right w:val="nil"/>
            </w:tcBorders>
            <w:shd w:val="clear" w:color="000000" w:fill="FFFFFF"/>
            <w:vAlign w:val="center"/>
            <w:hideMark/>
          </w:tcPr>
          <w:p w14:paraId="3EA4B51D"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-181 476</w:t>
            </w:r>
          </w:p>
        </w:tc>
        <w:tc>
          <w:tcPr>
            <w:tcW w:w="1701" w:type="dxa"/>
            <w:tcBorders>
              <w:top w:val="nil"/>
              <w:left w:val="nil"/>
              <w:bottom w:val="nil"/>
              <w:right w:val="nil"/>
            </w:tcBorders>
            <w:shd w:val="clear" w:color="000000" w:fill="FFFFFF"/>
            <w:vAlign w:val="bottom"/>
            <w:hideMark/>
          </w:tcPr>
          <w:p w14:paraId="4FC4DF4B"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1,66</w:t>
            </w:r>
          </w:p>
        </w:tc>
      </w:tr>
      <w:tr w:rsidR="00AC6426" w:rsidRPr="00FC2FD0" w14:paraId="016041FC" w14:textId="77777777" w:rsidTr="002C027A">
        <w:trPr>
          <w:trHeight w:val="283"/>
        </w:trPr>
        <w:tc>
          <w:tcPr>
            <w:tcW w:w="1998" w:type="dxa"/>
            <w:tcBorders>
              <w:top w:val="nil"/>
              <w:left w:val="nil"/>
              <w:bottom w:val="nil"/>
              <w:right w:val="nil"/>
            </w:tcBorders>
            <w:shd w:val="clear" w:color="000000" w:fill="FFFFFF"/>
            <w:vAlign w:val="center"/>
            <w:hideMark/>
          </w:tcPr>
          <w:p w14:paraId="620EA88D"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MIRRI SR</w:t>
            </w:r>
          </w:p>
        </w:tc>
        <w:tc>
          <w:tcPr>
            <w:tcW w:w="1404" w:type="dxa"/>
            <w:tcBorders>
              <w:top w:val="nil"/>
              <w:left w:val="nil"/>
              <w:bottom w:val="nil"/>
              <w:right w:val="nil"/>
            </w:tcBorders>
            <w:shd w:val="clear" w:color="000000" w:fill="FFFFFF"/>
            <w:vAlign w:val="center"/>
            <w:hideMark/>
          </w:tcPr>
          <w:p w14:paraId="67650622"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29A9292F"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66 261</w:t>
            </w:r>
          </w:p>
        </w:tc>
        <w:tc>
          <w:tcPr>
            <w:tcW w:w="1276" w:type="dxa"/>
            <w:tcBorders>
              <w:top w:val="nil"/>
              <w:left w:val="nil"/>
              <w:bottom w:val="nil"/>
              <w:right w:val="nil"/>
            </w:tcBorders>
            <w:shd w:val="clear" w:color="000000" w:fill="FFFFFF"/>
            <w:vAlign w:val="center"/>
            <w:hideMark/>
          </w:tcPr>
          <w:p w14:paraId="599DB9F4"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2 529</w:t>
            </w:r>
          </w:p>
        </w:tc>
        <w:tc>
          <w:tcPr>
            <w:tcW w:w="1417" w:type="dxa"/>
            <w:tcBorders>
              <w:top w:val="nil"/>
              <w:left w:val="nil"/>
              <w:bottom w:val="nil"/>
              <w:right w:val="nil"/>
            </w:tcBorders>
            <w:shd w:val="clear" w:color="000000" w:fill="FFFFFF"/>
            <w:vAlign w:val="center"/>
            <w:hideMark/>
          </w:tcPr>
          <w:p w14:paraId="12F3A33B"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-63 732</w:t>
            </w:r>
          </w:p>
        </w:tc>
        <w:tc>
          <w:tcPr>
            <w:tcW w:w="1701" w:type="dxa"/>
            <w:tcBorders>
              <w:top w:val="nil"/>
              <w:left w:val="nil"/>
              <w:bottom w:val="nil"/>
              <w:right w:val="nil"/>
            </w:tcBorders>
            <w:shd w:val="clear" w:color="000000" w:fill="FFFFFF"/>
            <w:vAlign w:val="bottom"/>
            <w:hideMark/>
          </w:tcPr>
          <w:p w14:paraId="27C9BCE4"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3,82</w:t>
            </w:r>
          </w:p>
        </w:tc>
      </w:tr>
      <w:tr w:rsidR="00AC6426" w:rsidRPr="00FC2FD0" w14:paraId="665BE2F6" w14:textId="77777777" w:rsidTr="002C027A">
        <w:trPr>
          <w:trHeight w:val="283"/>
        </w:trPr>
        <w:tc>
          <w:tcPr>
            <w:tcW w:w="1998" w:type="dxa"/>
            <w:tcBorders>
              <w:top w:val="nil"/>
              <w:left w:val="nil"/>
              <w:bottom w:val="nil"/>
              <w:right w:val="nil"/>
            </w:tcBorders>
            <w:shd w:val="clear" w:color="000000" w:fill="FFFFFF"/>
            <w:vAlign w:val="center"/>
            <w:hideMark/>
          </w:tcPr>
          <w:p w14:paraId="64D01B24"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VPS</w:t>
            </w:r>
          </w:p>
        </w:tc>
        <w:tc>
          <w:tcPr>
            <w:tcW w:w="1404" w:type="dxa"/>
            <w:tcBorders>
              <w:top w:val="nil"/>
              <w:left w:val="nil"/>
              <w:bottom w:val="nil"/>
              <w:right w:val="nil"/>
            </w:tcBorders>
            <w:shd w:val="clear" w:color="000000" w:fill="FFFFFF"/>
            <w:vAlign w:val="center"/>
            <w:hideMark/>
          </w:tcPr>
          <w:p w14:paraId="1EAE0F92"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16980AAA"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61DDDF31"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1 929</w:t>
            </w:r>
          </w:p>
        </w:tc>
        <w:tc>
          <w:tcPr>
            <w:tcW w:w="1417" w:type="dxa"/>
            <w:tcBorders>
              <w:top w:val="nil"/>
              <w:left w:val="nil"/>
              <w:bottom w:val="nil"/>
              <w:right w:val="nil"/>
            </w:tcBorders>
            <w:shd w:val="clear" w:color="000000" w:fill="FFFFFF"/>
            <w:vAlign w:val="center"/>
            <w:hideMark/>
          </w:tcPr>
          <w:p w14:paraId="17C846ED"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1 929</w:t>
            </w:r>
          </w:p>
        </w:tc>
        <w:tc>
          <w:tcPr>
            <w:tcW w:w="1701" w:type="dxa"/>
            <w:tcBorders>
              <w:top w:val="nil"/>
              <w:left w:val="nil"/>
              <w:bottom w:val="nil"/>
              <w:right w:val="nil"/>
            </w:tcBorders>
            <w:shd w:val="clear" w:color="000000" w:fill="FFFFFF"/>
            <w:vAlign w:val="bottom"/>
            <w:hideMark/>
          </w:tcPr>
          <w:p w14:paraId="7955A9B1"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p>
        </w:tc>
      </w:tr>
      <w:tr w:rsidR="00AC6426" w:rsidRPr="00FC2FD0" w14:paraId="14C10CE9" w14:textId="77777777" w:rsidTr="002C027A">
        <w:trPr>
          <w:trHeight w:val="283"/>
        </w:trPr>
        <w:tc>
          <w:tcPr>
            <w:tcW w:w="1998" w:type="dxa"/>
            <w:tcBorders>
              <w:top w:val="nil"/>
              <w:left w:val="nil"/>
              <w:bottom w:val="nil"/>
              <w:right w:val="nil"/>
            </w:tcBorders>
            <w:shd w:val="clear" w:color="000000" w:fill="FFFFFF"/>
            <w:vAlign w:val="center"/>
            <w:hideMark/>
          </w:tcPr>
          <w:p w14:paraId="6E1ED45A"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MK SR</w:t>
            </w:r>
          </w:p>
        </w:tc>
        <w:tc>
          <w:tcPr>
            <w:tcW w:w="1404" w:type="dxa"/>
            <w:tcBorders>
              <w:top w:val="nil"/>
              <w:left w:val="nil"/>
              <w:bottom w:val="nil"/>
              <w:right w:val="nil"/>
            </w:tcBorders>
            <w:shd w:val="clear" w:color="000000" w:fill="FFFFFF"/>
            <w:vAlign w:val="center"/>
            <w:hideMark/>
          </w:tcPr>
          <w:p w14:paraId="2FC56A7F"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43934FE5"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3 493</w:t>
            </w:r>
          </w:p>
        </w:tc>
        <w:tc>
          <w:tcPr>
            <w:tcW w:w="1276" w:type="dxa"/>
            <w:tcBorders>
              <w:top w:val="nil"/>
              <w:left w:val="nil"/>
              <w:bottom w:val="nil"/>
              <w:right w:val="nil"/>
            </w:tcBorders>
            <w:shd w:val="clear" w:color="000000" w:fill="FFFFFF"/>
            <w:vAlign w:val="center"/>
            <w:hideMark/>
          </w:tcPr>
          <w:p w14:paraId="056CE228"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1 522</w:t>
            </w:r>
          </w:p>
        </w:tc>
        <w:tc>
          <w:tcPr>
            <w:tcW w:w="1417" w:type="dxa"/>
            <w:tcBorders>
              <w:top w:val="nil"/>
              <w:left w:val="nil"/>
              <w:bottom w:val="nil"/>
              <w:right w:val="nil"/>
            </w:tcBorders>
            <w:shd w:val="clear" w:color="000000" w:fill="FFFFFF"/>
            <w:vAlign w:val="center"/>
            <w:hideMark/>
          </w:tcPr>
          <w:p w14:paraId="3D2CC377"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-1 971</w:t>
            </w:r>
          </w:p>
        </w:tc>
        <w:tc>
          <w:tcPr>
            <w:tcW w:w="1701" w:type="dxa"/>
            <w:tcBorders>
              <w:top w:val="nil"/>
              <w:left w:val="nil"/>
              <w:bottom w:val="nil"/>
              <w:right w:val="nil"/>
            </w:tcBorders>
            <w:shd w:val="clear" w:color="000000" w:fill="FFFFFF"/>
            <w:vAlign w:val="bottom"/>
            <w:hideMark/>
          </w:tcPr>
          <w:p w14:paraId="79538923"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43,58</w:t>
            </w:r>
          </w:p>
        </w:tc>
      </w:tr>
      <w:tr w:rsidR="00AC6426" w:rsidRPr="00FC2FD0" w14:paraId="60E8D39C" w14:textId="77777777" w:rsidTr="002C027A">
        <w:trPr>
          <w:trHeight w:val="283"/>
        </w:trPr>
        <w:tc>
          <w:tcPr>
            <w:tcW w:w="1998" w:type="dxa"/>
            <w:tcBorders>
              <w:top w:val="nil"/>
              <w:left w:val="nil"/>
              <w:bottom w:val="nil"/>
              <w:right w:val="nil"/>
            </w:tcBorders>
            <w:shd w:val="clear" w:color="000000" w:fill="FFFFFF"/>
            <w:vAlign w:val="center"/>
            <w:hideMark/>
          </w:tcPr>
          <w:p w14:paraId="4D191099"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MH SR</w:t>
            </w:r>
          </w:p>
        </w:tc>
        <w:tc>
          <w:tcPr>
            <w:tcW w:w="1404" w:type="dxa"/>
            <w:tcBorders>
              <w:top w:val="nil"/>
              <w:left w:val="nil"/>
              <w:bottom w:val="nil"/>
              <w:right w:val="nil"/>
            </w:tcBorders>
            <w:shd w:val="clear" w:color="000000" w:fill="FFFFFF"/>
            <w:vAlign w:val="center"/>
            <w:hideMark/>
          </w:tcPr>
          <w:p w14:paraId="559EA223"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41BEE96A"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119 944</w:t>
            </w:r>
          </w:p>
        </w:tc>
        <w:tc>
          <w:tcPr>
            <w:tcW w:w="1276" w:type="dxa"/>
            <w:tcBorders>
              <w:top w:val="nil"/>
              <w:left w:val="nil"/>
              <w:bottom w:val="nil"/>
              <w:right w:val="nil"/>
            </w:tcBorders>
            <w:shd w:val="clear" w:color="000000" w:fill="FFFFFF"/>
            <w:vAlign w:val="center"/>
            <w:hideMark/>
          </w:tcPr>
          <w:p w14:paraId="540D5309"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538</w:t>
            </w:r>
          </w:p>
        </w:tc>
        <w:tc>
          <w:tcPr>
            <w:tcW w:w="1417" w:type="dxa"/>
            <w:tcBorders>
              <w:top w:val="nil"/>
              <w:left w:val="nil"/>
              <w:bottom w:val="nil"/>
              <w:right w:val="nil"/>
            </w:tcBorders>
            <w:shd w:val="clear" w:color="000000" w:fill="FFFFFF"/>
            <w:vAlign w:val="center"/>
            <w:hideMark/>
          </w:tcPr>
          <w:p w14:paraId="1E375DB5"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-119 406</w:t>
            </w:r>
          </w:p>
        </w:tc>
        <w:tc>
          <w:tcPr>
            <w:tcW w:w="1701" w:type="dxa"/>
            <w:tcBorders>
              <w:top w:val="nil"/>
              <w:left w:val="nil"/>
              <w:bottom w:val="nil"/>
              <w:right w:val="nil"/>
            </w:tcBorders>
            <w:shd w:val="clear" w:color="000000" w:fill="FFFFFF"/>
            <w:vAlign w:val="bottom"/>
            <w:hideMark/>
          </w:tcPr>
          <w:p w14:paraId="4D12AFA3"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0,45</w:t>
            </w:r>
          </w:p>
        </w:tc>
      </w:tr>
      <w:tr w:rsidR="00AC6426" w:rsidRPr="00FC2FD0" w14:paraId="2456B50F" w14:textId="77777777" w:rsidTr="002C027A">
        <w:trPr>
          <w:trHeight w:val="283"/>
        </w:trPr>
        <w:tc>
          <w:tcPr>
            <w:tcW w:w="1998" w:type="dxa"/>
            <w:tcBorders>
              <w:top w:val="nil"/>
              <w:left w:val="nil"/>
              <w:bottom w:val="nil"/>
              <w:right w:val="nil"/>
            </w:tcBorders>
            <w:shd w:val="clear" w:color="000000" w:fill="FFFFFF"/>
            <w:vAlign w:val="center"/>
            <w:hideMark/>
          </w:tcPr>
          <w:p w14:paraId="5F0AE7E1"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MS SR</w:t>
            </w:r>
          </w:p>
        </w:tc>
        <w:tc>
          <w:tcPr>
            <w:tcW w:w="1404" w:type="dxa"/>
            <w:tcBorders>
              <w:top w:val="nil"/>
              <w:left w:val="nil"/>
              <w:bottom w:val="nil"/>
              <w:right w:val="nil"/>
            </w:tcBorders>
            <w:shd w:val="clear" w:color="000000" w:fill="FFFFFF"/>
            <w:vAlign w:val="center"/>
            <w:hideMark/>
          </w:tcPr>
          <w:p w14:paraId="406E8545"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6AFB7C6F"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55 809</w:t>
            </w:r>
          </w:p>
        </w:tc>
        <w:tc>
          <w:tcPr>
            <w:tcW w:w="1276" w:type="dxa"/>
            <w:tcBorders>
              <w:top w:val="nil"/>
              <w:left w:val="nil"/>
              <w:bottom w:val="nil"/>
              <w:right w:val="nil"/>
            </w:tcBorders>
            <w:shd w:val="clear" w:color="000000" w:fill="FFFFFF"/>
            <w:vAlign w:val="center"/>
            <w:hideMark/>
          </w:tcPr>
          <w:p w14:paraId="4CE19C65"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536</w:t>
            </w:r>
          </w:p>
        </w:tc>
        <w:tc>
          <w:tcPr>
            <w:tcW w:w="1417" w:type="dxa"/>
            <w:tcBorders>
              <w:top w:val="nil"/>
              <w:left w:val="nil"/>
              <w:bottom w:val="nil"/>
              <w:right w:val="nil"/>
            </w:tcBorders>
            <w:shd w:val="clear" w:color="000000" w:fill="FFFFFF"/>
            <w:vAlign w:val="center"/>
            <w:hideMark/>
          </w:tcPr>
          <w:p w14:paraId="0639A217"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-55 273</w:t>
            </w:r>
          </w:p>
        </w:tc>
        <w:tc>
          <w:tcPr>
            <w:tcW w:w="1701" w:type="dxa"/>
            <w:tcBorders>
              <w:top w:val="nil"/>
              <w:left w:val="nil"/>
              <w:bottom w:val="nil"/>
              <w:right w:val="nil"/>
            </w:tcBorders>
            <w:shd w:val="clear" w:color="000000" w:fill="FFFFFF"/>
            <w:vAlign w:val="bottom"/>
            <w:hideMark/>
          </w:tcPr>
          <w:p w14:paraId="6C0C0633"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0,96</w:t>
            </w:r>
          </w:p>
        </w:tc>
      </w:tr>
      <w:tr w:rsidR="00AC6426" w:rsidRPr="00FC2FD0" w14:paraId="4F6C6E5A" w14:textId="77777777" w:rsidTr="002C027A">
        <w:trPr>
          <w:trHeight w:val="283"/>
        </w:trPr>
        <w:tc>
          <w:tcPr>
            <w:tcW w:w="1998" w:type="dxa"/>
            <w:tcBorders>
              <w:top w:val="nil"/>
              <w:left w:val="nil"/>
              <w:bottom w:val="nil"/>
              <w:right w:val="nil"/>
            </w:tcBorders>
            <w:shd w:val="clear" w:color="000000" w:fill="FFFFFF"/>
            <w:vAlign w:val="center"/>
            <w:hideMark/>
          </w:tcPr>
          <w:p w14:paraId="2D6CD4E5"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MPSVR SR</w:t>
            </w:r>
          </w:p>
        </w:tc>
        <w:tc>
          <w:tcPr>
            <w:tcW w:w="1404" w:type="dxa"/>
            <w:tcBorders>
              <w:top w:val="nil"/>
              <w:left w:val="nil"/>
              <w:bottom w:val="nil"/>
              <w:right w:val="nil"/>
            </w:tcBorders>
            <w:shd w:val="clear" w:color="000000" w:fill="FFFFFF"/>
            <w:vAlign w:val="center"/>
            <w:hideMark/>
          </w:tcPr>
          <w:p w14:paraId="433023DE"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28DCCAD9"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33 114</w:t>
            </w:r>
          </w:p>
        </w:tc>
        <w:tc>
          <w:tcPr>
            <w:tcW w:w="1276" w:type="dxa"/>
            <w:tcBorders>
              <w:top w:val="nil"/>
              <w:left w:val="nil"/>
              <w:bottom w:val="nil"/>
              <w:right w:val="nil"/>
            </w:tcBorders>
            <w:shd w:val="clear" w:color="000000" w:fill="FFFFFF"/>
            <w:vAlign w:val="center"/>
            <w:hideMark/>
          </w:tcPr>
          <w:p w14:paraId="395EC072"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138</w:t>
            </w:r>
          </w:p>
        </w:tc>
        <w:tc>
          <w:tcPr>
            <w:tcW w:w="1417" w:type="dxa"/>
            <w:tcBorders>
              <w:top w:val="nil"/>
              <w:left w:val="nil"/>
              <w:bottom w:val="nil"/>
              <w:right w:val="nil"/>
            </w:tcBorders>
            <w:shd w:val="clear" w:color="000000" w:fill="FFFFFF"/>
            <w:vAlign w:val="center"/>
            <w:hideMark/>
          </w:tcPr>
          <w:p w14:paraId="0309B88C"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-32 976</w:t>
            </w:r>
          </w:p>
        </w:tc>
        <w:tc>
          <w:tcPr>
            <w:tcW w:w="1701" w:type="dxa"/>
            <w:tcBorders>
              <w:top w:val="nil"/>
              <w:left w:val="nil"/>
              <w:bottom w:val="nil"/>
              <w:right w:val="nil"/>
            </w:tcBorders>
            <w:shd w:val="clear" w:color="000000" w:fill="FFFFFF"/>
            <w:vAlign w:val="bottom"/>
            <w:hideMark/>
          </w:tcPr>
          <w:p w14:paraId="26F99240"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0,42</w:t>
            </w:r>
          </w:p>
        </w:tc>
      </w:tr>
      <w:tr w:rsidR="00AC6426" w:rsidRPr="00FC2FD0" w14:paraId="53CBF9EF" w14:textId="77777777" w:rsidTr="002C027A">
        <w:trPr>
          <w:trHeight w:val="283"/>
        </w:trPr>
        <w:tc>
          <w:tcPr>
            <w:tcW w:w="1998" w:type="dxa"/>
            <w:tcBorders>
              <w:top w:val="nil"/>
              <w:left w:val="nil"/>
              <w:bottom w:val="nil"/>
              <w:right w:val="nil"/>
            </w:tcBorders>
            <w:shd w:val="clear" w:color="000000" w:fill="FFFFFF"/>
            <w:vAlign w:val="center"/>
            <w:hideMark/>
          </w:tcPr>
          <w:p w14:paraId="0DD26005"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ÚVO</w:t>
            </w:r>
          </w:p>
        </w:tc>
        <w:tc>
          <w:tcPr>
            <w:tcW w:w="1404" w:type="dxa"/>
            <w:tcBorders>
              <w:top w:val="nil"/>
              <w:left w:val="nil"/>
              <w:bottom w:val="nil"/>
              <w:right w:val="nil"/>
            </w:tcBorders>
            <w:shd w:val="clear" w:color="000000" w:fill="FFFFFF"/>
            <w:vAlign w:val="center"/>
            <w:hideMark/>
          </w:tcPr>
          <w:p w14:paraId="5ABA53D1"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392E5503"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515</w:t>
            </w:r>
          </w:p>
        </w:tc>
        <w:tc>
          <w:tcPr>
            <w:tcW w:w="1276" w:type="dxa"/>
            <w:tcBorders>
              <w:top w:val="nil"/>
              <w:left w:val="nil"/>
              <w:bottom w:val="nil"/>
              <w:right w:val="nil"/>
            </w:tcBorders>
            <w:shd w:val="clear" w:color="000000" w:fill="FFFFFF"/>
            <w:vAlign w:val="center"/>
            <w:hideMark/>
          </w:tcPr>
          <w:p w14:paraId="418036FF"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29</w:t>
            </w:r>
          </w:p>
        </w:tc>
        <w:tc>
          <w:tcPr>
            <w:tcW w:w="1417" w:type="dxa"/>
            <w:tcBorders>
              <w:top w:val="nil"/>
              <w:left w:val="nil"/>
              <w:bottom w:val="nil"/>
              <w:right w:val="nil"/>
            </w:tcBorders>
            <w:shd w:val="clear" w:color="000000" w:fill="FFFFFF"/>
            <w:vAlign w:val="center"/>
            <w:hideMark/>
          </w:tcPr>
          <w:p w14:paraId="6ECAA57B"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-486</w:t>
            </w:r>
          </w:p>
        </w:tc>
        <w:tc>
          <w:tcPr>
            <w:tcW w:w="1701" w:type="dxa"/>
            <w:tcBorders>
              <w:top w:val="nil"/>
              <w:left w:val="nil"/>
              <w:bottom w:val="nil"/>
              <w:right w:val="nil"/>
            </w:tcBorders>
            <w:shd w:val="clear" w:color="000000" w:fill="FFFFFF"/>
            <w:vAlign w:val="bottom"/>
            <w:hideMark/>
          </w:tcPr>
          <w:p w14:paraId="6F3B5F82"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5,65</w:t>
            </w:r>
          </w:p>
        </w:tc>
      </w:tr>
      <w:tr w:rsidR="00AC6426" w:rsidRPr="00FC2FD0" w14:paraId="65983732" w14:textId="77777777" w:rsidTr="002C027A">
        <w:trPr>
          <w:trHeight w:val="283"/>
        </w:trPr>
        <w:tc>
          <w:tcPr>
            <w:tcW w:w="1998" w:type="dxa"/>
            <w:tcBorders>
              <w:top w:val="nil"/>
              <w:left w:val="nil"/>
              <w:right w:val="nil"/>
            </w:tcBorders>
            <w:shd w:val="clear" w:color="000000" w:fill="FFFFFF"/>
            <w:vAlign w:val="center"/>
            <w:hideMark/>
          </w:tcPr>
          <w:p w14:paraId="53401B77"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MDV SR</w:t>
            </w:r>
          </w:p>
        </w:tc>
        <w:tc>
          <w:tcPr>
            <w:tcW w:w="1404" w:type="dxa"/>
            <w:tcBorders>
              <w:top w:val="nil"/>
              <w:left w:val="nil"/>
              <w:right w:val="nil"/>
            </w:tcBorders>
            <w:shd w:val="clear" w:color="000000" w:fill="FFFFFF"/>
            <w:vAlign w:val="center"/>
            <w:hideMark/>
          </w:tcPr>
          <w:p w14:paraId="5D6A95AC"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right w:val="nil"/>
            </w:tcBorders>
            <w:shd w:val="clear" w:color="000000" w:fill="FFFFFF"/>
            <w:vAlign w:val="center"/>
            <w:hideMark/>
          </w:tcPr>
          <w:p w14:paraId="5CFCC179"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150 554</w:t>
            </w:r>
          </w:p>
        </w:tc>
        <w:tc>
          <w:tcPr>
            <w:tcW w:w="1276" w:type="dxa"/>
            <w:tcBorders>
              <w:top w:val="nil"/>
              <w:left w:val="nil"/>
              <w:right w:val="nil"/>
            </w:tcBorders>
            <w:shd w:val="clear" w:color="000000" w:fill="FFFFFF"/>
            <w:vAlign w:val="center"/>
            <w:hideMark/>
          </w:tcPr>
          <w:p w14:paraId="67971E90"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417" w:type="dxa"/>
            <w:tcBorders>
              <w:top w:val="nil"/>
              <w:left w:val="nil"/>
              <w:right w:val="nil"/>
            </w:tcBorders>
            <w:shd w:val="clear" w:color="000000" w:fill="FFFFFF"/>
            <w:vAlign w:val="center"/>
            <w:hideMark/>
          </w:tcPr>
          <w:p w14:paraId="2B7C71D3"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-150 554</w:t>
            </w:r>
          </w:p>
        </w:tc>
        <w:tc>
          <w:tcPr>
            <w:tcW w:w="1701" w:type="dxa"/>
            <w:tcBorders>
              <w:top w:val="nil"/>
              <w:left w:val="nil"/>
              <w:right w:val="nil"/>
            </w:tcBorders>
            <w:shd w:val="clear" w:color="000000" w:fill="FFFFFF"/>
            <w:vAlign w:val="bottom"/>
            <w:hideMark/>
          </w:tcPr>
          <w:p w14:paraId="60277AA0"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0,00</w:t>
            </w:r>
          </w:p>
        </w:tc>
      </w:tr>
      <w:tr w:rsidR="00AC6426" w:rsidRPr="00FC2FD0" w14:paraId="1DB7DFFC" w14:textId="77777777" w:rsidTr="002C027A">
        <w:trPr>
          <w:trHeight w:val="283"/>
        </w:trPr>
        <w:tc>
          <w:tcPr>
            <w:tcW w:w="1998" w:type="dxa"/>
            <w:tcBorders>
              <w:top w:val="nil"/>
              <w:left w:val="nil"/>
              <w:bottom w:val="nil"/>
              <w:right w:val="nil"/>
            </w:tcBorders>
            <w:shd w:val="clear" w:color="000000" w:fill="FFFFFF"/>
            <w:vAlign w:val="center"/>
            <w:hideMark/>
          </w:tcPr>
          <w:p w14:paraId="1B8A68A9" w14:textId="77777777" w:rsidR="00AC6426" w:rsidRPr="00C60492" w:rsidRDefault="00AC6426" w:rsidP="002C027A">
            <w:pPr>
              <w:spacing w:after="0" w:line="240" w:lineRule="auto"/>
              <w:jc w:val="left"/>
              <w:rPr>
                <w:rFonts w:eastAsia="Times New Roman" w:cs="Segoe UI"/>
                <w:sz w:val="18"/>
                <w:szCs w:val="18"/>
                <w:lang w:eastAsia="sk-SK"/>
              </w:rPr>
            </w:pPr>
            <w:r w:rsidRPr="00C60492">
              <w:rPr>
                <w:rFonts w:eastAsia="Times New Roman" w:cs="Segoe UI"/>
                <w:sz w:val="18"/>
                <w:szCs w:val="18"/>
                <w:lang w:eastAsia="sk-SK"/>
              </w:rPr>
              <w:t>MZVEZ SR</w:t>
            </w:r>
          </w:p>
        </w:tc>
        <w:tc>
          <w:tcPr>
            <w:tcW w:w="1404" w:type="dxa"/>
            <w:tcBorders>
              <w:top w:val="nil"/>
              <w:left w:val="nil"/>
              <w:bottom w:val="nil"/>
              <w:right w:val="nil"/>
            </w:tcBorders>
            <w:shd w:val="clear" w:color="000000" w:fill="FFFFFF"/>
            <w:vAlign w:val="center"/>
            <w:hideMark/>
          </w:tcPr>
          <w:p w14:paraId="27DDD9A9"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276" w:type="dxa"/>
            <w:tcBorders>
              <w:top w:val="nil"/>
              <w:left w:val="nil"/>
              <w:bottom w:val="nil"/>
              <w:right w:val="nil"/>
            </w:tcBorders>
            <w:shd w:val="clear" w:color="000000" w:fill="FFFFFF"/>
            <w:vAlign w:val="center"/>
            <w:hideMark/>
          </w:tcPr>
          <w:p w14:paraId="04F40011"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535</w:t>
            </w:r>
          </w:p>
        </w:tc>
        <w:tc>
          <w:tcPr>
            <w:tcW w:w="1276" w:type="dxa"/>
            <w:tcBorders>
              <w:top w:val="nil"/>
              <w:left w:val="nil"/>
              <w:bottom w:val="nil"/>
              <w:right w:val="nil"/>
            </w:tcBorders>
            <w:shd w:val="clear" w:color="000000" w:fill="FFFFFF"/>
            <w:vAlign w:val="center"/>
            <w:hideMark/>
          </w:tcPr>
          <w:p w14:paraId="1FB32D39"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0</w:t>
            </w:r>
          </w:p>
        </w:tc>
        <w:tc>
          <w:tcPr>
            <w:tcW w:w="1417" w:type="dxa"/>
            <w:tcBorders>
              <w:top w:val="nil"/>
              <w:left w:val="nil"/>
              <w:bottom w:val="nil"/>
              <w:right w:val="nil"/>
            </w:tcBorders>
            <w:shd w:val="clear" w:color="000000" w:fill="FFFFFF"/>
            <w:vAlign w:val="center"/>
            <w:hideMark/>
          </w:tcPr>
          <w:p w14:paraId="37DA9B28" w14:textId="77777777" w:rsidR="00AC6426" w:rsidRPr="00C60492" w:rsidRDefault="00AC6426" w:rsidP="002C027A">
            <w:pPr>
              <w:spacing w:after="0" w:line="240" w:lineRule="auto"/>
              <w:jc w:val="right"/>
              <w:rPr>
                <w:rFonts w:eastAsia="Times New Roman" w:cs="Segoe UI"/>
                <w:sz w:val="18"/>
                <w:szCs w:val="18"/>
                <w:lang w:eastAsia="sk-SK"/>
              </w:rPr>
            </w:pPr>
            <w:r w:rsidRPr="00C60492">
              <w:rPr>
                <w:rFonts w:eastAsia="Times New Roman" w:cs="Segoe UI"/>
                <w:sz w:val="18"/>
                <w:szCs w:val="18"/>
                <w:lang w:eastAsia="sk-SK"/>
              </w:rPr>
              <w:t>-535</w:t>
            </w:r>
          </w:p>
        </w:tc>
        <w:tc>
          <w:tcPr>
            <w:tcW w:w="1701" w:type="dxa"/>
            <w:tcBorders>
              <w:top w:val="nil"/>
              <w:left w:val="nil"/>
              <w:bottom w:val="nil"/>
              <w:right w:val="nil"/>
            </w:tcBorders>
            <w:shd w:val="clear" w:color="000000" w:fill="FFFFFF"/>
            <w:vAlign w:val="bottom"/>
            <w:hideMark/>
          </w:tcPr>
          <w:p w14:paraId="587F10E4" w14:textId="77777777" w:rsidR="00AC6426" w:rsidRPr="00C60492" w:rsidRDefault="00AC6426" w:rsidP="002C027A">
            <w:pPr>
              <w:spacing w:after="0" w:line="240" w:lineRule="auto"/>
              <w:jc w:val="right"/>
              <w:rPr>
                <w:rFonts w:eastAsia="Times New Roman" w:cs="Segoe UI"/>
                <w:color w:val="000000" w:themeColor="text1"/>
                <w:sz w:val="18"/>
                <w:szCs w:val="18"/>
                <w:lang w:eastAsia="sk-SK"/>
              </w:rPr>
            </w:pPr>
            <w:r w:rsidRPr="00C60492">
              <w:rPr>
                <w:rFonts w:eastAsia="Times New Roman" w:cs="Segoe UI"/>
                <w:color w:val="000000" w:themeColor="text1"/>
                <w:sz w:val="18"/>
                <w:szCs w:val="18"/>
                <w:lang w:eastAsia="sk-SK"/>
              </w:rPr>
              <w:t>0,00</w:t>
            </w:r>
          </w:p>
        </w:tc>
      </w:tr>
      <w:tr w:rsidR="00AC6426" w:rsidRPr="00FC2FD0" w14:paraId="06B0B407" w14:textId="77777777" w:rsidTr="002C027A">
        <w:trPr>
          <w:trHeight w:val="283"/>
        </w:trPr>
        <w:tc>
          <w:tcPr>
            <w:tcW w:w="1998" w:type="dxa"/>
            <w:tcBorders>
              <w:left w:val="nil"/>
              <w:bottom w:val="single" w:sz="4" w:space="0" w:color="314364" w:themeColor="text2"/>
              <w:right w:val="nil"/>
            </w:tcBorders>
            <w:shd w:val="clear" w:color="000000" w:fill="FFFFFF"/>
            <w:vAlign w:val="center"/>
            <w:hideMark/>
          </w:tcPr>
          <w:p w14:paraId="32188244" w14:textId="77777777" w:rsidR="00AC6426" w:rsidRPr="00C60492" w:rsidRDefault="00AC6426" w:rsidP="002C027A">
            <w:pPr>
              <w:spacing w:after="0" w:line="240" w:lineRule="auto"/>
              <w:jc w:val="left"/>
              <w:rPr>
                <w:rFonts w:eastAsia="Times New Roman" w:cs="Segoe UI"/>
                <w:b/>
                <w:bCs/>
                <w:sz w:val="18"/>
                <w:szCs w:val="18"/>
                <w:lang w:eastAsia="sk-SK"/>
              </w:rPr>
            </w:pPr>
            <w:r w:rsidRPr="00C60492">
              <w:rPr>
                <w:rFonts w:eastAsia="Times New Roman" w:cs="Segoe UI"/>
                <w:b/>
                <w:bCs/>
                <w:sz w:val="18"/>
                <w:szCs w:val="18"/>
                <w:lang w:eastAsia="sk-SK"/>
              </w:rPr>
              <w:t>Spolu</w:t>
            </w:r>
          </w:p>
        </w:tc>
        <w:tc>
          <w:tcPr>
            <w:tcW w:w="1404" w:type="dxa"/>
            <w:tcBorders>
              <w:left w:val="nil"/>
              <w:bottom w:val="single" w:sz="4" w:space="0" w:color="314364" w:themeColor="text2"/>
              <w:right w:val="nil"/>
            </w:tcBorders>
            <w:shd w:val="clear" w:color="000000" w:fill="FFFFFF"/>
            <w:vAlign w:val="center"/>
            <w:hideMark/>
          </w:tcPr>
          <w:p w14:paraId="714A3B9F" w14:textId="77777777" w:rsidR="00AC6426" w:rsidRPr="00C60492" w:rsidRDefault="00AC6426" w:rsidP="002C027A">
            <w:pPr>
              <w:spacing w:after="0" w:line="240" w:lineRule="auto"/>
              <w:jc w:val="right"/>
              <w:rPr>
                <w:rFonts w:eastAsia="Times New Roman" w:cs="Segoe UI"/>
                <w:b/>
                <w:bCs/>
                <w:sz w:val="18"/>
                <w:szCs w:val="18"/>
                <w:lang w:eastAsia="sk-SK"/>
              </w:rPr>
            </w:pPr>
            <w:r w:rsidRPr="00C60492">
              <w:rPr>
                <w:rFonts w:eastAsia="Times New Roman" w:cs="Segoe UI"/>
                <w:b/>
                <w:bCs/>
                <w:sz w:val="18"/>
                <w:szCs w:val="18"/>
                <w:lang w:eastAsia="sk-SK"/>
              </w:rPr>
              <w:t>6 148</w:t>
            </w:r>
          </w:p>
        </w:tc>
        <w:tc>
          <w:tcPr>
            <w:tcW w:w="1276" w:type="dxa"/>
            <w:tcBorders>
              <w:left w:val="nil"/>
              <w:bottom w:val="single" w:sz="4" w:space="0" w:color="314364" w:themeColor="text2"/>
              <w:right w:val="nil"/>
            </w:tcBorders>
            <w:shd w:val="clear" w:color="000000" w:fill="FFFFFF"/>
            <w:vAlign w:val="center"/>
            <w:hideMark/>
          </w:tcPr>
          <w:p w14:paraId="47DE498F" w14:textId="77777777" w:rsidR="00AC6426" w:rsidRPr="00C60492" w:rsidRDefault="00AC6426" w:rsidP="002C027A">
            <w:pPr>
              <w:spacing w:after="0" w:line="240" w:lineRule="auto"/>
              <w:jc w:val="right"/>
              <w:rPr>
                <w:rFonts w:eastAsia="Times New Roman" w:cs="Segoe UI"/>
                <w:b/>
                <w:bCs/>
                <w:sz w:val="18"/>
                <w:szCs w:val="18"/>
                <w:lang w:eastAsia="sk-SK"/>
              </w:rPr>
            </w:pPr>
            <w:r w:rsidRPr="00C60492">
              <w:rPr>
                <w:rFonts w:eastAsia="Times New Roman" w:cs="Segoe UI"/>
                <w:b/>
                <w:bCs/>
                <w:sz w:val="18"/>
                <w:szCs w:val="18"/>
                <w:lang w:eastAsia="sk-SK"/>
              </w:rPr>
              <w:t>1 301 972</w:t>
            </w:r>
          </w:p>
        </w:tc>
        <w:tc>
          <w:tcPr>
            <w:tcW w:w="1276" w:type="dxa"/>
            <w:tcBorders>
              <w:left w:val="nil"/>
              <w:bottom w:val="single" w:sz="4" w:space="0" w:color="314364" w:themeColor="text2"/>
              <w:right w:val="nil"/>
            </w:tcBorders>
            <w:shd w:val="clear" w:color="000000" w:fill="FFFFFF"/>
            <w:vAlign w:val="center"/>
            <w:hideMark/>
          </w:tcPr>
          <w:p w14:paraId="35B8C419" w14:textId="77777777" w:rsidR="00AC6426" w:rsidRPr="00C60492" w:rsidRDefault="00AC6426" w:rsidP="002C027A">
            <w:pPr>
              <w:spacing w:after="0" w:line="240" w:lineRule="auto"/>
              <w:jc w:val="right"/>
              <w:rPr>
                <w:rFonts w:eastAsia="Times New Roman" w:cs="Segoe UI"/>
                <w:b/>
                <w:bCs/>
                <w:sz w:val="18"/>
                <w:szCs w:val="18"/>
                <w:lang w:eastAsia="sk-SK"/>
              </w:rPr>
            </w:pPr>
            <w:r w:rsidRPr="00C60492">
              <w:rPr>
                <w:rFonts w:eastAsia="Times New Roman" w:cs="Segoe UI"/>
                <w:b/>
                <w:bCs/>
                <w:sz w:val="18"/>
                <w:szCs w:val="18"/>
                <w:lang w:eastAsia="sk-SK"/>
              </w:rPr>
              <w:t>49 021</w:t>
            </w:r>
          </w:p>
        </w:tc>
        <w:tc>
          <w:tcPr>
            <w:tcW w:w="1417" w:type="dxa"/>
            <w:tcBorders>
              <w:left w:val="nil"/>
              <w:bottom w:val="single" w:sz="4" w:space="0" w:color="314364" w:themeColor="text2"/>
              <w:right w:val="nil"/>
            </w:tcBorders>
            <w:shd w:val="clear" w:color="000000" w:fill="FFFFFF"/>
            <w:vAlign w:val="center"/>
            <w:hideMark/>
          </w:tcPr>
          <w:p w14:paraId="0C47C20F" w14:textId="77777777" w:rsidR="00AC6426" w:rsidRPr="00C60492" w:rsidRDefault="00AC6426" w:rsidP="002C027A">
            <w:pPr>
              <w:spacing w:after="0" w:line="240" w:lineRule="auto"/>
              <w:jc w:val="right"/>
              <w:rPr>
                <w:rFonts w:eastAsia="Times New Roman" w:cs="Segoe UI"/>
                <w:b/>
                <w:bCs/>
                <w:sz w:val="18"/>
                <w:szCs w:val="18"/>
                <w:lang w:eastAsia="sk-SK"/>
              </w:rPr>
            </w:pPr>
            <w:r w:rsidRPr="00C60492">
              <w:rPr>
                <w:rFonts w:eastAsia="Times New Roman" w:cs="Segoe UI"/>
                <w:b/>
                <w:bCs/>
                <w:sz w:val="18"/>
                <w:szCs w:val="18"/>
                <w:lang w:eastAsia="sk-SK"/>
              </w:rPr>
              <w:t>-1 252 951</w:t>
            </w:r>
          </w:p>
        </w:tc>
        <w:tc>
          <w:tcPr>
            <w:tcW w:w="1701" w:type="dxa"/>
            <w:tcBorders>
              <w:left w:val="nil"/>
              <w:bottom w:val="single" w:sz="4" w:space="0" w:color="314364" w:themeColor="text2"/>
              <w:right w:val="nil"/>
            </w:tcBorders>
            <w:shd w:val="clear" w:color="000000" w:fill="FFFFFF"/>
            <w:vAlign w:val="center"/>
            <w:hideMark/>
          </w:tcPr>
          <w:p w14:paraId="37EC7E29" w14:textId="77777777" w:rsidR="00AC6426" w:rsidRPr="00C60492" w:rsidRDefault="00AC6426" w:rsidP="002C027A">
            <w:pPr>
              <w:spacing w:after="0" w:line="240" w:lineRule="auto"/>
              <w:jc w:val="right"/>
              <w:rPr>
                <w:rFonts w:eastAsia="Times New Roman" w:cs="Segoe UI"/>
                <w:b/>
                <w:color w:val="000000" w:themeColor="text1"/>
                <w:sz w:val="18"/>
                <w:szCs w:val="18"/>
                <w:lang w:eastAsia="sk-SK"/>
              </w:rPr>
            </w:pPr>
            <w:r w:rsidRPr="00C60492">
              <w:rPr>
                <w:rFonts w:eastAsia="Times New Roman" w:cs="Segoe UI"/>
                <w:b/>
                <w:color w:val="000000" w:themeColor="text1"/>
                <w:sz w:val="18"/>
                <w:szCs w:val="18"/>
                <w:lang w:eastAsia="sk-SK"/>
              </w:rPr>
              <w:t>3,76</w:t>
            </w:r>
          </w:p>
        </w:tc>
      </w:tr>
    </w:tbl>
    <w:p w14:paraId="43F72ECF" w14:textId="624BE141" w:rsidR="00AC6426" w:rsidRPr="00391E84" w:rsidRDefault="00AC6426" w:rsidP="00AC6426">
      <w:pPr>
        <w:spacing w:line="240" w:lineRule="auto"/>
        <w:jc w:val="left"/>
        <w:rPr>
          <w:rFonts w:eastAsia="Times New Roman" w:cs="Segoe UI"/>
          <w:i/>
          <w:iCs/>
          <w:color w:val="44546A"/>
          <w:sz w:val="16"/>
          <w:szCs w:val="16"/>
          <w:lang w:eastAsia="sk-SK"/>
        </w:rPr>
      </w:pPr>
      <w:r w:rsidRPr="00391E84">
        <w:rPr>
          <w:rFonts w:eastAsia="Times New Roman" w:cs="Segoe UI"/>
          <w:i/>
          <w:iCs/>
          <w:color w:val="44546A"/>
          <w:sz w:val="16"/>
          <w:szCs w:val="16"/>
          <w:lang w:eastAsia="sk-SK"/>
        </w:rPr>
        <w:t>Zdroj: Návrh ŠZÚ 2022</w:t>
      </w:r>
      <w:r w:rsidR="0024233A">
        <w:rPr>
          <w:rFonts w:eastAsia="Times New Roman" w:cs="Segoe UI"/>
          <w:i/>
          <w:iCs/>
          <w:color w:val="44546A"/>
          <w:sz w:val="16"/>
          <w:szCs w:val="16"/>
          <w:lang w:eastAsia="sk-SK"/>
        </w:rPr>
        <w:t>.</w:t>
      </w:r>
    </w:p>
    <w:p w14:paraId="6897A377" w14:textId="62973793" w:rsidR="00512FE6" w:rsidRDefault="00BB288E" w:rsidP="00BB288E">
      <w:pPr>
        <w:rPr>
          <w:rFonts w:eastAsia="Calibri" w:cs="Segoe UI"/>
        </w:rPr>
      </w:pPr>
      <w:r w:rsidRPr="004E4975">
        <w:rPr>
          <w:rFonts w:eastAsia="Calibri" w:cs="Segoe UI"/>
        </w:rPr>
        <w:t>Medziročný nárast rozpočtovaných výdavkov na regionálne školstvo o 33</w:t>
      </w:r>
      <w:r w:rsidR="00AC6426">
        <w:rPr>
          <w:rFonts w:eastAsia="Calibri" w:cs="Segoe UI"/>
        </w:rPr>
        <w:t>4</w:t>
      </w:r>
      <w:r w:rsidRPr="004E4975">
        <w:rPr>
          <w:rFonts w:eastAsia="Calibri" w:cs="Segoe UI"/>
        </w:rPr>
        <w:t xml:space="preserve"> mil. eur z</w:t>
      </w:r>
      <w:r>
        <w:rPr>
          <w:rFonts w:eastAsia="Calibri" w:cs="Segoe UI"/>
        </w:rPr>
        <w:t xml:space="preserve"> POO </w:t>
      </w:r>
      <w:r w:rsidRPr="004E4975">
        <w:rPr>
          <w:rFonts w:eastAsia="Calibri" w:cs="Segoe UI"/>
        </w:rPr>
        <w:t>mal prispieť k rozvoju regionálneho školstva zvýšením dostupnosti a kvality inkluzívneho vzdelávania a vytvorením nového obsahu vzdelávania. Tieto výdavky mali slúžiť na posilnenie inklúzie sociálne a zdravotne znevýhodnených detí vo vzdelávaní, rozšírenie kapacít materských škôl, zabezpečenie nových učebníc a zmenu v príprave a profesionálnom rozvoji učiteľov. Čerpanie rozpočtu k 31.</w:t>
      </w:r>
      <w:r w:rsidR="00512FE6">
        <w:rPr>
          <w:rFonts w:eastAsia="Calibri" w:cs="Segoe UI"/>
        </w:rPr>
        <w:t xml:space="preserve"> </w:t>
      </w:r>
      <w:r w:rsidRPr="004E4975">
        <w:rPr>
          <w:rFonts w:eastAsia="Calibri" w:cs="Segoe UI"/>
        </w:rPr>
        <w:t>12.</w:t>
      </w:r>
      <w:r w:rsidR="00512FE6">
        <w:rPr>
          <w:rFonts w:eastAsia="Calibri" w:cs="Segoe UI"/>
        </w:rPr>
        <w:t xml:space="preserve"> </w:t>
      </w:r>
      <w:r w:rsidRPr="004E4975">
        <w:rPr>
          <w:rFonts w:eastAsia="Calibri" w:cs="Segoe UI"/>
        </w:rPr>
        <w:t xml:space="preserve">2022 predstavovalo </w:t>
      </w:r>
      <w:r>
        <w:rPr>
          <w:rFonts w:eastAsia="Calibri" w:cs="Segoe UI"/>
        </w:rPr>
        <w:t>viac ako 25</w:t>
      </w:r>
      <w:r w:rsidRPr="004E4975">
        <w:rPr>
          <w:rFonts w:eastAsia="Calibri" w:cs="Segoe UI"/>
        </w:rPr>
        <w:t xml:space="preserve"> mil. eur</w:t>
      </w:r>
      <w:r w:rsidRPr="0096260B">
        <w:rPr>
          <w:rFonts w:eastAsia="Calibri"/>
          <w:vertAlign w:val="superscript"/>
        </w:rPr>
        <w:footnoteReference w:id="52"/>
      </w:r>
      <w:r w:rsidRPr="0096260B">
        <w:rPr>
          <w:rFonts w:eastAsia="Calibri" w:cs="Segoe UI"/>
        </w:rPr>
        <w:t>.</w:t>
      </w:r>
      <w:r w:rsidRPr="004E4975">
        <w:rPr>
          <w:rFonts w:eastAsia="Calibri" w:cs="Segoe UI"/>
        </w:rPr>
        <w:t xml:space="preserve"> Najviac prostriedkov išlo na obnov</w:t>
      </w:r>
      <w:r w:rsidR="00E63357">
        <w:rPr>
          <w:rFonts w:eastAsia="Calibri" w:cs="Segoe UI"/>
        </w:rPr>
        <w:t>u</w:t>
      </w:r>
      <w:r w:rsidRPr="004E4975">
        <w:rPr>
          <w:rFonts w:eastAsia="Calibri" w:cs="Segoe UI"/>
        </w:rPr>
        <w:t xml:space="preserve"> učebnicového fondu v súvislosti s </w:t>
      </w:r>
      <w:proofErr w:type="spellStart"/>
      <w:r w:rsidRPr="004E4975">
        <w:rPr>
          <w:rFonts w:eastAsia="Calibri" w:cs="Segoe UI"/>
        </w:rPr>
        <w:t>kurikulárnou</w:t>
      </w:r>
      <w:proofErr w:type="spellEnd"/>
      <w:r w:rsidRPr="004E4975">
        <w:rPr>
          <w:rFonts w:eastAsia="Calibri" w:cs="Segoe UI"/>
        </w:rPr>
        <w:t xml:space="preserve"> reformou (6,8 mil. eur), spustenie programu doučovania na základných a stredných školách (6,3 mil. eur) a zavedenie pozície „pomocný vychovávateľ“ a „školská zd</w:t>
      </w:r>
      <w:r w:rsidR="00512FE6">
        <w:rPr>
          <w:rFonts w:eastAsia="Calibri" w:cs="Segoe UI"/>
        </w:rPr>
        <w:t>ravotná sestra“ (3,6 mil. eur).</w:t>
      </w:r>
    </w:p>
    <w:p w14:paraId="4AFE3AC3" w14:textId="7D398BBF" w:rsidR="00BB288E" w:rsidRPr="0009532E" w:rsidRDefault="0009532E" w:rsidP="00BB288E">
      <w:pPr>
        <w:rPr>
          <w:rFonts w:eastAsia="Calibri" w:cs="Segoe UI"/>
        </w:rPr>
      </w:pPr>
      <w:r w:rsidRPr="004E4975">
        <w:rPr>
          <w:rFonts w:eastAsia="Calibri" w:cs="Segoe UI"/>
          <w:b/>
        </w:rPr>
        <w:t>Na dobudovanie kapacít matersk</w:t>
      </w:r>
      <w:r>
        <w:rPr>
          <w:rFonts w:eastAsia="Calibri" w:cs="Segoe UI"/>
          <w:b/>
        </w:rPr>
        <w:t>ých škôl malo ísť 71,9 mil. eur, ale k</w:t>
      </w:r>
      <w:r w:rsidRPr="004E4975">
        <w:rPr>
          <w:rFonts w:eastAsia="Calibri" w:cs="Segoe UI"/>
          <w:b/>
        </w:rPr>
        <w:t> 31.</w:t>
      </w:r>
      <w:r>
        <w:rPr>
          <w:rFonts w:eastAsia="Calibri" w:cs="Segoe UI"/>
          <w:b/>
        </w:rPr>
        <w:t xml:space="preserve"> </w:t>
      </w:r>
      <w:r w:rsidRPr="004E4975">
        <w:rPr>
          <w:rFonts w:eastAsia="Calibri" w:cs="Segoe UI"/>
          <w:b/>
        </w:rPr>
        <w:t>12.</w:t>
      </w:r>
      <w:r>
        <w:rPr>
          <w:rFonts w:eastAsia="Calibri" w:cs="Segoe UI"/>
          <w:b/>
        </w:rPr>
        <w:t xml:space="preserve"> </w:t>
      </w:r>
      <w:r w:rsidRPr="004E4975">
        <w:rPr>
          <w:rFonts w:eastAsia="Calibri" w:cs="Segoe UI"/>
          <w:b/>
        </w:rPr>
        <w:t>2022 bolo na tento účel vyčerpaných 0,9 mil. eur (1,3 %).</w:t>
      </w:r>
      <w:r w:rsidRPr="00C60492">
        <w:rPr>
          <w:rFonts w:eastAsia="Calibri" w:cs="Segoe UI"/>
        </w:rPr>
        <w:t xml:space="preserve"> Alokované </w:t>
      </w:r>
      <w:r>
        <w:rPr>
          <w:rFonts w:eastAsia="Calibri" w:cs="Segoe UI"/>
        </w:rPr>
        <w:t xml:space="preserve">a </w:t>
      </w:r>
      <w:r w:rsidRPr="00C60492">
        <w:rPr>
          <w:rFonts w:eastAsia="Calibri" w:cs="Segoe UI"/>
        </w:rPr>
        <w:t>nevyužité finančné prostried</w:t>
      </w:r>
      <w:r>
        <w:rPr>
          <w:rFonts w:eastAsia="Calibri" w:cs="Segoe UI"/>
        </w:rPr>
        <w:t>ky</w:t>
      </w:r>
      <w:r w:rsidRPr="004F6914">
        <w:rPr>
          <w:rFonts w:eastAsia="Calibri" w:cs="Segoe UI"/>
        </w:rPr>
        <w:t xml:space="preserve"> maj</w:t>
      </w:r>
      <w:r>
        <w:rPr>
          <w:rFonts w:eastAsia="Calibri" w:cs="Segoe UI"/>
        </w:rPr>
        <w:t>ú byť využité</w:t>
      </w:r>
      <w:r w:rsidRPr="00C60492">
        <w:rPr>
          <w:rFonts w:eastAsia="Calibri" w:cs="Segoe UI"/>
        </w:rPr>
        <w:t xml:space="preserve"> v nasledujúcich rokoch</w:t>
      </w:r>
      <w:r w:rsidRPr="004F6914">
        <w:rPr>
          <w:rFonts w:eastAsia="Calibri" w:cs="Segoe UI"/>
        </w:rPr>
        <w:t xml:space="preserve">, aby </w:t>
      </w:r>
      <w:r w:rsidRPr="00C60492">
        <w:rPr>
          <w:rFonts w:eastAsia="Calibri" w:cs="Segoe UI"/>
        </w:rPr>
        <w:t>sa podarilo naplniť aktuálny cieľ, ktorý hovorí o vybudovaní 9 017 miest v materských školách do 30.</w:t>
      </w:r>
      <w:r>
        <w:rPr>
          <w:rFonts w:eastAsia="Calibri" w:cs="Segoe UI"/>
        </w:rPr>
        <w:t xml:space="preserve"> </w:t>
      </w:r>
      <w:r w:rsidRPr="00C60492">
        <w:rPr>
          <w:rFonts w:eastAsia="Calibri" w:cs="Segoe UI"/>
        </w:rPr>
        <w:t>6.</w:t>
      </w:r>
      <w:r>
        <w:rPr>
          <w:rFonts w:eastAsia="Calibri" w:cs="Segoe UI"/>
        </w:rPr>
        <w:t xml:space="preserve"> </w:t>
      </w:r>
      <w:r w:rsidRPr="00C60492">
        <w:rPr>
          <w:rFonts w:eastAsia="Calibri" w:cs="Segoe UI"/>
        </w:rPr>
        <w:t xml:space="preserve">2026. </w:t>
      </w:r>
      <w:r>
        <w:rPr>
          <w:rFonts w:eastAsia="Calibri" w:cs="Segoe UI"/>
        </w:rPr>
        <w:t xml:space="preserve">Zo ŠR na tento účel neboli poskytnuté </w:t>
      </w:r>
      <w:r w:rsidRPr="00E711A6">
        <w:rPr>
          <w:rFonts w:eastAsia="Calibri" w:cs="Segoe UI"/>
        </w:rPr>
        <w:t>finančné prostriedky</w:t>
      </w:r>
      <w:r w:rsidR="00E63357">
        <w:rPr>
          <w:rFonts w:eastAsia="Calibri" w:cs="Segoe UI"/>
        </w:rPr>
        <w:t xml:space="preserve">. </w:t>
      </w:r>
      <w:r w:rsidR="00BA78E8">
        <w:rPr>
          <w:rFonts w:eastAsia="Calibri" w:cs="Segoe UI"/>
        </w:rPr>
        <w:t>Doterajší minimálny progres v budovaní nových kapacít materských škôl spolu s prijatím novej legislatívy bude mať negatívny vplyv na štátny rozpočet v dôsledku zvýšených výdavkov na navýšené rodičovské príspevky.</w:t>
      </w:r>
      <w:r w:rsidR="00E63357">
        <w:rPr>
          <w:rFonts w:eastAsia="Calibri" w:cs="Segoe UI"/>
        </w:rPr>
        <w:t xml:space="preserve"> Podľa nového zákona</w:t>
      </w:r>
      <w:r w:rsidR="00E63357">
        <w:rPr>
          <w:rStyle w:val="Odkaznapoznmkupodiarou"/>
          <w:rFonts w:eastAsia="Calibri" w:cs="Segoe UI"/>
        </w:rPr>
        <w:footnoteReference w:id="53"/>
      </w:r>
      <w:r w:rsidR="00E63357">
        <w:rPr>
          <w:rFonts w:eastAsia="Calibri" w:cs="Segoe UI"/>
        </w:rPr>
        <w:t>, a</w:t>
      </w:r>
      <w:r w:rsidR="00E63357" w:rsidRPr="00E63357">
        <w:rPr>
          <w:rFonts w:eastAsia="Calibri" w:cs="Segoe UI"/>
        </w:rPr>
        <w:t>k je rodič (zákonný zástupca) neúspešný pri umiestnení dieťa do štátnej materskej školy (materská škola zriadená územnou samosprávou alebo orgánom miestnej štátnej správy) podľa trvalého pobytu dieťaťa, vzniká zákonnému zástupcovi nárok na rodičovský prís</w:t>
      </w:r>
      <w:r w:rsidR="00E63357">
        <w:rPr>
          <w:rFonts w:eastAsia="Calibri" w:cs="Segoe UI"/>
        </w:rPr>
        <w:t>pevok.</w:t>
      </w:r>
      <w:r w:rsidR="00E63357">
        <w:rPr>
          <w:rStyle w:val="Odkaznapoznmkupodiarou"/>
          <w:rFonts w:eastAsia="Calibri" w:cs="Segoe UI"/>
        </w:rPr>
        <w:footnoteReference w:id="54"/>
      </w:r>
    </w:p>
    <w:p w14:paraId="0C5EE0F1" w14:textId="16C4942F" w:rsidR="0009532E" w:rsidRDefault="00BB288E" w:rsidP="0009532E">
      <w:pPr>
        <w:rPr>
          <w:rFonts w:eastAsia="Calibri" w:cs="Segoe UI"/>
        </w:rPr>
      </w:pPr>
      <w:r w:rsidRPr="004E4975">
        <w:rPr>
          <w:rFonts w:eastAsia="Calibri" w:cs="Segoe UI"/>
          <w:b/>
        </w:rPr>
        <w:t>Vo vysokom školstve malo 30,7 mil. eur slúžiť na kapitálové investície VŠ</w:t>
      </w:r>
      <w:r w:rsidR="00512FE6">
        <w:rPr>
          <w:rFonts w:eastAsia="Calibri" w:cs="Segoe UI"/>
          <w:b/>
        </w:rPr>
        <w:t>, ale k</w:t>
      </w:r>
      <w:r w:rsidR="00512FE6" w:rsidRPr="004E4975">
        <w:rPr>
          <w:rFonts w:eastAsia="Calibri" w:cs="Segoe UI"/>
          <w:b/>
        </w:rPr>
        <w:t> 31.</w:t>
      </w:r>
      <w:r w:rsidR="00512FE6">
        <w:rPr>
          <w:rFonts w:eastAsia="Calibri" w:cs="Segoe UI"/>
          <w:b/>
        </w:rPr>
        <w:t xml:space="preserve"> </w:t>
      </w:r>
      <w:r w:rsidR="00512FE6" w:rsidRPr="004E4975">
        <w:rPr>
          <w:rFonts w:eastAsia="Calibri" w:cs="Segoe UI"/>
          <w:b/>
        </w:rPr>
        <w:t>12.</w:t>
      </w:r>
      <w:r w:rsidR="00512FE6">
        <w:rPr>
          <w:rFonts w:eastAsia="Calibri" w:cs="Segoe UI"/>
          <w:b/>
        </w:rPr>
        <w:t xml:space="preserve"> </w:t>
      </w:r>
      <w:r w:rsidR="00512FE6" w:rsidRPr="004E4975">
        <w:rPr>
          <w:rFonts w:eastAsia="Calibri" w:cs="Segoe UI"/>
          <w:b/>
        </w:rPr>
        <w:t xml:space="preserve">2022 nebolo z týchto </w:t>
      </w:r>
      <w:r w:rsidR="00E63357">
        <w:rPr>
          <w:rFonts w:eastAsia="Calibri" w:cs="Segoe UI"/>
          <w:b/>
        </w:rPr>
        <w:t xml:space="preserve">rozpočtovaných </w:t>
      </w:r>
      <w:r w:rsidR="00512FE6" w:rsidRPr="004E4975">
        <w:rPr>
          <w:rFonts w:eastAsia="Calibri" w:cs="Segoe UI"/>
          <w:b/>
        </w:rPr>
        <w:t>prostriedkov vyčerpané ani jedno euro</w:t>
      </w:r>
      <w:r w:rsidRPr="004E4975">
        <w:rPr>
          <w:rFonts w:eastAsia="Calibri" w:cs="Segoe UI"/>
          <w:b/>
        </w:rPr>
        <w:t>.</w:t>
      </w:r>
      <w:r w:rsidRPr="004E4975">
        <w:rPr>
          <w:rFonts w:eastAsia="Calibri" w:cs="Segoe UI"/>
        </w:rPr>
        <w:t xml:space="preserve"> Ako príklad sa v</w:t>
      </w:r>
      <w:r w:rsidR="00E63357">
        <w:rPr>
          <w:rFonts w:eastAsia="Calibri" w:cs="Segoe UI"/>
        </w:rPr>
        <w:t> RVS uvádza</w:t>
      </w:r>
      <w:r w:rsidRPr="004E4975">
        <w:rPr>
          <w:rFonts w:eastAsia="Calibri" w:cs="Segoe UI"/>
        </w:rPr>
        <w:t xml:space="preserve"> modernizácia budov a internátov. Dôvodom </w:t>
      </w:r>
      <w:r w:rsidR="00E63357">
        <w:rPr>
          <w:rFonts w:eastAsia="Calibri" w:cs="Segoe UI"/>
        </w:rPr>
        <w:t xml:space="preserve">nečerpania </w:t>
      </w:r>
      <w:r w:rsidRPr="004E4975">
        <w:rPr>
          <w:rFonts w:eastAsia="Calibri" w:cs="Segoe UI"/>
        </w:rPr>
        <w:t xml:space="preserve">je, že NIKA požadovala, aby boli najprv vyhlasované výzvy smerujúce k integrácii VŠ a až následne výzvy na rekonštrukcie a modernizácie ich budov. Do integračných výziev sa však neprihlásila žiadna VŠ. MŠVVaŠ SR teda ako hlavný dôvod </w:t>
      </w:r>
      <w:r w:rsidRPr="004E4975">
        <w:rPr>
          <w:rFonts w:eastAsia="Calibri" w:cs="Segoe UI"/>
        </w:rPr>
        <w:lastRenderedPageBreak/>
        <w:t>nečerpania uvádza nezáujem zo strany škôl o zapojenie sa do týchto výziev s ich podmienkami a požiadavkami.</w:t>
      </w:r>
      <w:r w:rsidR="0009532E" w:rsidRPr="0009532E">
        <w:rPr>
          <w:rFonts w:eastAsia="Calibri" w:cs="Segoe UI"/>
        </w:rPr>
        <w:t xml:space="preserve"> </w:t>
      </w:r>
      <w:r w:rsidR="0009532E">
        <w:rPr>
          <w:rFonts w:eastAsia="Calibri" w:cs="Segoe UI"/>
        </w:rPr>
        <w:t>Zo ŠR boli</w:t>
      </w:r>
      <w:r w:rsidR="0009532E" w:rsidRPr="002D08B0">
        <w:rPr>
          <w:rFonts w:eastAsia="Calibri" w:cs="Segoe UI"/>
        </w:rPr>
        <w:t xml:space="preserve"> na rekonštrukcie a odstraňovan</w:t>
      </w:r>
      <w:r w:rsidR="0009532E">
        <w:rPr>
          <w:rFonts w:eastAsia="Calibri" w:cs="Segoe UI"/>
        </w:rPr>
        <w:t xml:space="preserve">ie havarijných stavov objektov verejných VŠ poskytnuté kapitálové dotácie v </w:t>
      </w:r>
      <w:r w:rsidR="00F732B5">
        <w:rPr>
          <w:rFonts w:eastAsia="Calibri" w:cs="Segoe UI"/>
        </w:rPr>
        <w:t>sume</w:t>
      </w:r>
      <w:r w:rsidR="0009532E">
        <w:rPr>
          <w:rFonts w:eastAsia="Calibri" w:cs="Segoe UI"/>
        </w:rPr>
        <w:t xml:space="preserve"> 6,4 mil. eur, pričom</w:t>
      </w:r>
      <w:r w:rsidR="0009532E" w:rsidRPr="002D08B0">
        <w:rPr>
          <w:rFonts w:eastAsia="Calibri" w:cs="Segoe UI"/>
        </w:rPr>
        <w:t xml:space="preserve"> na rekonšt</w:t>
      </w:r>
      <w:r w:rsidR="0009532E">
        <w:rPr>
          <w:rFonts w:eastAsia="Calibri" w:cs="Segoe UI"/>
        </w:rPr>
        <w:t>rukcie internátov išiel 1 mil. eur</w:t>
      </w:r>
      <w:r w:rsidR="0009532E" w:rsidRPr="002D08B0">
        <w:rPr>
          <w:rFonts w:eastAsia="Calibri" w:cs="Segoe UI"/>
        </w:rPr>
        <w:t>.</w:t>
      </w:r>
    </w:p>
    <w:p w14:paraId="372F326F" w14:textId="3AE8AF95" w:rsidR="00387EA0" w:rsidRPr="00A4046A" w:rsidRDefault="00387EA0" w:rsidP="00387EA0">
      <w:pPr>
        <w:rPr>
          <w:rFonts w:eastAsia="Calibri" w:cs="Segoe UI"/>
        </w:rPr>
      </w:pPr>
      <w:r w:rsidRPr="00FB6DAE">
        <w:rPr>
          <w:rFonts w:eastAsia="Calibri" w:cs="Segoe UI"/>
        </w:rPr>
        <w:t xml:space="preserve">V júli 2022 </w:t>
      </w:r>
      <w:r>
        <w:rPr>
          <w:rFonts w:eastAsia="Calibri" w:cs="Segoe UI"/>
        </w:rPr>
        <w:t xml:space="preserve">zahrnula </w:t>
      </w:r>
      <w:r w:rsidRPr="00FB6DAE">
        <w:rPr>
          <w:rFonts w:eastAsia="Calibri" w:cs="Segoe UI"/>
        </w:rPr>
        <w:t>vláda</w:t>
      </w:r>
      <w:r>
        <w:rPr>
          <w:rStyle w:val="Odkaznapoznmkupodiarou"/>
        </w:rPr>
        <w:footnoteReference w:id="55"/>
      </w:r>
      <w:r w:rsidRPr="00FB6DAE">
        <w:rPr>
          <w:rFonts w:eastAsia="Calibri" w:cs="Segoe UI"/>
        </w:rPr>
        <w:t xml:space="preserve"> </w:t>
      </w:r>
      <w:r>
        <w:rPr>
          <w:rFonts w:eastAsia="Calibri" w:cs="Segoe UI"/>
        </w:rPr>
        <w:t>do POO aj projekt</w:t>
      </w:r>
      <w:r w:rsidRPr="00FB6DAE">
        <w:rPr>
          <w:rFonts w:eastAsia="Calibri" w:cs="Segoe UI"/>
        </w:rPr>
        <w:t xml:space="preserve"> výstavby nemocnice Rázsochy</w:t>
      </w:r>
      <w:r>
        <w:rPr>
          <w:rFonts w:eastAsia="Calibri" w:cs="Segoe UI"/>
        </w:rPr>
        <w:t>, ako aj Univerzitnej nemocnice v Martine</w:t>
      </w:r>
      <w:r w:rsidRPr="00FB6DAE">
        <w:rPr>
          <w:rFonts w:eastAsia="Calibri" w:cs="Segoe UI"/>
        </w:rPr>
        <w:t>. Výdavky</w:t>
      </w:r>
      <w:r>
        <w:rPr>
          <w:rFonts w:eastAsia="Calibri" w:cs="Segoe UI"/>
        </w:rPr>
        <w:t xml:space="preserve"> na nemocnicu Rázsochy</w:t>
      </w:r>
      <w:r w:rsidRPr="00FB6DAE">
        <w:rPr>
          <w:rFonts w:eastAsia="Calibri" w:cs="Segoe UI"/>
        </w:rPr>
        <w:t xml:space="preserve"> sú rozpočtované vo výške 281 mil. eur</w:t>
      </w:r>
      <w:r>
        <w:rPr>
          <w:rFonts w:eastAsia="Calibri" w:cs="Segoe UI"/>
        </w:rPr>
        <w:t xml:space="preserve"> a na nemocnicu v Martine vo výške 330 mil. eur. V obidvoch prípadoch</w:t>
      </w:r>
      <w:r w:rsidRPr="00FB6DAE">
        <w:rPr>
          <w:rFonts w:eastAsia="Calibri" w:cs="Segoe UI"/>
        </w:rPr>
        <w:t xml:space="preserve"> by malo ísť o kľúčovú investíciu v slovenskom zdravotníctve a </w:t>
      </w:r>
      <w:r>
        <w:rPr>
          <w:rFonts w:eastAsia="Calibri" w:cs="Segoe UI"/>
        </w:rPr>
        <w:t>ich</w:t>
      </w:r>
      <w:r w:rsidRPr="00FB6DAE">
        <w:rPr>
          <w:rFonts w:eastAsia="Calibri" w:cs="Segoe UI"/>
        </w:rPr>
        <w:t xml:space="preserve"> výsledkom m</w:t>
      </w:r>
      <w:r>
        <w:rPr>
          <w:rFonts w:eastAsia="Calibri" w:cs="Segoe UI"/>
        </w:rPr>
        <w:t>ajú</w:t>
      </w:r>
      <w:r w:rsidRPr="00FB6DAE">
        <w:rPr>
          <w:rFonts w:eastAsia="Calibri" w:cs="Segoe UI"/>
        </w:rPr>
        <w:t xml:space="preserve"> byť</w:t>
      </w:r>
      <w:r>
        <w:rPr>
          <w:rFonts w:eastAsia="Calibri" w:cs="Segoe UI"/>
        </w:rPr>
        <w:t xml:space="preserve"> dve</w:t>
      </w:r>
      <w:r w:rsidRPr="00FB6DAE">
        <w:rPr>
          <w:rFonts w:eastAsia="Calibri" w:cs="Segoe UI"/>
        </w:rPr>
        <w:t xml:space="preserve"> špičkov</w:t>
      </w:r>
      <w:r>
        <w:rPr>
          <w:rFonts w:eastAsia="Calibri" w:cs="Segoe UI"/>
        </w:rPr>
        <w:t>é</w:t>
      </w:r>
      <w:r w:rsidRPr="00FB6DAE">
        <w:rPr>
          <w:rFonts w:eastAsia="Calibri" w:cs="Segoe UI"/>
        </w:rPr>
        <w:t xml:space="preserve"> nemocnic</w:t>
      </w:r>
      <w:r>
        <w:rPr>
          <w:rFonts w:eastAsia="Calibri" w:cs="Segoe UI"/>
        </w:rPr>
        <w:t>e</w:t>
      </w:r>
      <w:r w:rsidRPr="00FB6DAE">
        <w:rPr>
          <w:rFonts w:eastAsia="Calibri" w:cs="Segoe UI"/>
        </w:rPr>
        <w:t>. Projekt</w:t>
      </w:r>
      <w:r>
        <w:rPr>
          <w:rFonts w:eastAsia="Calibri" w:cs="Segoe UI"/>
        </w:rPr>
        <w:t xml:space="preserve"> Rázsochy</w:t>
      </w:r>
      <w:r w:rsidRPr="00FB6DAE">
        <w:rPr>
          <w:rFonts w:eastAsia="Calibri" w:cs="Segoe UI"/>
        </w:rPr>
        <w:t xml:space="preserve"> je </w:t>
      </w:r>
      <w:r w:rsidR="00957CAC">
        <w:rPr>
          <w:rFonts w:eastAsia="Calibri" w:cs="Segoe UI"/>
        </w:rPr>
        <w:t>však</w:t>
      </w:r>
      <w:r w:rsidRPr="00FB6DAE">
        <w:rPr>
          <w:rFonts w:eastAsia="Calibri" w:cs="Segoe UI"/>
        </w:rPr>
        <w:t xml:space="preserve"> pre vážne medzery v jeho realizácii predmetom výraznej kritiky. Komplexné pomenovanie nedostatkov priniesla správa NIKA</w:t>
      </w:r>
      <w:r>
        <w:rPr>
          <w:rStyle w:val="Odkaznapoznmkupodiarou"/>
        </w:rPr>
        <w:footnoteReference w:id="56"/>
      </w:r>
      <w:r w:rsidRPr="00FB6DAE">
        <w:rPr>
          <w:rFonts w:eastAsia="Calibri" w:cs="Segoe UI"/>
        </w:rPr>
        <w:t xml:space="preserve"> z januára 2023, ktorá konštatovala závažné problémy v harmonograme, personálnom zabezpečení projektu a meškan</w:t>
      </w:r>
      <w:r w:rsidR="00B32125">
        <w:rPr>
          <w:rFonts w:eastAsia="Calibri" w:cs="Segoe UI"/>
        </w:rPr>
        <w:t>í</w:t>
      </w:r>
      <w:r w:rsidRPr="00FB6DAE">
        <w:rPr>
          <w:rFonts w:eastAsia="Calibri" w:cs="Segoe UI"/>
        </w:rPr>
        <w:t xml:space="preserve"> termínov. Vážny stav dokumentuje aj semafor implementácie</w:t>
      </w:r>
      <w:r>
        <w:rPr>
          <w:rStyle w:val="Odkaznapoznmkupodiarou"/>
        </w:rPr>
        <w:footnoteReference w:id="57"/>
      </w:r>
      <w:r w:rsidR="00957CAC">
        <w:rPr>
          <w:rFonts w:eastAsia="Calibri" w:cs="Segoe UI"/>
        </w:rPr>
        <w:t>,</w:t>
      </w:r>
      <w:r w:rsidRPr="00FB6DAE">
        <w:rPr>
          <w:rFonts w:eastAsia="Calibri" w:cs="Segoe UI"/>
        </w:rPr>
        <w:t xml:space="preserve"> preukazujúci oneskorenie, </w:t>
      </w:r>
      <w:r w:rsidR="00957CAC">
        <w:rPr>
          <w:rFonts w:eastAsia="Calibri" w:cs="Segoe UI"/>
        </w:rPr>
        <w:t xml:space="preserve">ba </w:t>
      </w:r>
      <w:r w:rsidRPr="00FB6DAE">
        <w:rPr>
          <w:rFonts w:eastAsia="Calibri" w:cs="Segoe UI"/>
        </w:rPr>
        <w:t xml:space="preserve">až nesplnenie takmer všetkých míľnikov. </w:t>
      </w:r>
      <w:r w:rsidRPr="009E499D">
        <w:rPr>
          <w:rFonts w:eastAsia="Calibri" w:cs="Segoe UI"/>
          <w:b/>
        </w:rPr>
        <w:t>A</w:t>
      </w:r>
      <w:r w:rsidRPr="00FB6DAE">
        <w:rPr>
          <w:rFonts w:eastAsia="Calibri" w:cs="Segoe UI"/>
          <w:b/>
        </w:rPr>
        <w:t>ktivity MZ</w:t>
      </w:r>
      <w:r>
        <w:rPr>
          <w:rFonts w:eastAsia="Calibri" w:cs="Segoe UI"/>
          <w:b/>
        </w:rPr>
        <w:t xml:space="preserve"> </w:t>
      </w:r>
      <w:r w:rsidRPr="00FB6DAE">
        <w:rPr>
          <w:rFonts w:eastAsia="Calibri" w:cs="Segoe UI"/>
          <w:b/>
        </w:rPr>
        <w:t>SR ohľadom realizácie projektu výstavby nemocnice Rázsochy neboli v roku 2022 dostatočné a čerpanie prostriedkov z POO na tento projekt je vážne ohrozené.</w:t>
      </w:r>
      <w:r>
        <w:rPr>
          <w:rFonts w:eastAsia="Calibri" w:cs="Segoe UI"/>
          <w:b/>
        </w:rPr>
        <w:t xml:space="preserve"> </w:t>
      </w:r>
      <w:r w:rsidRPr="00A4046A">
        <w:rPr>
          <w:rFonts w:eastAsia="Calibri" w:cs="Segoe UI"/>
        </w:rPr>
        <w:t xml:space="preserve">O niečo </w:t>
      </w:r>
      <w:r>
        <w:rPr>
          <w:rFonts w:eastAsia="Calibri" w:cs="Segoe UI"/>
        </w:rPr>
        <w:t>nádejnejšie sa vyvíjal projekt nemocnice v Martine, pri ktorej semafor implementácie</w:t>
      </w:r>
      <w:r>
        <w:rPr>
          <w:rStyle w:val="Odkaznapoznmkupodiarou"/>
          <w:rFonts w:eastAsia="Calibri" w:cs="Segoe UI"/>
        </w:rPr>
        <w:footnoteReference w:id="58"/>
      </w:r>
      <w:r>
        <w:rPr>
          <w:rFonts w:eastAsia="Calibri" w:cs="Segoe UI"/>
        </w:rPr>
        <w:t xml:space="preserve"> neindikuje žiaden červený bod</w:t>
      </w:r>
      <w:r w:rsidR="00957CAC">
        <w:rPr>
          <w:rFonts w:eastAsia="Calibri" w:cs="Segoe UI"/>
        </w:rPr>
        <w:t>,</w:t>
      </w:r>
      <w:r>
        <w:rPr>
          <w:rFonts w:eastAsia="Calibri" w:cs="Segoe UI"/>
        </w:rPr>
        <w:t xml:space="preserve"> teda žiadne priame ohrozenie splnenia celkového projektu. V máji 2023 sa </w:t>
      </w:r>
      <w:r w:rsidR="00957CAC">
        <w:rPr>
          <w:rFonts w:eastAsia="Calibri" w:cs="Segoe UI"/>
        </w:rPr>
        <w:t>však</w:t>
      </w:r>
      <w:r>
        <w:rPr>
          <w:rFonts w:eastAsia="Calibri" w:cs="Segoe UI"/>
        </w:rPr>
        <w:t xml:space="preserve"> ukázalo, že do </w:t>
      </w:r>
      <w:r w:rsidR="00B32125">
        <w:rPr>
          <w:rFonts w:eastAsia="Calibri" w:cs="Segoe UI"/>
        </w:rPr>
        <w:t>VO</w:t>
      </w:r>
      <w:r>
        <w:rPr>
          <w:rFonts w:eastAsia="Calibri" w:cs="Segoe UI"/>
        </w:rPr>
        <w:t xml:space="preserve"> na výstavbu tejto nemocnice sa neprihlásil žiaden uchádzač</w:t>
      </w:r>
      <w:r>
        <w:rPr>
          <w:rStyle w:val="Odkaznapoznmkupodiarou"/>
          <w:rFonts w:eastAsia="Calibri" w:cs="Segoe UI"/>
        </w:rPr>
        <w:footnoteReference w:id="59"/>
      </w:r>
      <w:r>
        <w:rPr>
          <w:rFonts w:eastAsia="Calibri" w:cs="Segoe UI"/>
        </w:rPr>
        <w:t xml:space="preserve">. To znamená, že </w:t>
      </w:r>
      <w:r w:rsidR="00B32125">
        <w:rPr>
          <w:rFonts w:eastAsia="Calibri" w:cs="Segoe UI"/>
        </w:rPr>
        <w:t>sa</w:t>
      </w:r>
      <w:r>
        <w:rPr>
          <w:rFonts w:eastAsia="Calibri" w:cs="Segoe UI"/>
        </w:rPr>
        <w:t xml:space="preserve"> celý proces značne predĺži, a teda </w:t>
      </w:r>
      <w:r w:rsidRPr="00A4046A">
        <w:rPr>
          <w:rFonts w:eastAsia="Calibri" w:cs="Segoe UI"/>
          <w:b/>
        </w:rPr>
        <w:t xml:space="preserve">možnosť financovania </w:t>
      </w:r>
      <w:r w:rsidR="00F36FC3">
        <w:rPr>
          <w:rFonts w:eastAsia="Calibri" w:cs="Segoe UI"/>
          <w:b/>
        </w:rPr>
        <w:t xml:space="preserve">nemocnice v Martine </w:t>
      </w:r>
      <w:r w:rsidRPr="00A4046A">
        <w:rPr>
          <w:rFonts w:eastAsia="Calibri" w:cs="Segoe UI"/>
          <w:b/>
        </w:rPr>
        <w:t xml:space="preserve">z POO je </w:t>
      </w:r>
      <w:r w:rsidR="00F36FC3">
        <w:rPr>
          <w:rFonts w:eastAsia="Calibri" w:cs="Segoe UI"/>
          <w:b/>
        </w:rPr>
        <w:t xml:space="preserve">tiež </w:t>
      </w:r>
      <w:r w:rsidRPr="00A4046A">
        <w:rPr>
          <w:rFonts w:eastAsia="Calibri" w:cs="Segoe UI"/>
          <w:b/>
        </w:rPr>
        <w:t>ohrozená</w:t>
      </w:r>
      <w:r>
        <w:rPr>
          <w:rFonts w:eastAsia="Calibri" w:cs="Segoe UI"/>
        </w:rPr>
        <w:t>.</w:t>
      </w:r>
    </w:p>
    <w:p w14:paraId="74DF8C30" w14:textId="3720BA43" w:rsidR="00EB0030" w:rsidRDefault="00EB0030" w:rsidP="00EB0030">
      <w:pPr>
        <w:rPr>
          <w:rFonts w:eastAsia="Calibri" w:cs="Segoe UI"/>
          <w:b/>
        </w:rPr>
      </w:pPr>
      <w:r w:rsidRPr="007D05C1">
        <w:rPr>
          <w:rFonts w:eastAsia="Calibri" w:cs="Segoe UI"/>
          <w:b/>
        </w:rPr>
        <w:t>NKÚ SR upozorňuje, že pretrvávajúce</w:t>
      </w:r>
      <w:r>
        <w:rPr>
          <w:rFonts w:eastAsia="Calibri" w:cs="Segoe UI"/>
        </w:rPr>
        <w:t xml:space="preserve"> </w:t>
      </w:r>
      <w:r w:rsidRPr="00061EAE">
        <w:rPr>
          <w:rFonts w:eastAsia="Calibri" w:cs="Segoe UI"/>
          <w:b/>
        </w:rPr>
        <w:t>v</w:t>
      </w:r>
      <w:r w:rsidRPr="00540BC2">
        <w:rPr>
          <w:rFonts w:eastAsia="Calibri" w:cs="Segoe UI"/>
          <w:b/>
        </w:rPr>
        <w:t>y</w:t>
      </w:r>
      <w:r>
        <w:rPr>
          <w:rFonts w:eastAsia="Calibri" w:cs="Segoe UI"/>
          <w:b/>
        </w:rPr>
        <w:t>ššie</w:t>
      </w:r>
      <w:r w:rsidRPr="00540BC2">
        <w:rPr>
          <w:rFonts w:eastAsia="Calibri" w:cs="Segoe UI"/>
          <w:b/>
        </w:rPr>
        <w:t xml:space="preserve"> </w:t>
      </w:r>
      <w:r>
        <w:rPr>
          <w:rFonts w:eastAsia="Calibri" w:cs="Segoe UI"/>
          <w:b/>
        </w:rPr>
        <w:t>čerpanie prostriedkov POO na odmeny spolu s nedostatočnými kapitálovými investíciami a bez viditeľných výsledkov</w:t>
      </w:r>
      <w:r w:rsidRPr="00540BC2">
        <w:rPr>
          <w:rFonts w:eastAsia="Calibri" w:cs="Segoe UI"/>
          <w:b/>
        </w:rPr>
        <w:t xml:space="preserve"> </w:t>
      </w:r>
      <w:r>
        <w:rPr>
          <w:rFonts w:eastAsia="Calibri" w:cs="Segoe UI"/>
          <w:b/>
        </w:rPr>
        <w:t xml:space="preserve">môže viesť k </w:t>
      </w:r>
      <w:r w:rsidR="00957CAC">
        <w:rPr>
          <w:rFonts w:eastAsia="Calibri" w:cs="Segoe UI"/>
          <w:b/>
        </w:rPr>
        <w:t> </w:t>
      </w:r>
      <w:r>
        <w:rPr>
          <w:rFonts w:eastAsia="Calibri" w:cs="Segoe UI"/>
          <w:b/>
        </w:rPr>
        <w:t>neefektí</w:t>
      </w:r>
      <w:r w:rsidR="00B32125">
        <w:rPr>
          <w:rFonts w:eastAsia="Calibri" w:cs="Segoe UI"/>
          <w:b/>
        </w:rPr>
        <w:t>vnemu vynaloženiu prostriedkov.</w:t>
      </w:r>
    </w:p>
    <w:p w14:paraId="57304E6B" w14:textId="5886A0CB" w:rsidR="000D05F7" w:rsidRDefault="003218DA" w:rsidP="002C027A">
      <w:pPr>
        <w:pStyle w:val="Nadpis1"/>
      </w:pPr>
      <w:bookmarkStart w:id="43" w:name="_Toc136418415"/>
      <w:r>
        <w:lastRenderedPageBreak/>
        <w:t xml:space="preserve">Hospodárenie </w:t>
      </w:r>
      <w:r w:rsidR="00A50287">
        <w:t>územnej samosprávy</w:t>
      </w:r>
      <w:bookmarkEnd w:id="43"/>
    </w:p>
    <w:p w14:paraId="0FCE08A5" w14:textId="6EE4BDED" w:rsidR="005E667F" w:rsidRDefault="000C2CBF" w:rsidP="002F6E31">
      <w:pPr>
        <w:rPr>
          <w:rFonts w:ascii="Calibri" w:hAnsi="Calibri"/>
        </w:rPr>
      </w:pPr>
      <w:r>
        <w:t>H</w:t>
      </w:r>
      <w:r w:rsidR="005E667F">
        <w:t>ospodárenie územnej samosprávy v roku 2022 ovplyvnil</w:t>
      </w:r>
      <w:r w:rsidR="00FC46AF">
        <w:t>a</w:t>
      </w:r>
      <w:r w:rsidR="005E667F">
        <w:t xml:space="preserve"> najmä humanitárna kríza spojená s vojnou na Ukrajine, </w:t>
      </w:r>
      <w:r>
        <w:t xml:space="preserve">vysoká </w:t>
      </w:r>
      <w:r w:rsidR="005E667F">
        <w:t>inflácia a energetická kríza</w:t>
      </w:r>
      <w:r w:rsidR="00FC46AF">
        <w:t>.</w:t>
      </w:r>
      <w:r w:rsidR="005E667F">
        <w:t xml:space="preserve"> </w:t>
      </w:r>
      <w:r w:rsidR="00A7518E">
        <w:t>V</w:t>
      </w:r>
      <w:r w:rsidR="00FC46AF">
        <w:t xml:space="preserve">eľký vplyv mali aj </w:t>
      </w:r>
      <w:r w:rsidR="005E667F">
        <w:t>viaceré legislatívne zmeny</w:t>
      </w:r>
      <w:r w:rsidR="002664FC">
        <w:t xml:space="preserve">, z ktorých vyplývali </w:t>
      </w:r>
      <w:r w:rsidR="005E667F">
        <w:t xml:space="preserve">nové </w:t>
      </w:r>
      <w:r w:rsidR="002664FC">
        <w:t>nároky</w:t>
      </w:r>
      <w:r w:rsidR="005E667F">
        <w:t xml:space="preserve"> </w:t>
      </w:r>
      <w:r w:rsidR="002664FC">
        <w:t xml:space="preserve">na finančné prostriedky </w:t>
      </w:r>
      <w:r w:rsidR="005E667F">
        <w:t xml:space="preserve">v rámci preneseného výkonu štátnej správy, </w:t>
      </w:r>
      <w:r w:rsidR="002664FC">
        <w:t xml:space="preserve">na </w:t>
      </w:r>
      <w:r w:rsidR="005E667F">
        <w:t>jednorazov</w:t>
      </w:r>
      <w:r w:rsidR="002664FC">
        <w:t>é</w:t>
      </w:r>
      <w:r w:rsidR="005E667F">
        <w:t xml:space="preserve"> odmen</w:t>
      </w:r>
      <w:r w:rsidR="002664FC">
        <w:t>y</w:t>
      </w:r>
      <w:r w:rsidR="005E667F">
        <w:t xml:space="preserve"> zamestnancom vo</w:t>
      </w:r>
      <w:r w:rsidR="00FC46AF">
        <w:t xml:space="preserve"> VS</w:t>
      </w:r>
      <w:r w:rsidR="002664FC">
        <w:t xml:space="preserve"> a</w:t>
      </w:r>
      <w:r w:rsidR="005E667F">
        <w:t xml:space="preserve"> povinné financovanie služieb neverejných poskytovateľov</w:t>
      </w:r>
      <w:r>
        <w:t xml:space="preserve">. </w:t>
      </w:r>
      <w:r w:rsidR="006B7D1B">
        <w:t>N</w:t>
      </w:r>
      <w:r>
        <w:t xml:space="preserve">ezanedbateľný </w:t>
      </w:r>
      <w:r w:rsidR="00FC46AF">
        <w:t>vplyv mal</w:t>
      </w:r>
      <w:r w:rsidR="00A7518E">
        <w:t>a</w:t>
      </w:r>
      <w:r w:rsidR="00FC46AF">
        <w:t xml:space="preserve"> aj </w:t>
      </w:r>
      <w:r w:rsidR="00A7518E">
        <w:t>s</w:t>
      </w:r>
      <w:r w:rsidR="00EF3B5E">
        <w:t>k</w:t>
      </w:r>
      <w:r w:rsidR="00A7518E">
        <w:t>utočnosť</w:t>
      </w:r>
      <w:r w:rsidR="00FC46AF">
        <w:t xml:space="preserve">, že v minulom roku sa konali </w:t>
      </w:r>
      <w:r>
        <w:t xml:space="preserve">voľby do </w:t>
      </w:r>
      <w:r w:rsidR="00FC46AF">
        <w:t>samosprávn</w:t>
      </w:r>
      <w:r>
        <w:t>ych orgánov obcí</w:t>
      </w:r>
      <w:r w:rsidR="002664FC">
        <w:t xml:space="preserve"> a VÚC</w:t>
      </w:r>
      <w:r w:rsidR="005E667F">
        <w:t>.</w:t>
      </w:r>
    </w:p>
    <w:p w14:paraId="6E2E4F7F" w14:textId="331682F9" w:rsidR="005E667F" w:rsidRDefault="002664FC" w:rsidP="002F6E31">
      <w:r w:rsidRPr="002664FC">
        <w:rPr>
          <w:b/>
        </w:rPr>
        <w:t>Schodok ú</w:t>
      </w:r>
      <w:r w:rsidR="005E667F" w:rsidRPr="002664FC">
        <w:rPr>
          <w:b/>
        </w:rPr>
        <w:t>zemn</w:t>
      </w:r>
      <w:r w:rsidRPr="002664FC">
        <w:rPr>
          <w:b/>
        </w:rPr>
        <w:t>ej</w:t>
      </w:r>
      <w:r w:rsidR="005E667F" w:rsidRPr="002664FC">
        <w:rPr>
          <w:b/>
        </w:rPr>
        <w:t xml:space="preserve"> samospráv</w:t>
      </w:r>
      <w:r w:rsidRPr="002664FC">
        <w:rPr>
          <w:b/>
        </w:rPr>
        <w:t>y</w:t>
      </w:r>
      <w:r w:rsidR="005E667F" w:rsidRPr="002664FC">
        <w:rPr>
          <w:b/>
        </w:rPr>
        <w:t xml:space="preserve"> podľa metodiky ESA 2010 </w:t>
      </w:r>
      <w:r w:rsidRPr="002664FC">
        <w:rPr>
          <w:b/>
        </w:rPr>
        <w:t>predstavoval takmer 420 mil. eur a bol oproti rozpočtu vyšší o 238,5 mil. eur</w:t>
      </w:r>
      <w:r w:rsidR="005E667F" w:rsidRPr="002664FC">
        <w:rPr>
          <w:b/>
        </w:rPr>
        <w:t xml:space="preserve">. </w:t>
      </w:r>
      <w:r w:rsidR="005E667F">
        <w:t xml:space="preserve">Z toho obce </w:t>
      </w:r>
      <w:r w:rsidR="005E667F">
        <w:rPr>
          <w:lang w:eastAsia="sk-SK"/>
        </w:rPr>
        <w:t xml:space="preserve">dosiahli schodok </w:t>
      </w:r>
      <w:r w:rsidR="005E667F" w:rsidRPr="0060139B">
        <w:rPr>
          <w:lang w:eastAsia="sk-SK"/>
        </w:rPr>
        <w:t>287,8 mil. eur</w:t>
      </w:r>
      <w:r w:rsidR="005E667F">
        <w:rPr>
          <w:lang w:eastAsia="sk-SK"/>
        </w:rPr>
        <w:t xml:space="preserve"> </w:t>
      </w:r>
      <w:r w:rsidR="008842A6">
        <w:rPr>
          <w:lang w:eastAsia="sk-SK"/>
        </w:rPr>
        <w:t>(</w:t>
      </w:r>
      <w:r w:rsidR="008842A6" w:rsidRPr="00D44361">
        <w:rPr>
          <w:rFonts w:cs="Times New Roman"/>
          <w:szCs w:val="20"/>
        </w:rPr>
        <w:t>z dôvodu negatívneho vplyvu časového rozlíšenia vo výške 37</w:t>
      </w:r>
      <w:r w:rsidR="008842A6">
        <w:rPr>
          <w:rFonts w:cs="Times New Roman"/>
          <w:szCs w:val="20"/>
        </w:rPr>
        <w:t>,</w:t>
      </w:r>
      <w:r w:rsidR="008842A6" w:rsidRPr="00D44361">
        <w:rPr>
          <w:rFonts w:cs="Times New Roman"/>
          <w:szCs w:val="20"/>
        </w:rPr>
        <w:t>3 </w:t>
      </w:r>
      <w:r w:rsidR="008842A6">
        <w:rPr>
          <w:rFonts w:cs="Times New Roman"/>
          <w:szCs w:val="20"/>
        </w:rPr>
        <w:t>mil</w:t>
      </w:r>
      <w:r w:rsidR="008842A6" w:rsidRPr="00D44361">
        <w:rPr>
          <w:rFonts w:cs="Times New Roman"/>
          <w:szCs w:val="20"/>
        </w:rPr>
        <w:t>. eur a ostatných úprav vo výške 1</w:t>
      </w:r>
      <w:r w:rsidR="008842A6">
        <w:rPr>
          <w:rFonts w:cs="Times New Roman"/>
          <w:szCs w:val="20"/>
        </w:rPr>
        <w:t>,3 mil</w:t>
      </w:r>
      <w:r w:rsidR="008842A6" w:rsidRPr="00D44361">
        <w:rPr>
          <w:rFonts w:cs="Times New Roman"/>
          <w:szCs w:val="20"/>
        </w:rPr>
        <w:t>. eur</w:t>
      </w:r>
      <w:r w:rsidR="008842A6">
        <w:rPr>
          <w:rFonts w:cs="Times New Roman"/>
          <w:szCs w:val="20"/>
        </w:rPr>
        <w:t>)</w:t>
      </w:r>
      <w:r w:rsidR="008842A6">
        <w:rPr>
          <w:lang w:eastAsia="sk-SK"/>
        </w:rPr>
        <w:t xml:space="preserve"> </w:t>
      </w:r>
      <w:r w:rsidR="005E667F">
        <w:rPr>
          <w:lang w:eastAsia="sk-SK"/>
        </w:rPr>
        <w:t xml:space="preserve">a VÚC </w:t>
      </w:r>
      <w:r w:rsidR="005E667F">
        <w:t xml:space="preserve">141,8 mil. eur </w:t>
      </w:r>
      <w:r w:rsidR="00443176">
        <w:rPr>
          <w:rFonts w:cs="Times New Roman"/>
          <w:szCs w:val="20"/>
        </w:rPr>
        <w:t>(</w:t>
      </w:r>
      <w:r w:rsidR="00443176" w:rsidRPr="00786CC2">
        <w:rPr>
          <w:rFonts w:cs="Times New Roman"/>
          <w:szCs w:val="20"/>
        </w:rPr>
        <w:t>vplyvom rastu záväzkov o</w:t>
      </w:r>
      <w:r w:rsidR="00443176">
        <w:rPr>
          <w:rFonts w:cs="Times New Roman"/>
          <w:szCs w:val="20"/>
        </w:rPr>
        <w:t> </w:t>
      </w:r>
      <w:r w:rsidR="00443176" w:rsidRPr="00786CC2">
        <w:rPr>
          <w:rFonts w:cs="Times New Roman"/>
          <w:szCs w:val="20"/>
        </w:rPr>
        <w:t>23</w:t>
      </w:r>
      <w:r w:rsidR="00443176">
        <w:rPr>
          <w:rFonts w:cs="Times New Roman"/>
          <w:szCs w:val="20"/>
        </w:rPr>
        <w:t>,</w:t>
      </w:r>
      <w:r w:rsidR="00443176" w:rsidRPr="00786CC2">
        <w:rPr>
          <w:rFonts w:cs="Times New Roman"/>
          <w:szCs w:val="20"/>
        </w:rPr>
        <w:t>2 </w:t>
      </w:r>
      <w:r w:rsidR="00443176">
        <w:rPr>
          <w:rFonts w:cs="Times New Roman"/>
          <w:szCs w:val="20"/>
        </w:rPr>
        <w:t>mil</w:t>
      </w:r>
      <w:r w:rsidR="00443176" w:rsidRPr="00786CC2">
        <w:rPr>
          <w:rFonts w:cs="Times New Roman"/>
          <w:szCs w:val="20"/>
        </w:rPr>
        <w:t>. eur</w:t>
      </w:r>
      <w:r w:rsidR="00443176">
        <w:rPr>
          <w:rFonts w:cs="Times New Roman"/>
          <w:szCs w:val="20"/>
        </w:rPr>
        <w:t>)</w:t>
      </w:r>
      <w:r w:rsidR="005E667F">
        <w:t xml:space="preserve">. </w:t>
      </w:r>
    </w:p>
    <w:p w14:paraId="01ACA5C4" w14:textId="04C8CC79" w:rsidR="005E667F" w:rsidRDefault="00A7518E" w:rsidP="002F6E31">
      <w:r>
        <w:rPr>
          <w:b/>
          <w:bCs/>
        </w:rPr>
        <w:t xml:space="preserve">Podiel dlhu samosprávy na </w:t>
      </w:r>
      <w:r w:rsidRPr="00620CB7">
        <w:rPr>
          <w:b/>
          <w:bCs/>
        </w:rPr>
        <w:t>nekonsolidovanom</w:t>
      </w:r>
      <w:r>
        <w:rPr>
          <w:b/>
          <w:bCs/>
        </w:rPr>
        <w:t xml:space="preserve"> dlhu </w:t>
      </w:r>
      <w:r w:rsidR="002664FC">
        <w:rPr>
          <w:b/>
          <w:bCs/>
        </w:rPr>
        <w:t xml:space="preserve">VS </w:t>
      </w:r>
      <w:r>
        <w:rPr>
          <w:b/>
          <w:bCs/>
        </w:rPr>
        <w:t>dosiahol 3,8 %</w:t>
      </w:r>
      <w:r w:rsidR="002664FC">
        <w:rPr>
          <w:b/>
          <w:bCs/>
        </w:rPr>
        <w:t xml:space="preserve"> a predstavuje </w:t>
      </w:r>
      <w:r w:rsidR="00443176">
        <w:rPr>
          <w:b/>
          <w:bCs/>
        </w:rPr>
        <w:t xml:space="preserve">tak </w:t>
      </w:r>
      <w:r w:rsidR="002664FC">
        <w:rPr>
          <w:b/>
          <w:bCs/>
        </w:rPr>
        <w:t xml:space="preserve">malú časť v porovnaní s dlhom </w:t>
      </w:r>
      <w:r w:rsidR="003A1D20">
        <w:rPr>
          <w:b/>
          <w:bCs/>
        </w:rPr>
        <w:t>ŠR</w:t>
      </w:r>
      <w:r>
        <w:rPr>
          <w:b/>
          <w:bCs/>
        </w:rPr>
        <w:t xml:space="preserve">. </w:t>
      </w:r>
      <w:r w:rsidR="005E667F">
        <w:t xml:space="preserve">Nekonsolidovaný dlh samosprávy dosiahol v roku 2,4 mld. eur. Z toho obce dosiahli </w:t>
      </w:r>
      <w:r w:rsidR="00443176">
        <w:t xml:space="preserve">dlh </w:t>
      </w:r>
      <w:r w:rsidR="005E667F">
        <w:t>1</w:t>
      </w:r>
      <w:r>
        <w:t>,8 mld. eur a VÚC 0,6 mld. eur.</w:t>
      </w:r>
    </w:p>
    <w:p w14:paraId="29145C05" w14:textId="4C624442" w:rsidR="008265EF" w:rsidRPr="00872B49" w:rsidRDefault="008265EF" w:rsidP="008265EF">
      <w:pPr>
        <w:rPr>
          <w:rFonts w:eastAsia="Times New Roman" w:cs="Segoe UI"/>
          <w:szCs w:val="20"/>
          <w:lang w:eastAsia="sk-SK"/>
        </w:rPr>
      </w:pPr>
      <w:r w:rsidRPr="00872B49">
        <w:rPr>
          <w:rFonts w:eastAsia="Times New Roman" w:cs="Segoe UI"/>
          <w:b/>
          <w:szCs w:val="20"/>
          <w:lang w:eastAsia="sk-SK"/>
        </w:rPr>
        <w:t xml:space="preserve">NKÚ SR </w:t>
      </w:r>
      <w:r w:rsidR="006B7D1B">
        <w:rPr>
          <w:rFonts w:eastAsia="Times New Roman" w:cs="Segoe UI"/>
          <w:b/>
          <w:szCs w:val="20"/>
          <w:lang w:eastAsia="sk-SK"/>
        </w:rPr>
        <w:t>realizoval</w:t>
      </w:r>
      <w:r w:rsidRPr="00872B49">
        <w:rPr>
          <w:rFonts w:eastAsia="Times New Roman" w:cs="Segoe UI"/>
          <w:b/>
          <w:szCs w:val="20"/>
          <w:lang w:eastAsia="sk-SK"/>
        </w:rPr>
        <w:t xml:space="preserve"> v roku </w:t>
      </w:r>
      <w:r w:rsidRPr="00450053">
        <w:rPr>
          <w:rFonts w:eastAsia="Times New Roman" w:cs="Segoe UI"/>
          <w:b/>
          <w:szCs w:val="20"/>
          <w:lang w:eastAsia="sk-SK"/>
        </w:rPr>
        <w:t>2022 deväť</w:t>
      </w:r>
      <w:r w:rsidRPr="00A10CA7">
        <w:rPr>
          <w:rFonts w:eastAsia="Times New Roman" w:cs="Segoe UI"/>
          <w:b/>
          <w:szCs w:val="20"/>
          <w:lang w:eastAsia="sk-SK"/>
        </w:rPr>
        <w:t xml:space="preserve"> kontrol</w:t>
      </w:r>
      <w:r w:rsidRPr="00A10CA7">
        <w:rPr>
          <w:rStyle w:val="Odkaznapoznmkupodiarou"/>
          <w:rFonts w:eastAsia="Times New Roman" w:cs="Segoe UI"/>
          <w:szCs w:val="20"/>
          <w:lang w:eastAsia="sk-SK"/>
        </w:rPr>
        <w:footnoteReference w:id="60"/>
      </w:r>
      <w:r w:rsidRPr="00A10CA7">
        <w:rPr>
          <w:rFonts w:eastAsia="Times New Roman" w:cs="Segoe UI"/>
          <w:b/>
          <w:szCs w:val="20"/>
          <w:lang w:eastAsia="sk-SK"/>
        </w:rPr>
        <w:t xml:space="preserve"> zameraných na územnú samosprávu.</w:t>
      </w:r>
      <w:r w:rsidRPr="00872B49">
        <w:rPr>
          <w:rFonts w:eastAsia="Times New Roman" w:cs="Segoe UI"/>
          <w:szCs w:val="20"/>
          <w:lang w:eastAsia="sk-SK"/>
        </w:rPr>
        <w:t xml:space="preserve"> Kontrol</w:t>
      </w:r>
      <w:r w:rsidR="00443176">
        <w:rPr>
          <w:rFonts w:eastAsia="Times New Roman" w:cs="Segoe UI"/>
          <w:szCs w:val="20"/>
          <w:lang w:eastAsia="sk-SK"/>
        </w:rPr>
        <w:t>y sa týkali najmä obdobia</w:t>
      </w:r>
      <w:r w:rsidRPr="00872B49">
        <w:rPr>
          <w:rFonts w:eastAsia="Times New Roman" w:cs="Segoe UI"/>
          <w:szCs w:val="20"/>
          <w:lang w:eastAsia="sk-SK"/>
        </w:rPr>
        <w:t xml:space="preserve"> rok</w:t>
      </w:r>
      <w:r w:rsidR="00443176">
        <w:rPr>
          <w:rFonts w:eastAsia="Times New Roman" w:cs="Segoe UI"/>
          <w:szCs w:val="20"/>
          <w:lang w:eastAsia="sk-SK"/>
        </w:rPr>
        <w:t>ov</w:t>
      </w:r>
      <w:r w:rsidRPr="00872B49">
        <w:rPr>
          <w:rFonts w:eastAsia="Times New Roman" w:cs="Segoe UI"/>
          <w:szCs w:val="20"/>
          <w:lang w:eastAsia="sk-SK"/>
        </w:rPr>
        <w:t xml:space="preserve"> 2018 – 2021</w:t>
      </w:r>
      <w:r w:rsidR="00443176">
        <w:rPr>
          <w:rFonts w:eastAsia="Times New Roman" w:cs="Segoe UI"/>
          <w:szCs w:val="20"/>
          <w:lang w:eastAsia="sk-SK"/>
        </w:rPr>
        <w:t xml:space="preserve"> a</w:t>
      </w:r>
      <w:r w:rsidRPr="00872B49">
        <w:rPr>
          <w:rFonts w:cs="Segoe UI"/>
        </w:rPr>
        <w:t xml:space="preserve"> boli vykonané v 131 subjektoch (99 </w:t>
      </w:r>
      <w:r>
        <w:rPr>
          <w:rFonts w:cs="Segoe UI"/>
        </w:rPr>
        <w:t xml:space="preserve">subjektov </w:t>
      </w:r>
      <w:r w:rsidRPr="00872B49">
        <w:rPr>
          <w:rFonts w:cs="Segoe UI"/>
        </w:rPr>
        <w:t>v samosprávach na miestnej a regionálnej úrovni, v 32 organizáciách zriadených obcami, mestami alebo samosprávami krajmi).</w:t>
      </w:r>
      <w:r w:rsidRPr="00872B49">
        <w:rPr>
          <w:rFonts w:eastAsia="Times New Roman" w:cs="Segoe UI"/>
          <w:szCs w:val="20"/>
          <w:lang w:eastAsia="sk-SK"/>
        </w:rPr>
        <w:t xml:space="preserve"> </w:t>
      </w:r>
      <w:r w:rsidRPr="00A10CA7">
        <w:rPr>
          <w:rFonts w:eastAsia="Times New Roman" w:cs="Segoe UI"/>
          <w:szCs w:val="20"/>
          <w:lang w:eastAsia="sk-SK"/>
        </w:rPr>
        <w:t>Najvýznamnejšie zistenia sú zosumarizované v</w:t>
      </w:r>
      <w:r>
        <w:rPr>
          <w:rFonts w:eastAsia="Times New Roman" w:cs="Segoe UI"/>
          <w:szCs w:val="20"/>
          <w:lang w:eastAsia="sk-SK"/>
        </w:rPr>
        <w:t> </w:t>
      </w:r>
      <w:r w:rsidRPr="00A10CA7">
        <w:rPr>
          <w:rFonts w:eastAsia="Times New Roman" w:cs="Segoe UI"/>
          <w:szCs w:val="20"/>
          <w:lang w:eastAsia="sk-SK"/>
        </w:rPr>
        <w:t xml:space="preserve">boxe </w:t>
      </w:r>
      <w:r w:rsidR="004C18E7">
        <w:rPr>
          <w:rFonts w:eastAsia="Times New Roman" w:cs="Segoe UI"/>
          <w:szCs w:val="20"/>
          <w:lang w:eastAsia="sk-SK"/>
        </w:rPr>
        <w:t>9</w:t>
      </w:r>
      <w:r w:rsidR="00821C28">
        <w:rPr>
          <w:rFonts w:eastAsia="Times New Roman" w:cs="Segoe UI"/>
          <w:szCs w:val="20"/>
          <w:lang w:eastAsia="sk-SK"/>
        </w:rPr>
        <w:t xml:space="preserve"> </w:t>
      </w:r>
      <w:r w:rsidRPr="00A10CA7">
        <w:rPr>
          <w:rFonts w:eastAsia="Times New Roman" w:cs="Segoe UI"/>
          <w:szCs w:val="20"/>
          <w:lang w:eastAsia="sk-SK"/>
        </w:rPr>
        <w:t>v</w:t>
      </w:r>
      <w:r>
        <w:rPr>
          <w:rFonts w:eastAsia="Times New Roman" w:cs="Segoe UI"/>
          <w:szCs w:val="20"/>
          <w:lang w:eastAsia="sk-SK"/>
        </w:rPr>
        <w:t> </w:t>
      </w:r>
      <w:r w:rsidRPr="00A10CA7">
        <w:rPr>
          <w:rFonts w:eastAsia="Times New Roman" w:cs="Segoe UI"/>
          <w:szCs w:val="20"/>
          <w:lang w:eastAsia="sk-SK"/>
        </w:rPr>
        <w:t>prílohe</w:t>
      </w:r>
      <w:r>
        <w:rPr>
          <w:rFonts w:eastAsia="Times New Roman" w:cs="Segoe UI"/>
          <w:szCs w:val="20"/>
          <w:lang w:eastAsia="sk-SK"/>
        </w:rPr>
        <w:t xml:space="preserve"> so zameraním na </w:t>
      </w:r>
      <w:r w:rsidRPr="00872B49">
        <w:rPr>
          <w:rFonts w:eastAsia="Times New Roman" w:cs="Segoe UI"/>
          <w:szCs w:val="20"/>
          <w:lang w:eastAsia="sk-SK"/>
        </w:rPr>
        <w:t>finančn</w:t>
      </w:r>
      <w:r>
        <w:rPr>
          <w:rFonts w:eastAsia="Times New Roman" w:cs="Segoe UI"/>
          <w:szCs w:val="20"/>
          <w:lang w:eastAsia="sk-SK"/>
        </w:rPr>
        <w:t>é</w:t>
      </w:r>
      <w:r w:rsidRPr="00872B49">
        <w:rPr>
          <w:rFonts w:eastAsia="Times New Roman" w:cs="Segoe UI"/>
          <w:szCs w:val="20"/>
          <w:lang w:eastAsia="sk-SK"/>
        </w:rPr>
        <w:t xml:space="preserve"> </w:t>
      </w:r>
      <w:r>
        <w:rPr>
          <w:rFonts w:eastAsia="Times New Roman" w:cs="Segoe UI"/>
          <w:szCs w:val="20"/>
          <w:lang w:eastAsia="sk-SK"/>
        </w:rPr>
        <w:t xml:space="preserve">riziká </w:t>
      </w:r>
      <w:r w:rsidRPr="00872B49">
        <w:rPr>
          <w:rFonts w:eastAsia="Times New Roman" w:cs="Segoe UI"/>
          <w:szCs w:val="20"/>
          <w:lang w:eastAsia="sk-SK"/>
        </w:rPr>
        <w:t>(nakladenie s majetkom vybraných obcí, krajov), systémové</w:t>
      </w:r>
      <w:r>
        <w:rPr>
          <w:rFonts w:eastAsia="Times New Roman" w:cs="Segoe UI"/>
          <w:szCs w:val="20"/>
          <w:lang w:eastAsia="sk-SK"/>
        </w:rPr>
        <w:t xml:space="preserve"> problémy (príjmy, nedoplatky) a </w:t>
      </w:r>
      <w:r w:rsidRPr="00872B49">
        <w:rPr>
          <w:rFonts w:eastAsia="Times New Roman" w:cs="Segoe UI"/>
          <w:szCs w:val="20"/>
          <w:lang w:eastAsia="sk-SK"/>
        </w:rPr>
        <w:t xml:space="preserve">štrukturálne </w:t>
      </w:r>
      <w:r>
        <w:rPr>
          <w:rFonts w:eastAsia="Times New Roman" w:cs="Segoe UI"/>
          <w:szCs w:val="20"/>
          <w:lang w:eastAsia="sk-SK"/>
        </w:rPr>
        <w:t xml:space="preserve">riziká </w:t>
      </w:r>
      <w:r w:rsidRPr="00872B49">
        <w:rPr>
          <w:rFonts w:eastAsia="Times New Roman" w:cs="Segoe UI"/>
          <w:szCs w:val="20"/>
          <w:lang w:eastAsia="sk-SK"/>
        </w:rPr>
        <w:t>(infraštruktúra).</w:t>
      </w:r>
    </w:p>
    <w:p w14:paraId="0D1AEE22" w14:textId="34B0EE44" w:rsidR="008265EF" w:rsidRPr="00C30435" w:rsidRDefault="00A22F60" w:rsidP="008265EF">
      <w:pPr>
        <w:rPr>
          <w:rFonts w:eastAsia="Times New Roman" w:cs="Segoe UI"/>
          <w:szCs w:val="20"/>
          <w:lang w:eastAsia="sk-SK"/>
        </w:rPr>
      </w:pPr>
      <w:r>
        <w:rPr>
          <w:rFonts w:eastAsia="Times New Roman" w:cs="Segoe UI"/>
          <w:b/>
          <w:szCs w:val="20"/>
          <w:lang w:eastAsia="sk-SK"/>
        </w:rPr>
        <w:t>NKÚ SR</w:t>
      </w:r>
      <w:r w:rsidR="00FE3038">
        <w:rPr>
          <w:rFonts w:eastAsia="Times New Roman" w:cs="Segoe UI"/>
          <w:b/>
          <w:szCs w:val="20"/>
          <w:lang w:eastAsia="sk-SK"/>
        </w:rPr>
        <w:t xml:space="preserve"> zdôraz</w:t>
      </w:r>
      <w:r>
        <w:rPr>
          <w:rFonts w:eastAsia="Times New Roman" w:cs="Segoe UI"/>
          <w:b/>
          <w:szCs w:val="20"/>
          <w:lang w:eastAsia="sk-SK"/>
        </w:rPr>
        <w:t>ňuje</w:t>
      </w:r>
      <w:r w:rsidR="008265EF" w:rsidRPr="00C30435">
        <w:rPr>
          <w:rFonts w:eastAsia="Times New Roman" w:cs="Segoe UI"/>
          <w:b/>
          <w:szCs w:val="20"/>
          <w:lang w:eastAsia="sk-SK"/>
        </w:rPr>
        <w:t xml:space="preserve">, že vnútorný kontrolný systém samospráv </w:t>
      </w:r>
      <w:r>
        <w:rPr>
          <w:rFonts w:eastAsia="Times New Roman" w:cs="Segoe UI"/>
          <w:b/>
          <w:szCs w:val="20"/>
          <w:lang w:eastAsia="sk-SK"/>
        </w:rPr>
        <w:t xml:space="preserve">je </w:t>
      </w:r>
      <w:r w:rsidR="008265EF" w:rsidRPr="00C30435">
        <w:rPr>
          <w:rFonts w:eastAsia="Times New Roman" w:cs="Segoe UI"/>
          <w:b/>
          <w:szCs w:val="20"/>
          <w:lang w:eastAsia="sk-SK"/>
        </w:rPr>
        <w:t>v mnohých prípadoch povrchný a nezameriava sa na systematické monitorovanie plnenia cieľov</w:t>
      </w:r>
      <w:r w:rsidR="006E4871">
        <w:rPr>
          <w:rFonts w:eastAsia="Times New Roman" w:cs="Segoe UI"/>
          <w:b/>
          <w:szCs w:val="20"/>
          <w:lang w:eastAsia="sk-SK"/>
        </w:rPr>
        <w:t>,</w:t>
      </w:r>
      <w:r w:rsidR="008265EF" w:rsidRPr="00C30435">
        <w:rPr>
          <w:rFonts w:eastAsia="Times New Roman" w:cs="Segoe UI"/>
          <w:b/>
          <w:szCs w:val="20"/>
          <w:lang w:eastAsia="sk-SK"/>
        </w:rPr>
        <w:t xml:space="preserve"> účelnosti a hospodárnosti využívania prostriedkov samospráv.</w:t>
      </w:r>
      <w:r w:rsidR="008265EF" w:rsidRPr="00872B49">
        <w:rPr>
          <w:rFonts w:eastAsia="Times New Roman" w:cs="Segoe UI"/>
          <w:szCs w:val="20"/>
          <w:lang w:eastAsia="sk-SK"/>
        </w:rPr>
        <w:t xml:space="preserve"> NKÚ </w:t>
      </w:r>
      <w:r>
        <w:rPr>
          <w:rFonts w:eastAsia="Times New Roman" w:cs="Segoe UI"/>
          <w:szCs w:val="20"/>
          <w:lang w:eastAsia="sk-SK"/>
        </w:rPr>
        <w:t xml:space="preserve">SR </w:t>
      </w:r>
      <w:r w:rsidR="008265EF" w:rsidRPr="00872B49">
        <w:rPr>
          <w:rFonts w:eastAsia="Times New Roman" w:cs="Segoe UI"/>
          <w:szCs w:val="20"/>
          <w:lang w:eastAsia="sk-SK"/>
        </w:rPr>
        <w:t xml:space="preserve">vo svojich výstupoch pravidelne upozorňuje, že mnohé kompetencie nie sú vymedzené dostatočne, niektoré ani legislatíva neupravuje, ale samosprávy musia reagovať na vzniknuté problémy. </w:t>
      </w:r>
      <w:r w:rsidR="008265EF" w:rsidRPr="00C30435">
        <w:rPr>
          <w:rFonts w:eastAsia="Times New Roman" w:cs="Segoe UI"/>
          <w:szCs w:val="20"/>
          <w:lang w:eastAsia="sk-SK"/>
        </w:rPr>
        <w:t>Významné riziko predstavuje prijímanie legislatívnych zmien, ktoré majú z  hľadiska rozpočtových dopadov negatívny vplyv na strategické plánovanie zámerov a ich financovanie.</w:t>
      </w:r>
    </w:p>
    <w:p w14:paraId="5D2E384F" w14:textId="3E93D079" w:rsidR="008265EF" w:rsidRPr="003D6553" w:rsidRDefault="00A22F60" w:rsidP="008265EF">
      <w:r w:rsidRPr="00E37A50">
        <w:rPr>
          <w:rFonts w:cs="Segoe UI"/>
          <w:b/>
        </w:rPr>
        <w:t>NKÚ SR opakovane apeluje aj na potrebu reformy miestnej samosprávy a zvýšenie jej celkovej efektívnosti.</w:t>
      </w:r>
      <w:r>
        <w:t xml:space="preserve"> </w:t>
      </w:r>
      <w:r w:rsidR="008265EF" w:rsidRPr="00872B49">
        <w:rPr>
          <w:rFonts w:cs="Segoe UI"/>
        </w:rPr>
        <w:t>Z hľadiska výkonu verejných služieb štátu patria subjekty samosprávy medzi kľúčových partnerov výkonnej moci na centrálnej úrovni a výsledky kontrolnej činnosti odhalili mnohé nedostatky, ktoré vznikajú nedostatočným reflektovaním na skúsenosti z výkonu na úrovni miestne</w:t>
      </w:r>
      <w:r>
        <w:rPr>
          <w:rFonts w:cs="Segoe UI"/>
        </w:rPr>
        <w:t>j alebo regionálnej samosprávy.</w:t>
      </w:r>
    </w:p>
    <w:p w14:paraId="575FEF99" w14:textId="5DF24321" w:rsidR="005E667F" w:rsidRDefault="00131776" w:rsidP="002C027A">
      <w:pPr>
        <w:pStyle w:val="Nadpis2"/>
        <w:rPr>
          <w:rFonts w:eastAsia="Times New Roman"/>
          <w:lang w:eastAsia="sk-SK"/>
        </w:rPr>
      </w:pPr>
      <w:bookmarkStart w:id="44" w:name="_Toc136418416"/>
      <w:r>
        <w:rPr>
          <w:rFonts w:eastAsia="Times New Roman"/>
          <w:lang w:eastAsia="sk-SK"/>
        </w:rPr>
        <w:t xml:space="preserve">6.1 </w:t>
      </w:r>
      <w:r w:rsidR="005E667F" w:rsidRPr="009F00D0">
        <w:rPr>
          <w:rFonts w:eastAsia="Times New Roman"/>
          <w:lang w:eastAsia="sk-SK"/>
        </w:rPr>
        <w:t xml:space="preserve">Hospodárenie </w:t>
      </w:r>
      <w:r w:rsidR="005E667F">
        <w:rPr>
          <w:rFonts w:eastAsia="Times New Roman"/>
          <w:lang w:eastAsia="sk-SK"/>
        </w:rPr>
        <w:t>obcí</w:t>
      </w:r>
      <w:bookmarkEnd w:id="44"/>
    </w:p>
    <w:p w14:paraId="20B19878" w14:textId="1146CED9" w:rsidR="002664FC" w:rsidRDefault="002664FC" w:rsidP="002664FC">
      <w:pPr>
        <w:rPr>
          <w:rFonts w:eastAsia="Times New Roman" w:cs="Segoe UI"/>
          <w:szCs w:val="20"/>
          <w:lang w:eastAsia="sk-SK"/>
        </w:rPr>
      </w:pPr>
      <w:r>
        <w:rPr>
          <w:rFonts w:eastAsia="Times New Roman" w:cs="Segoe UI"/>
          <w:b/>
          <w:szCs w:val="20"/>
          <w:lang w:eastAsia="sk-SK"/>
        </w:rPr>
        <w:t xml:space="preserve">Na hotovostnej báze obce hospodárili naďalej s prebytkom, aj keď </w:t>
      </w:r>
      <w:r w:rsidRPr="002664FC">
        <w:rPr>
          <w:rFonts w:eastAsia="Times New Roman" w:cs="Segoe UI"/>
          <w:b/>
          <w:szCs w:val="20"/>
          <w:lang w:eastAsia="sk-SK"/>
        </w:rPr>
        <w:t>medziročne</w:t>
      </w:r>
      <w:r w:rsidRPr="007842B6">
        <w:rPr>
          <w:rFonts w:eastAsia="Times New Roman" w:cs="Segoe UI"/>
          <w:szCs w:val="20"/>
          <w:lang w:eastAsia="sk-SK"/>
        </w:rPr>
        <w:t xml:space="preserve"> </w:t>
      </w:r>
      <w:r w:rsidR="008842A6" w:rsidRPr="008842A6">
        <w:rPr>
          <w:rFonts w:eastAsia="Times New Roman" w:cs="Segoe UI"/>
          <w:b/>
          <w:szCs w:val="20"/>
          <w:lang w:eastAsia="sk-SK"/>
        </w:rPr>
        <w:t>nižším</w:t>
      </w:r>
      <w:r w:rsidRPr="001101E5">
        <w:rPr>
          <w:rFonts w:eastAsia="Times New Roman" w:cs="Segoe UI"/>
          <w:b/>
          <w:szCs w:val="20"/>
          <w:lang w:eastAsia="sk-SK"/>
        </w:rPr>
        <w:t xml:space="preserve"> o 17,1 %</w:t>
      </w:r>
      <w:r w:rsidR="008842A6">
        <w:rPr>
          <w:rFonts w:eastAsia="Times New Roman" w:cs="Segoe UI"/>
          <w:b/>
          <w:szCs w:val="20"/>
          <w:lang w:eastAsia="sk-SK"/>
        </w:rPr>
        <w:t xml:space="preserve"> </w:t>
      </w:r>
      <w:r w:rsidR="008842A6" w:rsidRPr="008842A6">
        <w:rPr>
          <w:rFonts w:eastAsia="Times New Roman" w:cs="Segoe UI"/>
          <w:szCs w:val="20"/>
          <w:lang w:eastAsia="sk-SK"/>
        </w:rPr>
        <w:t>(tabuľka 20)</w:t>
      </w:r>
      <w:r w:rsidR="008842A6">
        <w:rPr>
          <w:rFonts w:eastAsia="Times New Roman" w:cs="Segoe UI"/>
          <w:b/>
          <w:szCs w:val="20"/>
          <w:lang w:eastAsia="sk-SK"/>
        </w:rPr>
        <w:t>.</w:t>
      </w:r>
      <w:r w:rsidRPr="008842A6">
        <w:rPr>
          <w:rFonts w:eastAsia="Times New Roman" w:cs="Segoe UI"/>
          <w:b/>
          <w:szCs w:val="20"/>
          <w:lang w:eastAsia="sk-SK"/>
        </w:rPr>
        <w:t xml:space="preserve"> </w:t>
      </w:r>
      <w:r w:rsidRPr="008842A6">
        <w:rPr>
          <w:rFonts w:eastAsia="Times New Roman" w:cs="Segoe UI"/>
          <w:szCs w:val="20"/>
          <w:lang w:eastAsia="sk-SK"/>
        </w:rPr>
        <w:t>Zároveň narástol nekonsolidovaný dlh obcí</w:t>
      </w:r>
      <w:r>
        <w:rPr>
          <w:rFonts w:eastAsia="Times New Roman" w:cs="Segoe UI"/>
          <w:szCs w:val="20"/>
          <w:lang w:eastAsia="sk-SK"/>
        </w:rPr>
        <w:t xml:space="preserve"> (</w:t>
      </w:r>
      <w:r w:rsidRPr="00872B49">
        <w:rPr>
          <w:rFonts w:eastAsia="Times New Roman" w:cs="Segoe UI"/>
          <w:szCs w:val="20"/>
          <w:lang w:eastAsia="sk-SK"/>
        </w:rPr>
        <w:t>88 % tvori</w:t>
      </w:r>
      <w:r w:rsidR="00883A9D">
        <w:rPr>
          <w:rFonts w:eastAsia="Times New Roman" w:cs="Segoe UI"/>
          <w:szCs w:val="20"/>
          <w:lang w:eastAsia="sk-SK"/>
        </w:rPr>
        <w:t>li</w:t>
      </w:r>
      <w:r w:rsidRPr="00872B49">
        <w:rPr>
          <w:rFonts w:eastAsia="Times New Roman" w:cs="Segoe UI"/>
          <w:szCs w:val="20"/>
          <w:lang w:eastAsia="sk-SK"/>
        </w:rPr>
        <w:t xml:space="preserve"> bankové úvery a pôžičky ŠFRB). </w:t>
      </w:r>
      <w:r w:rsidRPr="00CC53EE">
        <w:rPr>
          <w:rFonts w:eastAsia="Times New Roman" w:cs="Segoe UI"/>
          <w:szCs w:val="20"/>
          <w:lang w:eastAsia="sk-SK"/>
        </w:rPr>
        <w:t xml:space="preserve">V roku 2022 </w:t>
      </w:r>
      <w:r w:rsidR="006E4871">
        <w:rPr>
          <w:rFonts w:eastAsia="Times New Roman" w:cs="Segoe UI"/>
          <w:szCs w:val="20"/>
          <w:lang w:eastAsia="sk-SK"/>
        </w:rPr>
        <w:t xml:space="preserve">tak </w:t>
      </w:r>
      <w:r w:rsidRPr="00CC53EE">
        <w:rPr>
          <w:rFonts w:eastAsia="Times New Roman" w:cs="Segoe UI"/>
          <w:szCs w:val="20"/>
          <w:lang w:eastAsia="sk-SK"/>
        </w:rPr>
        <w:t>1</w:t>
      </w:r>
      <w:r w:rsidR="008842A6">
        <w:rPr>
          <w:rFonts w:eastAsia="Times New Roman" w:cs="Segoe UI"/>
          <w:szCs w:val="20"/>
          <w:lang w:eastAsia="sk-SK"/>
        </w:rPr>
        <w:t xml:space="preserve"> </w:t>
      </w:r>
      <w:r w:rsidRPr="00CC53EE">
        <w:rPr>
          <w:rFonts w:eastAsia="Times New Roman" w:cs="Segoe UI"/>
          <w:szCs w:val="20"/>
          <w:lang w:eastAsia="sk-SK"/>
        </w:rPr>
        <w:t xml:space="preserve">691 obcí a miest evidovalo </w:t>
      </w:r>
      <w:r w:rsidR="00B04EEF">
        <w:rPr>
          <w:rFonts w:eastAsia="Times New Roman" w:cs="Segoe UI"/>
          <w:szCs w:val="20"/>
          <w:lang w:eastAsia="sk-SK"/>
        </w:rPr>
        <w:t>záväzok</w:t>
      </w:r>
      <w:r w:rsidRPr="00CC53EE">
        <w:rPr>
          <w:rFonts w:eastAsia="Times New Roman" w:cs="Segoe UI"/>
          <w:szCs w:val="20"/>
          <w:lang w:eastAsia="sk-SK"/>
        </w:rPr>
        <w:t xml:space="preserve"> v rámci návratnej finančnej výpomoci </w:t>
      </w:r>
      <w:r>
        <w:rPr>
          <w:rFonts w:eastAsia="Times New Roman" w:cs="Segoe UI"/>
          <w:szCs w:val="20"/>
          <w:lang w:eastAsia="sk-SK"/>
        </w:rPr>
        <w:t xml:space="preserve">(NFV) </w:t>
      </w:r>
      <w:r w:rsidRPr="00CC53EE">
        <w:rPr>
          <w:rFonts w:eastAsia="Times New Roman" w:cs="Segoe UI"/>
          <w:szCs w:val="20"/>
          <w:lang w:eastAsia="sk-SK"/>
        </w:rPr>
        <w:t xml:space="preserve">na </w:t>
      </w:r>
      <w:r w:rsidRPr="0060139B">
        <w:rPr>
          <w:rFonts w:eastAsia="Times New Roman" w:cs="Segoe UI"/>
          <w:szCs w:val="20"/>
          <w:lang w:eastAsia="sk-SK"/>
        </w:rPr>
        <w:t xml:space="preserve">zmiernenie negatívneho dopadu pandémie. V </w:t>
      </w:r>
      <w:r w:rsidRPr="0060139B">
        <w:t>priebehu roka 2022 neboli zo</w:t>
      </w:r>
      <w:r w:rsidR="008842A6">
        <w:t xml:space="preserve"> ŠFA</w:t>
      </w:r>
      <w:r w:rsidRPr="0060139B">
        <w:t xml:space="preserve"> poskytnuté nové NFV </w:t>
      </w:r>
      <w:r w:rsidRPr="0060139B">
        <w:lastRenderedPageBreak/>
        <w:t>obciam</w:t>
      </w:r>
      <w:r>
        <w:t xml:space="preserve">, avšak boli splatené výpomoci poskytnuté v predchádzajúcich rokoch v súhrnnej výške 400 tis. eur. </w:t>
      </w:r>
      <w:r w:rsidRPr="00CC53EE">
        <w:rPr>
          <w:rFonts w:eastAsia="Times New Roman" w:cs="Segoe UI"/>
          <w:szCs w:val="20"/>
          <w:lang w:eastAsia="sk-SK"/>
        </w:rPr>
        <w:t xml:space="preserve">Pôžičky pochádzali zo </w:t>
      </w:r>
      <w:r w:rsidR="008842A6">
        <w:rPr>
          <w:rFonts w:eastAsia="Times New Roman" w:cs="Segoe UI"/>
          <w:szCs w:val="20"/>
          <w:lang w:eastAsia="sk-SK"/>
        </w:rPr>
        <w:t>ŠFA</w:t>
      </w:r>
      <w:r w:rsidRPr="00CC53EE">
        <w:rPr>
          <w:rFonts w:eastAsia="Times New Roman" w:cs="Segoe UI"/>
          <w:szCs w:val="20"/>
          <w:lang w:eastAsia="sk-SK"/>
        </w:rPr>
        <w:t xml:space="preserve"> a dosiahli 136,5 mil. eur. Tento dlh budú obce tlačiť pred </w:t>
      </w:r>
      <w:r w:rsidRPr="00D44361">
        <w:rPr>
          <w:rFonts w:eastAsia="Times New Roman" w:cs="Segoe UI"/>
          <w:szCs w:val="20"/>
          <w:lang w:eastAsia="sk-SK"/>
        </w:rPr>
        <w:t>sebou ešte dlho, keďže MF SR povolilo odklad prvej splátky do roku 2024.</w:t>
      </w:r>
      <w:r w:rsidRPr="00D44361">
        <w:rPr>
          <w:rStyle w:val="Odkaznapoznmkupodiarou"/>
          <w:rFonts w:eastAsia="Times New Roman" w:cs="Segoe UI"/>
          <w:szCs w:val="20"/>
          <w:lang w:eastAsia="sk-SK"/>
        </w:rPr>
        <w:footnoteReference w:id="61"/>
      </w:r>
    </w:p>
    <w:p w14:paraId="6D607020" w14:textId="77777777" w:rsidR="002664FC" w:rsidRPr="0035229D" w:rsidRDefault="002664FC" w:rsidP="002664FC">
      <w:pPr>
        <w:pStyle w:val="Popis"/>
        <w:keepNext/>
        <w:rPr>
          <w:rFonts w:cs="Segoe UI"/>
          <w:sz w:val="21"/>
          <w:szCs w:val="21"/>
        </w:rPr>
      </w:pPr>
      <w:r w:rsidRPr="0035229D">
        <w:rPr>
          <w:rFonts w:cs="Segoe UI"/>
          <w:sz w:val="21"/>
          <w:szCs w:val="21"/>
        </w:rPr>
        <w:t>Tabuľka 20: Vybrané finančné ukazovatele obcí za roky 2019 až 2022 (v tis. eur)</w:t>
      </w:r>
    </w:p>
    <w:tbl>
      <w:tblPr>
        <w:tblW w:w="5078" w:type="pct"/>
        <w:tblLayout w:type="fixed"/>
        <w:tblLook w:val="01E0" w:firstRow="1" w:lastRow="1" w:firstColumn="1" w:lastColumn="1" w:noHBand="0" w:noVBand="0"/>
      </w:tblPr>
      <w:tblGrid>
        <w:gridCol w:w="2408"/>
        <w:gridCol w:w="1133"/>
        <w:gridCol w:w="1134"/>
        <w:gridCol w:w="1134"/>
        <w:gridCol w:w="1276"/>
        <w:gridCol w:w="1417"/>
        <w:gridCol w:w="709"/>
      </w:tblGrid>
      <w:tr w:rsidR="002664FC" w:rsidRPr="00DB4654" w14:paraId="1A1202EC" w14:textId="77777777" w:rsidTr="002664FC">
        <w:trPr>
          <w:trHeight w:val="283"/>
          <w:tblHeader/>
        </w:trPr>
        <w:tc>
          <w:tcPr>
            <w:tcW w:w="2410" w:type="dxa"/>
            <w:shd w:val="clear" w:color="auto" w:fill="24324A" w:themeFill="text2" w:themeFillShade="BF"/>
            <w:vAlign w:val="center"/>
            <w:hideMark/>
          </w:tcPr>
          <w:p w14:paraId="27BA6E91" w14:textId="77777777" w:rsidR="002664FC" w:rsidRPr="009F00D0" w:rsidRDefault="002664FC" w:rsidP="002664FC">
            <w:pPr>
              <w:spacing w:after="0" w:line="240" w:lineRule="auto"/>
              <w:rPr>
                <w:rFonts w:eastAsia="Times New Roman" w:cs="Segoe UI"/>
                <w:b/>
                <w:color w:val="FFFFFF"/>
                <w:sz w:val="18"/>
                <w:szCs w:val="18"/>
                <w:lang w:eastAsia="sk-SK"/>
              </w:rPr>
            </w:pPr>
            <w:r w:rsidRPr="009F00D0">
              <w:rPr>
                <w:rFonts w:eastAsia="Times New Roman" w:cs="Segoe UI"/>
                <w:b/>
                <w:color w:val="FFFFFF"/>
                <w:sz w:val="18"/>
                <w:szCs w:val="18"/>
                <w:lang w:eastAsia="sk-SK"/>
              </w:rPr>
              <w:t>Názov ukazovateľa</w:t>
            </w:r>
          </w:p>
        </w:tc>
        <w:tc>
          <w:tcPr>
            <w:tcW w:w="1134" w:type="dxa"/>
            <w:shd w:val="clear" w:color="auto" w:fill="24324A" w:themeFill="text2" w:themeFillShade="BF"/>
            <w:vAlign w:val="center"/>
          </w:tcPr>
          <w:p w14:paraId="36307CBB" w14:textId="77777777" w:rsidR="002664FC" w:rsidRPr="009F00D0" w:rsidRDefault="002664FC" w:rsidP="002664FC">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2019</w:t>
            </w:r>
          </w:p>
        </w:tc>
        <w:tc>
          <w:tcPr>
            <w:tcW w:w="1134" w:type="dxa"/>
            <w:shd w:val="clear" w:color="auto" w:fill="24324A" w:themeFill="text2" w:themeFillShade="BF"/>
            <w:vAlign w:val="center"/>
          </w:tcPr>
          <w:p w14:paraId="7D2DD36B" w14:textId="77777777" w:rsidR="002664FC" w:rsidRPr="009F00D0" w:rsidRDefault="002664FC" w:rsidP="002664FC">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2020</w:t>
            </w:r>
          </w:p>
        </w:tc>
        <w:tc>
          <w:tcPr>
            <w:tcW w:w="1134" w:type="dxa"/>
            <w:shd w:val="clear" w:color="auto" w:fill="24324A" w:themeFill="text2" w:themeFillShade="BF"/>
            <w:vAlign w:val="center"/>
          </w:tcPr>
          <w:p w14:paraId="6214A6A1" w14:textId="77777777" w:rsidR="002664FC" w:rsidRPr="009F00D0" w:rsidRDefault="002664FC" w:rsidP="002664FC">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2021</w:t>
            </w:r>
          </w:p>
        </w:tc>
        <w:tc>
          <w:tcPr>
            <w:tcW w:w="1276" w:type="dxa"/>
            <w:shd w:val="clear" w:color="auto" w:fill="24324A" w:themeFill="text2" w:themeFillShade="BF"/>
            <w:vAlign w:val="center"/>
          </w:tcPr>
          <w:p w14:paraId="4D496AF2" w14:textId="77777777" w:rsidR="002664FC" w:rsidRPr="009F00D0" w:rsidRDefault="002664FC" w:rsidP="002664FC">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2022</w:t>
            </w:r>
          </w:p>
        </w:tc>
        <w:tc>
          <w:tcPr>
            <w:tcW w:w="1417" w:type="dxa"/>
            <w:shd w:val="clear" w:color="auto" w:fill="24324A" w:themeFill="text2" w:themeFillShade="BF"/>
            <w:vAlign w:val="center"/>
          </w:tcPr>
          <w:p w14:paraId="14989471" w14:textId="77777777" w:rsidR="002664FC" w:rsidRPr="009F00D0" w:rsidRDefault="002664FC" w:rsidP="002664FC">
            <w:pPr>
              <w:widowControl w:val="0"/>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2022 - 2021</w:t>
            </w:r>
          </w:p>
        </w:tc>
        <w:tc>
          <w:tcPr>
            <w:tcW w:w="709" w:type="dxa"/>
            <w:shd w:val="clear" w:color="auto" w:fill="24324A" w:themeFill="text2" w:themeFillShade="BF"/>
            <w:vAlign w:val="center"/>
          </w:tcPr>
          <w:p w14:paraId="3C837450" w14:textId="77777777" w:rsidR="002664FC" w:rsidRPr="009F00D0" w:rsidRDefault="002664FC" w:rsidP="002664FC">
            <w:pPr>
              <w:widowControl w:val="0"/>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YoY</w:t>
            </w:r>
          </w:p>
        </w:tc>
      </w:tr>
      <w:tr w:rsidR="002664FC" w:rsidRPr="00DB4654" w14:paraId="612F8411" w14:textId="77777777" w:rsidTr="002664FC">
        <w:trPr>
          <w:trHeight w:val="283"/>
        </w:trPr>
        <w:tc>
          <w:tcPr>
            <w:tcW w:w="2410" w:type="dxa"/>
            <w:vAlign w:val="center"/>
          </w:tcPr>
          <w:p w14:paraId="4006D3C1" w14:textId="77777777" w:rsidR="002664FC" w:rsidRPr="009F00D0" w:rsidRDefault="002664FC" w:rsidP="002664FC">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Príjmy celkom</w:t>
            </w:r>
          </w:p>
        </w:tc>
        <w:tc>
          <w:tcPr>
            <w:tcW w:w="1134" w:type="dxa"/>
            <w:vAlign w:val="center"/>
          </w:tcPr>
          <w:p w14:paraId="60F6598B" w14:textId="77777777" w:rsidR="002664FC" w:rsidRPr="009F00D0" w:rsidRDefault="002664FC" w:rsidP="002664FC">
            <w:pPr>
              <w:spacing w:after="0" w:line="240" w:lineRule="auto"/>
              <w:contextualSpacing/>
              <w:jc w:val="right"/>
              <w:rPr>
                <w:rFonts w:eastAsia="Times New Roman" w:cs="Segoe UI"/>
                <w:bCs/>
                <w:sz w:val="18"/>
                <w:szCs w:val="18"/>
                <w:lang w:eastAsia="sk-SK"/>
              </w:rPr>
            </w:pPr>
            <w:r w:rsidRPr="009F00D0">
              <w:rPr>
                <w:rFonts w:eastAsia="Times New Roman" w:cs="Segoe UI"/>
                <w:bCs/>
                <w:sz w:val="18"/>
                <w:szCs w:val="18"/>
                <w:lang w:eastAsia="sk-SK"/>
              </w:rPr>
              <w:t>5 689 740</w:t>
            </w:r>
          </w:p>
        </w:tc>
        <w:tc>
          <w:tcPr>
            <w:tcW w:w="1134" w:type="dxa"/>
            <w:vAlign w:val="center"/>
          </w:tcPr>
          <w:p w14:paraId="65D61FCE" w14:textId="77777777" w:rsidR="002664FC" w:rsidRPr="009F00D0" w:rsidRDefault="002664FC" w:rsidP="002664FC">
            <w:pPr>
              <w:spacing w:after="0" w:line="240" w:lineRule="auto"/>
              <w:contextualSpacing/>
              <w:jc w:val="right"/>
              <w:rPr>
                <w:rFonts w:eastAsia="Times New Roman" w:cs="Segoe UI"/>
                <w:bCs/>
                <w:sz w:val="18"/>
                <w:szCs w:val="18"/>
                <w:lang w:eastAsia="sk-SK"/>
              </w:rPr>
            </w:pPr>
            <w:r w:rsidRPr="009F00D0">
              <w:rPr>
                <w:rFonts w:eastAsia="Times New Roman" w:cs="Segoe UI"/>
                <w:bCs/>
                <w:sz w:val="18"/>
                <w:szCs w:val="18"/>
                <w:lang w:eastAsia="sk-SK"/>
              </w:rPr>
              <w:t>5 992 179</w:t>
            </w:r>
          </w:p>
        </w:tc>
        <w:tc>
          <w:tcPr>
            <w:tcW w:w="1134" w:type="dxa"/>
            <w:vAlign w:val="center"/>
          </w:tcPr>
          <w:p w14:paraId="628F1AC5" w14:textId="77777777" w:rsidR="002664FC" w:rsidRPr="009F00D0" w:rsidRDefault="002664FC" w:rsidP="002664FC">
            <w:pPr>
              <w:spacing w:after="0" w:line="240" w:lineRule="auto"/>
              <w:contextualSpacing/>
              <w:jc w:val="right"/>
              <w:rPr>
                <w:rFonts w:eastAsia="Times New Roman" w:cs="Segoe UI"/>
                <w:bCs/>
                <w:sz w:val="18"/>
                <w:szCs w:val="18"/>
                <w:lang w:eastAsia="sk-SK"/>
              </w:rPr>
            </w:pPr>
            <w:r w:rsidRPr="009F00D0">
              <w:rPr>
                <w:rFonts w:eastAsia="Times New Roman" w:cs="Segoe UI"/>
                <w:bCs/>
                <w:sz w:val="18"/>
                <w:szCs w:val="18"/>
                <w:lang w:eastAsia="sk-SK"/>
              </w:rPr>
              <w:t>6 228 608</w:t>
            </w:r>
          </w:p>
        </w:tc>
        <w:tc>
          <w:tcPr>
            <w:tcW w:w="1276" w:type="dxa"/>
          </w:tcPr>
          <w:p w14:paraId="2702D7DA" w14:textId="77777777" w:rsidR="002664FC" w:rsidRPr="009F00D0" w:rsidRDefault="002664FC" w:rsidP="002664FC">
            <w:pPr>
              <w:spacing w:after="0" w:line="240" w:lineRule="auto"/>
              <w:contextualSpacing/>
              <w:jc w:val="right"/>
              <w:rPr>
                <w:rFonts w:eastAsia="Times New Roman" w:cs="Segoe UI"/>
                <w:bCs/>
                <w:sz w:val="18"/>
                <w:szCs w:val="18"/>
                <w:lang w:eastAsia="sk-SK"/>
              </w:rPr>
            </w:pPr>
            <w:r w:rsidRPr="009F00D0">
              <w:rPr>
                <w:rFonts w:eastAsia="Times New Roman" w:cs="Segoe UI"/>
                <w:bCs/>
                <w:sz w:val="18"/>
                <w:szCs w:val="18"/>
                <w:lang w:eastAsia="sk-SK"/>
              </w:rPr>
              <w:t>6 827 862</w:t>
            </w:r>
          </w:p>
        </w:tc>
        <w:tc>
          <w:tcPr>
            <w:tcW w:w="1417" w:type="dxa"/>
            <w:vAlign w:val="center"/>
          </w:tcPr>
          <w:p w14:paraId="331F8955" w14:textId="77777777" w:rsidR="002664FC" w:rsidRPr="009F00D0" w:rsidRDefault="002664FC" w:rsidP="002664FC">
            <w:pPr>
              <w:spacing w:after="0" w:line="240" w:lineRule="auto"/>
              <w:contextualSpacing/>
              <w:jc w:val="right"/>
              <w:rPr>
                <w:rFonts w:eastAsia="Times New Roman" w:cs="Segoe UI"/>
                <w:bCs/>
                <w:sz w:val="18"/>
                <w:szCs w:val="18"/>
                <w:lang w:eastAsia="sk-SK"/>
              </w:rPr>
            </w:pPr>
            <w:r w:rsidRPr="009F00D0">
              <w:rPr>
                <w:rFonts w:eastAsia="Times New Roman" w:cs="Segoe UI"/>
                <w:bCs/>
                <w:sz w:val="18"/>
                <w:szCs w:val="18"/>
                <w:lang w:eastAsia="sk-SK"/>
              </w:rPr>
              <w:t>599 254</w:t>
            </w:r>
          </w:p>
        </w:tc>
        <w:tc>
          <w:tcPr>
            <w:tcW w:w="709" w:type="dxa"/>
            <w:vAlign w:val="center"/>
          </w:tcPr>
          <w:p w14:paraId="5BE45220" w14:textId="77777777" w:rsidR="002664FC" w:rsidRPr="009F00D0" w:rsidRDefault="002664FC" w:rsidP="002664FC">
            <w:pPr>
              <w:spacing w:after="0" w:line="240" w:lineRule="auto"/>
              <w:contextualSpacing/>
              <w:jc w:val="right"/>
              <w:rPr>
                <w:rFonts w:eastAsia="Times New Roman" w:cs="Segoe UI"/>
                <w:bCs/>
                <w:sz w:val="18"/>
                <w:szCs w:val="18"/>
                <w:lang w:eastAsia="sk-SK"/>
              </w:rPr>
            </w:pPr>
            <w:r w:rsidRPr="009F00D0">
              <w:rPr>
                <w:rFonts w:eastAsia="Times New Roman" w:cs="Segoe UI"/>
                <w:bCs/>
                <w:sz w:val="18"/>
                <w:szCs w:val="18"/>
                <w:lang w:eastAsia="sk-SK"/>
              </w:rPr>
              <w:t>109,6</w:t>
            </w:r>
          </w:p>
        </w:tc>
      </w:tr>
      <w:tr w:rsidR="002664FC" w:rsidRPr="00DB4654" w14:paraId="565F6A6D" w14:textId="77777777" w:rsidTr="002664FC">
        <w:trPr>
          <w:trHeight w:val="283"/>
        </w:trPr>
        <w:tc>
          <w:tcPr>
            <w:tcW w:w="2410" w:type="dxa"/>
            <w:vAlign w:val="center"/>
          </w:tcPr>
          <w:p w14:paraId="76EA7656" w14:textId="77777777" w:rsidR="002664FC" w:rsidRPr="009F00D0" w:rsidRDefault="002664FC" w:rsidP="002664FC">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Výdavky celkom</w:t>
            </w:r>
          </w:p>
        </w:tc>
        <w:tc>
          <w:tcPr>
            <w:tcW w:w="1134" w:type="dxa"/>
            <w:vAlign w:val="center"/>
          </w:tcPr>
          <w:p w14:paraId="1BCAAC3E"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5 278 449</w:t>
            </w:r>
          </w:p>
        </w:tc>
        <w:tc>
          <w:tcPr>
            <w:tcW w:w="1134" w:type="dxa"/>
            <w:vAlign w:val="center"/>
          </w:tcPr>
          <w:p w14:paraId="493E88AF"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5 417 938</w:t>
            </w:r>
          </w:p>
        </w:tc>
        <w:tc>
          <w:tcPr>
            <w:tcW w:w="1134" w:type="dxa"/>
            <w:vAlign w:val="center"/>
          </w:tcPr>
          <w:p w14:paraId="7F0E8A52"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5 675 086</w:t>
            </w:r>
          </w:p>
        </w:tc>
        <w:tc>
          <w:tcPr>
            <w:tcW w:w="1276" w:type="dxa"/>
          </w:tcPr>
          <w:p w14:paraId="6BDD6971"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6 368 733</w:t>
            </w:r>
          </w:p>
        </w:tc>
        <w:tc>
          <w:tcPr>
            <w:tcW w:w="1417" w:type="dxa"/>
            <w:vAlign w:val="center"/>
          </w:tcPr>
          <w:p w14:paraId="2823056B"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693 647</w:t>
            </w:r>
          </w:p>
        </w:tc>
        <w:tc>
          <w:tcPr>
            <w:tcW w:w="709" w:type="dxa"/>
            <w:vAlign w:val="center"/>
          </w:tcPr>
          <w:p w14:paraId="6293ACF7"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112,2</w:t>
            </w:r>
          </w:p>
        </w:tc>
      </w:tr>
      <w:tr w:rsidR="002664FC" w:rsidRPr="00DB4654" w14:paraId="5D468B84" w14:textId="77777777" w:rsidTr="002664FC">
        <w:trPr>
          <w:trHeight w:val="283"/>
        </w:trPr>
        <w:tc>
          <w:tcPr>
            <w:tcW w:w="2410" w:type="dxa"/>
            <w:vAlign w:val="center"/>
          </w:tcPr>
          <w:p w14:paraId="2582CA9D" w14:textId="77777777" w:rsidR="002664FC" w:rsidRPr="009F00D0" w:rsidRDefault="002664FC" w:rsidP="002664FC">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 xml:space="preserve">Hotovostné saldo </w:t>
            </w:r>
          </w:p>
        </w:tc>
        <w:tc>
          <w:tcPr>
            <w:tcW w:w="1134" w:type="dxa"/>
            <w:vAlign w:val="center"/>
          </w:tcPr>
          <w:p w14:paraId="25A3BBE8"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411 290</w:t>
            </w:r>
          </w:p>
        </w:tc>
        <w:tc>
          <w:tcPr>
            <w:tcW w:w="1134" w:type="dxa"/>
            <w:vAlign w:val="center"/>
          </w:tcPr>
          <w:p w14:paraId="156C8914"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574 242</w:t>
            </w:r>
          </w:p>
        </w:tc>
        <w:tc>
          <w:tcPr>
            <w:tcW w:w="1134" w:type="dxa"/>
            <w:vAlign w:val="center"/>
          </w:tcPr>
          <w:p w14:paraId="7FD376EA"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553 521</w:t>
            </w:r>
          </w:p>
        </w:tc>
        <w:tc>
          <w:tcPr>
            <w:tcW w:w="1276" w:type="dxa"/>
            <w:vAlign w:val="center"/>
          </w:tcPr>
          <w:p w14:paraId="6E85E71E"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459 130</w:t>
            </w:r>
          </w:p>
        </w:tc>
        <w:tc>
          <w:tcPr>
            <w:tcW w:w="1417" w:type="dxa"/>
            <w:vAlign w:val="center"/>
          </w:tcPr>
          <w:p w14:paraId="22004A55"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w:t>
            </w:r>
            <w:r>
              <w:rPr>
                <w:rFonts w:eastAsia="Times New Roman" w:cs="Segoe UI"/>
                <w:bCs/>
                <w:sz w:val="18"/>
                <w:szCs w:val="18"/>
                <w:lang w:eastAsia="sk-SK"/>
              </w:rPr>
              <w:t xml:space="preserve"> </w:t>
            </w:r>
            <w:r w:rsidRPr="009F00D0">
              <w:rPr>
                <w:rFonts w:eastAsia="Times New Roman" w:cs="Segoe UI"/>
                <w:bCs/>
                <w:sz w:val="18"/>
                <w:szCs w:val="18"/>
                <w:lang w:eastAsia="sk-SK"/>
              </w:rPr>
              <w:t>94 391</w:t>
            </w:r>
          </w:p>
        </w:tc>
        <w:tc>
          <w:tcPr>
            <w:tcW w:w="709" w:type="dxa"/>
            <w:vAlign w:val="center"/>
          </w:tcPr>
          <w:p w14:paraId="00307008"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82,9</w:t>
            </w:r>
          </w:p>
        </w:tc>
      </w:tr>
      <w:tr w:rsidR="002664FC" w:rsidRPr="00DB4654" w14:paraId="55EE9D6F" w14:textId="77777777" w:rsidTr="002664FC">
        <w:trPr>
          <w:trHeight w:val="283"/>
        </w:trPr>
        <w:tc>
          <w:tcPr>
            <w:tcW w:w="2410" w:type="dxa"/>
            <w:vAlign w:val="center"/>
          </w:tcPr>
          <w:p w14:paraId="76633206" w14:textId="77777777" w:rsidR="002664FC" w:rsidRPr="009F00D0" w:rsidRDefault="002664FC" w:rsidP="002664FC">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Príjmové finančné operácie</w:t>
            </w:r>
          </w:p>
        </w:tc>
        <w:tc>
          <w:tcPr>
            <w:tcW w:w="1134" w:type="dxa"/>
            <w:vAlign w:val="center"/>
          </w:tcPr>
          <w:p w14:paraId="56830E0F"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556 705</w:t>
            </w:r>
          </w:p>
        </w:tc>
        <w:tc>
          <w:tcPr>
            <w:tcW w:w="1134" w:type="dxa"/>
            <w:vAlign w:val="center"/>
          </w:tcPr>
          <w:p w14:paraId="7CBF3547"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648 712</w:t>
            </w:r>
          </w:p>
        </w:tc>
        <w:tc>
          <w:tcPr>
            <w:tcW w:w="1134" w:type="dxa"/>
            <w:vAlign w:val="center"/>
          </w:tcPr>
          <w:p w14:paraId="4E6BF135"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723 929</w:t>
            </w:r>
          </w:p>
        </w:tc>
        <w:tc>
          <w:tcPr>
            <w:tcW w:w="1276" w:type="dxa"/>
          </w:tcPr>
          <w:p w14:paraId="1E116761"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912 375</w:t>
            </w:r>
          </w:p>
        </w:tc>
        <w:tc>
          <w:tcPr>
            <w:tcW w:w="1417" w:type="dxa"/>
            <w:vAlign w:val="center"/>
          </w:tcPr>
          <w:p w14:paraId="1CB7C803"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Calibri" w:cs="Segoe UI"/>
                <w:color w:val="000000"/>
                <w:sz w:val="18"/>
                <w:szCs w:val="18"/>
              </w:rPr>
              <w:t>188 446</w:t>
            </w:r>
          </w:p>
        </w:tc>
        <w:tc>
          <w:tcPr>
            <w:tcW w:w="709" w:type="dxa"/>
            <w:vAlign w:val="center"/>
          </w:tcPr>
          <w:p w14:paraId="5180D16A"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Calibri" w:cs="Segoe UI"/>
                <w:color w:val="000000"/>
                <w:sz w:val="18"/>
                <w:szCs w:val="18"/>
              </w:rPr>
              <w:t>126,0</w:t>
            </w:r>
          </w:p>
        </w:tc>
      </w:tr>
      <w:tr w:rsidR="002664FC" w:rsidRPr="00DB4654" w14:paraId="5D4A635B" w14:textId="77777777" w:rsidTr="002664FC">
        <w:trPr>
          <w:trHeight w:val="283"/>
        </w:trPr>
        <w:tc>
          <w:tcPr>
            <w:tcW w:w="2410" w:type="dxa"/>
            <w:vAlign w:val="center"/>
          </w:tcPr>
          <w:p w14:paraId="3E1A8191" w14:textId="77777777" w:rsidR="002664FC" w:rsidRPr="009F00D0" w:rsidRDefault="002664FC" w:rsidP="002664FC">
            <w:pPr>
              <w:spacing w:after="0" w:line="240" w:lineRule="auto"/>
              <w:contextualSpacing/>
              <w:jc w:val="left"/>
              <w:rPr>
                <w:rFonts w:eastAsia="Times New Roman" w:cs="Segoe UI"/>
                <w:bCs/>
                <w:sz w:val="16"/>
                <w:szCs w:val="18"/>
                <w:lang w:eastAsia="sk-SK"/>
              </w:rPr>
            </w:pPr>
            <w:r w:rsidRPr="009F00D0">
              <w:rPr>
                <w:rFonts w:eastAsia="Times New Roman" w:cs="Segoe UI"/>
                <w:bCs/>
                <w:sz w:val="16"/>
                <w:szCs w:val="18"/>
                <w:lang w:eastAsia="sk-SK"/>
              </w:rPr>
              <w:t>Výdavkové finančné operácie</w:t>
            </w:r>
          </w:p>
        </w:tc>
        <w:tc>
          <w:tcPr>
            <w:tcW w:w="1134" w:type="dxa"/>
            <w:vAlign w:val="center"/>
          </w:tcPr>
          <w:p w14:paraId="19E97424"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226 647</w:t>
            </w:r>
          </w:p>
        </w:tc>
        <w:tc>
          <w:tcPr>
            <w:tcW w:w="1134" w:type="dxa"/>
            <w:vAlign w:val="center"/>
          </w:tcPr>
          <w:p w14:paraId="2C19421A"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238 356</w:t>
            </w:r>
          </w:p>
        </w:tc>
        <w:tc>
          <w:tcPr>
            <w:tcW w:w="1134" w:type="dxa"/>
            <w:vAlign w:val="center"/>
          </w:tcPr>
          <w:p w14:paraId="60099BB0"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212 102</w:t>
            </w:r>
          </w:p>
        </w:tc>
        <w:tc>
          <w:tcPr>
            <w:tcW w:w="1276" w:type="dxa"/>
          </w:tcPr>
          <w:p w14:paraId="6BA68A46"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204 035</w:t>
            </w:r>
          </w:p>
        </w:tc>
        <w:tc>
          <w:tcPr>
            <w:tcW w:w="1417" w:type="dxa"/>
            <w:vAlign w:val="center"/>
          </w:tcPr>
          <w:p w14:paraId="6F138960"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Calibri" w:cs="Segoe UI"/>
                <w:color w:val="000000"/>
                <w:sz w:val="18"/>
                <w:szCs w:val="18"/>
              </w:rPr>
              <w:t>- 8 068</w:t>
            </w:r>
          </w:p>
        </w:tc>
        <w:tc>
          <w:tcPr>
            <w:tcW w:w="709" w:type="dxa"/>
            <w:vAlign w:val="center"/>
          </w:tcPr>
          <w:p w14:paraId="5B8A2215"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Calibri" w:cs="Segoe UI"/>
                <w:color w:val="000000"/>
                <w:sz w:val="18"/>
                <w:szCs w:val="18"/>
              </w:rPr>
              <w:t>96,2</w:t>
            </w:r>
          </w:p>
        </w:tc>
      </w:tr>
      <w:tr w:rsidR="002664FC" w:rsidRPr="00DB4654" w14:paraId="07EBA615" w14:textId="77777777" w:rsidTr="002664FC">
        <w:trPr>
          <w:trHeight w:val="283"/>
        </w:trPr>
        <w:tc>
          <w:tcPr>
            <w:tcW w:w="2410" w:type="dxa"/>
            <w:vAlign w:val="center"/>
          </w:tcPr>
          <w:p w14:paraId="09D29133" w14:textId="77777777" w:rsidR="002664FC" w:rsidRPr="009F00D0" w:rsidRDefault="002664FC" w:rsidP="002664FC">
            <w:pPr>
              <w:spacing w:after="0" w:line="240" w:lineRule="auto"/>
              <w:contextualSpacing/>
              <w:jc w:val="left"/>
              <w:rPr>
                <w:rFonts w:eastAsia="Times New Roman" w:cs="Segoe UI"/>
                <w:bCs/>
                <w:sz w:val="16"/>
                <w:szCs w:val="18"/>
                <w:lang w:eastAsia="sk-SK"/>
              </w:rPr>
            </w:pPr>
            <w:r>
              <w:rPr>
                <w:rFonts w:eastAsia="Times New Roman" w:cs="Segoe UI"/>
                <w:bCs/>
                <w:sz w:val="16"/>
                <w:szCs w:val="18"/>
                <w:lang w:eastAsia="sk-SK"/>
              </w:rPr>
              <w:t>Kapitálové výdavky</w:t>
            </w:r>
          </w:p>
        </w:tc>
        <w:tc>
          <w:tcPr>
            <w:tcW w:w="1134" w:type="dxa"/>
            <w:vAlign w:val="center"/>
          </w:tcPr>
          <w:p w14:paraId="6E18FDA8" w14:textId="77777777" w:rsidR="002664FC" w:rsidRDefault="002664FC" w:rsidP="002664FC">
            <w:pPr>
              <w:spacing w:after="0" w:line="240" w:lineRule="auto"/>
              <w:jc w:val="right"/>
              <w:rPr>
                <w:rFonts w:eastAsia="Times New Roman" w:cs="Segoe UI"/>
                <w:bCs/>
                <w:sz w:val="18"/>
                <w:szCs w:val="18"/>
                <w:lang w:eastAsia="sk-SK"/>
              </w:rPr>
            </w:pPr>
            <w:r>
              <w:rPr>
                <w:rFonts w:eastAsia="Calibri" w:cs="Segoe UI"/>
                <w:color w:val="000000"/>
                <w:sz w:val="18"/>
                <w:szCs w:val="18"/>
              </w:rPr>
              <w:t>857 864</w:t>
            </w:r>
          </w:p>
        </w:tc>
        <w:tc>
          <w:tcPr>
            <w:tcW w:w="1134" w:type="dxa"/>
            <w:vAlign w:val="center"/>
          </w:tcPr>
          <w:p w14:paraId="4FC815B5" w14:textId="77777777" w:rsidR="002664FC" w:rsidRDefault="002664FC" w:rsidP="002664FC">
            <w:pPr>
              <w:spacing w:after="0" w:line="240" w:lineRule="auto"/>
              <w:jc w:val="right"/>
              <w:rPr>
                <w:rFonts w:eastAsia="Times New Roman" w:cs="Segoe UI"/>
                <w:bCs/>
                <w:sz w:val="18"/>
                <w:szCs w:val="18"/>
                <w:lang w:eastAsia="sk-SK"/>
              </w:rPr>
            </w:pPr>
            <w:r w:rsidRPr="00460890">
              <w:rPr>
                <w:rFonts w:eastAsia="Calibri" w:cs="Segoe UI"/>
                <w:color w:val="000000"/>
                <w:sz w:val="18"/>
                <w:szCs w:val="18"/>
              </w:rPr>
              <w:t>779 020</w:t>
            </w:r>
          </w:p>
        </w:tc>
        <w:tc>
          <w:tcPr>
            <w:tcW w:w="1134" w:type="dxa"/>
            <w:vAlign w:val="center"/>
          </w:tcPr>
          <w:p w14:paraId="49F5AE60" w14:textId="77777777" w:rsidR="002664FC" w:rsidRDefault="002664FC" w:rsidP="002664FC">
            <w:pPr>
              <w:spacing w:after="0" w:line="240" w:lineRule="auto"/>
              <w:jc w:val="right"/>
              <w:rPr>
                <w:rFonts w:eastAsia="Times New Roman" w:cs="Segoe UI"/>
                <w:bCs/>
                <w:sz w:val="18"/>
                <w:szCs w:val="18"/>
                <w:lang w:eastAsia="sk-SK"/>
              </w:rPr>
            </w:pPr>
            <w:r w:rsidRPr="00460890">
              <w:rPr>
                <w:rFonts w:eastAsia="Calibri" w:cs="Segoe UI"/>
                <w:color w:val="000000"/>
                <w:sz w:val="18"/>
                <w:szCs w:val="18"/>
              </w:rPr>
              <w:t>717 036</w:t>
            </w:r>
          </w:p>
        </w:tc>
        <w:tc>
          <w:tcPr>
            <w:tcW w:w="1276" w:type="dxa"/>
          </w:tcPr>
          <w:p w14:paraId="712F68BF" w14:textId="77777777" w:rsidR="002664FC" w:rsidRDefault="002664FC" w:rsidP="002664FC">
            <w:pPr>
              <w:spacing w:after="0" w:line="240" w:lineRule="auto"/>
              <w:jc w:val="right"/>
              <w:rPr>
                <w:rFonts w:eastAsia="Times New Roman" w:cs="Segoe UI"/>
                <w:bCs/>
                <w:sz w:val="18"/>
                <w:szCs w:val="18"/>
                <w:lang w:eastAsia="sk-SK"/>
              </w:rPr>
            </w:pPr>
            <w:r>
              <w:rPr>
                <w:rFonts w:eastAsia="Calibri" w:cs="Segoe UI"/>
                <w:color w:val="000000"/>
                <w:sz w:val="18"/>
                <w:szCs w:val="18"/>
              </w:rPr>
              <w:t>974 795</w:t>
            </w:r>
          </w:p>
        </w:tc>
        <w:tc>
          <w:tcPr>
            <w:tcW w:w="1417" w:type="dxa"/>
            <w:vAlign w:val="center"/>
          </w:tcPr>
          <w:p w14:paraId="42D2595A" w14:textId="77777777" w:rsidR="002664FC" w:rsidRDefault="002664FC" w:rsidP="002664FC">
            <w:pPr>
              <w:spacing w:after="0" w:line="240" w:lineRule="auto"/>
              <w:jc w:val="right"/>
              <w:rPr>
                <w:rFonts w:eastAsia="Calibri" w:cs="Segoe UI"/>
                <w:color w:val="000000"/>
                <w:sz w:val="18"/>
                <w:szCs w:val="18"/>
              </w:rPr>
            </w:pPr>
            <w:r>
              <w:rPr>
                <w:rFonts w:eastAsia="Calibri" w:cs="Segoe UI"/>
                <w:color w:val="000000"/>
                <w:sz w:val="18"/>
                <w:szCs w:val="18"/>
              </w:rPr>
              <w:t>257 759</w:t>
            </w:r>
          </w:p>
        </w:tc>
        <w:tc>
          <w:tcPr>
            <w:tcW w:w="709" w:type="dxa"/>
            <w:vAlign w:val="center"/>
          </w:tcPr>
          <w:p w14:paraId="1ABAB62D" w14:textId="77777777" w:rsidR="002664FC" w:rsidRDefault="002664FC" w:rsidP="002664FC">
            <w:pPr>
              <w:spacing w:after="0" w:line="240" w:lineRule="auto"/>
              <w:jc w:val="right"/>
              <w:rPr>
                <w:rFonts w:eastAsia="Calibri" w:cs="Segoe UI"/>
                <w:color w:val="000000"/>
                <w:sz w:val="18"/>
                <w:szCs w:val="18"/>
              </w:rPr>
            </w:pPr>
            <w:r>
              <w:rPr>
                <w:rFonts w:eastAsia="Calibri" w:cs="Segoe UI"/>
                <w:color w:val="000000"/>
                <w:sz w:val="18"/>
                <w:szCs w:val="18"/>
              </w:rPr>
              <w:t>135,9</w:t>
            </w:r>
          </w:p>
        </w:tc>
      </w:tr>
      <w:tr w:rsidR="002664FC" w:rsidRPr="0021518B" w14:paraId="0C785FE5" w14:textId="77777777" w:rsidTr="002664FC">
        <w:trPr>
          <w:trHeight w:val="283"/>
        </w:trPr>
        <w:tc>
          <w:tcPr>
            <w:tcW w:w="2410" w:type="dxa"/>
            <w:vAlign w:val="center"/>
          </w:tcPr>
          <w:p w14:paraId="764F1CE9" w14:textId="77777777" w:rsidR="002664FC" w:rsidRPr="009F00D0" w:rsidRDefault="002664FC" w:rsidP="002664FC">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ESA</w:t>
            </w:r>
            <w:r>
              <w:rPr>
                <w:rFonts w:eastAsia="Times New Roman" w:cs="Segoe UI"/>
                <w:bCs/>
                <w:sz w:val="16"/>
                <w:szCs w:val="18"/>
                <w:lang w:eastAsia="sk-SK"/>
              </w:rPr>
              <w:t xml:space="preserve"> </w:t>
            </w:r>
            <w:r w:rsidRPr="009F00D0">
              <w:rPr>
                <w:rFonts w:eastAsia="Times New Roman" w:cs="Segoe UI"/>
                <w:bCs/>
                <w:sz w:val="16"/>
                <w:szCs w:val="18"/>
                <w:lang w:eastAsia="sk-SK"/>
              </w:rPr>
              <w:t xml:space="preserve">2010 </w:t>
            </w:r>
            <w:r>
              <w:rPr>
                <w:rFonts w:eastAsia="Times New Roman" w:cs="Segoe UI"/>
                <w:bCs/>
                <w:sz w:val="16"/>
                <w:szCs w:val="18"/>
                <w:lang w:eastAsia="sk-SK"/>
              </w:rPr>
              <w:t>prebytok/schodok</w:t>
            </w:r>
          </w:p>
        </w:tc>
        <w:tc>
          <w:tcPr>
            <w:tcW w:w="1134" w:type="dxa"/>
            <w:vAlign w:val="center"/>
          </w:tcPr>
          <w:p w14:paraId="54151A11" w14:textId="77777777" w:rsidR="002664FC" w:rsidRPr="009F00D0" w:rsidRDefault="002664FC" w:rsidP="002664FC">
            <w:pPr>
              <w:spacing w:after="0" w:line="240" w:lineRule="auto"/>
              <w:jc w:val="right"/>
              <w:rPr>
                <w:rFonts w:eastAsia="Times New Roman" w:cs="Segoe UI"/>
                <w:bCs/>
                <w:sz w:val="18"/>
                <w:szCs w:val="18"/>
                <w:lang w:eastAsia="sk-SK"/>
              </w:rPr>
            </w:pPr>
            <w:r>
              <w:rPr>
                <w:rFonts w:eastAsia="Times New Roman" w:cs="Segoe UI"/>
                <w:bCs/>
                <w:sz w:val="18"/>
                <w:szCs w:val="18"/>
                <w:lang w:eastAsia="sk-SK"/>
              </w:rPr>
              <w:t>55 868</w:t>
            </w:r>
          </w:p>
        </w:tc>
        <w:tc>
          <w:tcPr>
            <w:tcW w:w="1134" w:type="dxa"/>
            <w:vAlign w:val="center"/>
          </w:tcPr>
          <w:p w14:paraId="4895EF18"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140 673</w:t>
            </w:r>
          </w:p>
        </w:tc>
        <w:tc>
          <w:tcPr>
            <w:tcW w:w="1134" w:type="dxa"/>
            <w:vAlign w:val="center"/>
          </w:tcPr>
          <w:p w14:paraId="3B023B4B" w14:textId="77777777" w:rsidR="002664FC" w:rsidRPr="00577DE3" w:rsidRDefault="002664FC" w:rsidP="002664FC">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2 371</w:t>
            </w:r>
          </w:p>
        </w:tc>
        <w:tc>
          <w:tcPr>
            <w:tcW w:w="1276" w:type="dxa"/>
            <w:vAlign w:val="center"/>
          </w:tcPr>
          <w:p w14:paraId="5FA98256" w14:textId="77777777" w:rsidR="002664FC" w:rsidRPr="00577DE3" w:rsidRDefault="002664FC" w:rsidP="002664FC">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 xml:space="preserve">-287 784 </w:t>
            </w:r>
          </w:p>
        </w:tc>
        <w:tc>
          <w:tcPr>
            <w:tcW w:w="1417" w:type="dxa"/>
            <w:vAlign w:val="center"/>
          </w:tcPr>
          <w:p w14:paraId="04FA1222" w14:textId="77777777" w:rsidR="002664FC" w:rsidRPr="00577DE3" w:rsidRDefault="002664FC" w:rsidP="002664FC">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 xml:space="preserve"> 290 155</w:t>
            </w:r>
          </w:p>
        </w:tc>
        <w:tc>
          <w:tcPr>
            <w:tcW w:w="709" w:type="dxa"/>
            <w:vAlign w:val="center"/>
          </w:tcPr>
          <w:p w14:paraId="0896639E" w14:textId="77777777" w:rsidR="002664FC" w:rsidRPr="00577DE3" w:rsidRDefault="002664FC" w:rsidP="002664FC">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w:t>
            </w:r>
          </w:p>
        </w:tc>
      </w:tr>
      <w:tr w:rsidR="002664FC" w:rsidRPr="00DB4654" w14:paraId="4EB30571" w14:textId="77777777" w:rsidTr="002664FC">
        <w:trPr>
          <w:trHeight w:val="283"/>
        </w:trPr>
        <w:tc>
          <w:tcPr>
            <w:tcW w:w="2410" w:type="dxa"/>
            <w:tcBorders>
              <w:bottom w:val="single" w:sz="4" w:space="0" w:color="auto"/>
            </w:tcBorders>
            <w:vAlign w:val="center"/>
          </w:tcPr>
          <w:p w14:paraId="01039037" w14:textId="77777777" w:rsidR="002664FC" w:rsidRPr="009F00D0" w:rsidRDefault="002664FC" w:rsidP="002664FC">
            <w:pPr>
              <w:spacing w:after="0" w:line="240" w:lineRule="auto"/>
              <w:contextualSpacing/>
              <w:rPr>
                <w:rFonts w:eastAsia="Times New Roman" w:cs="Segoe UI"/>
                <w:bCs/>
                <w:sz w:val="16"/>
                <w:szCs w:val="18"/>
                <w:lang w:eastAsia="sk-SK"/>
              </w:rPr>
            </w:pPr>
            <w:r>
              <w:rPr>
                <w:rFonts w:eastAsia="Times New Roman" w:cs="Segoe UI"/>
                <w:bCs/>
                <w:sz w:val="16"/>
                <w:szCs w:val="18"/>
                <w:lang w:eastAsia="sk-SK"/>
              </w:rPr>
              <w:t xml:space="preserve">Nekonsolidovaný dlh </w:t>
            </w:r>
          </w:p>
        </w:tc>
        <w:tc>
          <w:tcPr>
            <w:tcW w:w="1134" w:type="dxa"/>
            <w:tcBorders>
              <w:bottom w:val="single" w:sz="4" w:space="0" w:color="auto"/>
            </w:tcBorders>
            <w:vAlign w:val="center"/>
          </w:tcPr>
          <w:p w14:paraId="00C02E0E"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1 490 908</w:t>
            </w:r>
          </w:p>
        </w:tc>
        <w:tc>
          <w:tcPr>
            <w:tcW w:w="1134" w:type="dxa"/>
            <w:tcBorders>
              <w:bottom w:val="single" w:sz="4" w:space="0" w:color="auto"/>
            </w:tcBorders>
            <w:vAlign w:val="center"/>
          </w:tcPr>
          <w:p w14:paraId="67B378AC"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1 593 710</w:t>
            </w:r>
          </w:p>
        </w:tc>
        <w:tc>
          <w:tcPr>
            <w:tcW w:w="1134" w:type="dxa"/>
            <w:tcBorders>
              <w:bottom w:val="single" w:sz="4" w:space="0" w:color="auto"/>
            </w:tcBorders>
            <w:vAlign w:val="center"/>
          </w:tcPr>
          <w:p w14:paraId="6B293C8D"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1 644 707</w:t>
            </w:r>
          </w:p>
        </w:tc>
        <w:tc>
          <w:tcPr>
            <w:tcW w:w="1276" w:type="dxa"/>
            <w:tcBorders>
              <w:bottom w:val="single" w:sz="4" w:space="0" w:color="auto"/>
            </w:tcBorders>
            <w:vAlign w:val="center"/>
          </w:tcPr>
          <w:p w14:paraId="2804EB8E"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1 751 497</w:t>
            </w:r>
          </w:p>
        </w:tc>
        <w:tc>
          <w:tcPr>
            <w:tcW w:w="1417" w:type="dxa"/>
            <w:tcBorders>
              <w:bottom w:val="single" w:sz="4" w:space="0" w:color="auto"/>
            </w:tcBorders>
            <w:vAlign w:val="center"/>
          </w:tcPr>
          <w:p w14:paraId="5FCD63A7"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106 790</w:t>
            </w:r>
          </w:p>
        </w:tc>
        <w:tc>
          <w:tcPr>
            <w:tcW w:w="709" w:type="dxa"/>
            <w:tcBorders>
              <w:bottom w:val="single" w:sz="4" w:space="0" w:color="auto"/>
            </w:tcBorders>
            <w:vAlign w:val="center"/>
          </w:tcPr>
          <w:p w14:paraId="6574D8EE" w14:textId="77777777" w:rsidR="002664FC" w:rsidRPr="009F00D0" w:rsidRDefault="002664FC" w:rsidP="002664FC">
            <w:pPr>
              <w:spacing w:after="0" w:line="240" w:lineRule="auto"/>
              <w:jc w:val="right"/>
              <w:rPr>
                <w:rFonts w:eastAsia="Times New Roman" w:cs="Segoe UI"/>
                <w:bCs/>
                <w:sz w:val="18"/>
                <w:szCs w:val="18"/>
                <w:lang w:eastAsia="sk-SK"/>
              </w:rPr>
            </w:pPr>
            <w:r w:rsidRPr="009F00D0">
              <w:rPr>
                <w:rFonts w:eastAsia="Times New Roman" w:cs="Segoe UI"/>
                <w:bCs/>
                <w:sz w:val="18"/>
                <w:szCs w:val="18"/>
                <w:lang w:eastAsia="sk-SK"/>
              </w:rPr>
              <w:t>106,5</w:t>
            </w:r>
          </w:p>
        </w:tc>
      </w:tr>
    </w:tbl>
    <w:p w14:paraId="44E497DE" w14:textId="64A32D81" w:rsidR="002664FC" w:rsidRPr="00872B49" w:rsidRDefault="002664FC" w:rsidP="002664FC">
      <w:pPr>
        <w:pStyle w:val="Zdroj"/>
        <w:rPr>
          <w:rFonts w:cs="Segoe UI"/>
          <w:lang w:eastAsia="sk-SK"/>
        </w:rPr>
      </w:pPr>
      <w:r w:rsidRPr="00872B49">
        <w:rPr>
          <w:rFonts w:cs="Segoe UI"/>
          <w:lang w:eastAsia="sk-SK"/>
        </w:rPr>
        <w:t>Zdroj: Datacentrum</w:t>
      </w:r>
      <w:r>
        <w:rPr>
          <w:rFonts w:cs="Segoe UI"/>
          <w:lang w:eastAsia="sk-SK"/>
        </w:rPr>
        <w:t xml:space="preserve">, </w:t>
      </w:r>
      <w:r w:rsidRPr="00872B49">
        <w:rPr>
          <w:rFonts w:cs="Segoe UI"/>
          <w:lang w:eastAsia="sk-SK"/>
        </w:rPr>
        <w:t xml:space="preserve">Štátna pokladnica, </w:t>
      </w:r>
      <w:r w:rsidR="0024233A">
        <w:rPr>
          <w:rFonts w:cs="Segoe UI"/>
          <w:lang w:eastAsia="sk-SK"/>
        </w:rPr>
        <w:t>r</w:t>
      </w:r>
      <w:r w:rsidRPr="00872B49">
        <w:rPr>
          <w:rFonts w:cs="Segoe UI"/>
          <w:lang w:eastAsia="sk-SK"/>
        </w:rPr>
        <w:t>ozpo</w:t>
      </w:r>
      <w:r w:rsidR="0024233A">
        <w:rPr>
          <w:rFonts w:cs="Segoe UI"/>
          <w:lang w:eastAsia="sk-SK"/>
        </w:rPr>
        <w:t>c</w:t>
      </w:r>
      <w:r w:rsidRPr="00872B49">
        <w:rPr>
          <w:rFonts w:cs="Segoe UI"/>
          <w:lang w:eastAsia="sk-SK"/>
        </w:rPr>
        <w:t>et.sk</w:t>
      </w:r>
      <w:r>
        <w:rPr>
          <w:rFonts w:cs="Segoe UI"/>
          <w:lang w:eastAsia="sk-SK"/>
        </w:rPr>
        <w:t xml:space="preserve">, </w:t>
      </w:r>
      <w:r w:rsidR="0024233A">
        <w:rPr>
          <w:rFonts w:cs="Segoe UI"/>
          <w:lang w:eastAsia="sk-SK"/>
        </w:rPr>
        <w:t xml:space="preserve">Návrh </w:t>
      </w:r>
      <w:r w:rsidRPr="00872B49">
        <w:rPr>
          <w:rFonts w:cs="Segoe UI"/>
          <w:lang w:eastAsia="sk-SK"/>
        </w:rPr>
        <w:t>ŠZÚ SR 2022</w:t>
      </w:r>
      <w:r w:rsidR="0024233A">
        <w:rPr>
          <w:rFonts w:cs="Segoe UI"/>
          <w:lang w:eastAsia="sk-SK"/>
        </w:rPr>
        <w:t>.</w:t>
      </w:r>
    </w:p>
    <w:p w14:paraId="060A22CD" w14:textId="22270357" w:rsidR="005E667F" w:rsidRDefault="005E667F" w:rsidP="005E667F">
      <w:r w:rsidRPr="00E6436A">
        <w:rPr>
          <w:rFonts w:eastAsia="Times New Roman" w:cs="Segoe UI"/>
          <w:szCs w:val="20"/>
          <w:lang w:eastAsia="sk-SK"/>
        </w:rPr>
        <w:t xml:space="preserve">Príjmy obcí v roku 2022 </w:t>
      </w:r>
      <w:r w:rsidR="008842A6">
        <w:rPr>
          <w:rFonts w:eastAsia="Times New Roman" w:cs="Segoe UI"/>
          <w:szCs w:val="20"/>
          <w:lang w:eastAsia="sk-SK"/>
        </w:rPr>
        <w:t xml:space="preserve">rástli, </w:t>
      </w:r>
      <w:r w:rsidR="00A22F60">
        <w:rPr>
          <w:rFonts w:eastAsia="Times New Roman" w:cs="Segoe UI"/>
          <w:szCs w:val="20"/>
          <w:lang w:eastAsia="sk-SK"/>
        </w:rPr>
        <w:t xml:space="preserve">v rámci nich rástli </w:t>
      </w:r>
      <w:r w:rsidR="008842A6">
        <w:rPr>
          <w:rFonts w:eastAsia="Times New Roman" w:cs="Segoe UI"/>
          <w:szCs w:val="20"/>
          <w:lang w:eastAsia="sk-SK"/>
        </w:rPr>
        <w:t>n</w:t>
      </w:r>
      <w:r w:rsidRPr="00E6436A">
        <w:rPr>
          <w:rFonts w:eastAsia="Calibri" w:cs="Segoe UI"/>
          <w:szCs w:val="20"/>
        </w:rPr>
        <w:t>ajvýraznejš</w:t>
      </w:r>
      <w:r w:rsidR="008842A6">
        <w:rPr>
          <w:rFonts w:eastAsia="Calibri" w:cs="Segoe UI"/>
          <w:szCs w:val="20"/>
        </w:rPr>
        <w:t>ie</w:t>
      </w:r>
      <w:r w:rsidR="008842A6" w:rsidRPr="008842A6">
        <w:rPr>
          <w:rFonts w:eastAsia="Calibri" w:cs="Segoe UI"/>
          <w:szCs w:val="20"/>
        </w:rPr>
        <w:t xml:space="preserve"> </w:t>
      </w:r>
      <w:r w:rsidR="008842A6" w:rsidRPr="00E6436A">
        <w:rPr>
          <w:rFonts w:eastAsia="Calibri" w:cs="Segoe UI"/>
          <w:szCs w:val="20"/>
        </w:rPr>
        <w:t>finančné operácie (26 %)</w:t>
      </w:r>
      <w:r w:rsidR="008842A6">
        <w:rPr>
          <w:rFonts w:eastAsia="Calibri" w:cs="Segoe UI"/>
          <w:szCs w:val="20"/>
        </w:rPr>
        <w:t>, rovnako ako v roku 2021</w:t>
      </w:r>
      <w:r w:rsidRPr="00E6436A">
        <w:rPr>
          <w:rFonts w:eastAsia="Calibri" w:cs="Segoe UI"/>
          <w:szCs w:val="20"/>
        </w:rPr>
        <w:t>.</w:t>
      </w:r>
      <w:r w:rsidRPr="00E6436A">
        <w:rPr>
          <w:rFonts w:cs="Times New Roman"/>
          <w:b/>
          <w:szCs w:val="20"/>
        </w:rPr>
        <w:t xml:space="preserve"> </w:t>
      </w:r>
      <w:r w:rsidRPr="00FF2773">
        <w:rPr>
          <w:rFonts w:cs="Times New Roman"/>
          <w:b/>
          <w:szCs w:val="20"/>
        </w:rPr>
        <w:t>Pozitívny vplyv na hotovostn</w:t>
      </w:r>
      <w:r>
        <w:rPr>
          <w:rFonts w:cs="Times New Roman"/>
          <w:b/>
          <w:szCs w:val="20"/>
        </w:rPr>
        <w:t>é</w:t>
      </w:r>
      <w:r w:rsidRPr="00FF2773">
        <w:rPr>
          <w:rFonts w:cs="Times New Roman"/>
          <w:b/>
          <w:szCs w:val="20"/>
        </w:rPr>
        <w:t xml:space="preserve"> saldo mali zvýšené daňové </w:t>
      </w:r>
      <w:r w:rsidRPr="001E7172">
        <w:rPr>
          <w:rFonts w:cs="Times New Roman"/>
          <w:b/>
          <w:szCs w:val="20"/>
        </w:rPr>
        <w:t>príjmy o</w:t>
      </w:r>
      <w:r>
        <w:rPr>
          <w:rFonts w:cs="Times New Roman"/>
          <w:b/>
          <w:szCs w:val="20"/>
        </w:rPr>
        <w:t> </w:t>
      </w:r>
      <w:r w:rsidRPr="001E7172">
        <w:rPr>
          <w:rFonts w:cs="Times New Roman"/>
          <w:b/>
          <w:szCs w:val="20"/>
        </w:rPr>
        <w:t>94</w:t>
      </w:r>
      <w:r>
        <w:rPr>
          <w:rFonts w:cs="Times New Roman"/>
          <w:b/>
          <w:szCs w:val="20"/>
        </w:rPr>
        <w:t>,</w:t>
      </w:r>
      <w:r w:rsidRPr="001E7172">
        <w:rPr>
          <w:rFonts w:cs="Times New Roman"/>
          <w:b/>
          <w:szCs w:val="20"/>
        </w:rPr>
        <w:t>9 </w:t>
      </w:r>
      <w:r>
        <w:rPr>
          <w:rFonts w:cs="Times New Roman"/>
          <w:b/>
          <w:szCs w:val="20"/>
        </w:rPr>
        <w:t>mil</w:t>
      </w:r>
      <w:r w:rsidRPr="001E7172">
        <w:rPr>
          <w:rFonts w:cs="Times New Roman"/>
          <w:b/>
          <w:szCs w:val="20"/>
        </w:rPr>
        <w:t>. eur</w:t>
      </w:r>
      <w:r w:rsidRPr="003D0B2E">
        <w:rPr>
          <w:rFonts w:cs="Times New Roman"/>
          <w:szCs w:val="20"/>
        </w:rPr>
        <w:t>, najmä príjmy z podielových daní, príjmy z dane zo stavieb a príjmy z dane za rozvoj</w:t>
      </w:r>
      <w:r w:rsidR="006E4871">
        <w:rPr>
          <w:rFonts w:cs="Times New Roman"/>
          <w:szCs w:val="20"/>
        </w:rPr>
        <w:t>,</w:t>
      </w:r>
      <w:r w:rsidRPr="003D0B2E">
        <w:rPr>
          <w:rFonts w:cs="Times New Roman"/>
          <w:szCs w:val="20"/>
        </w:rPr>
        <w:t xml:space="preserve"> a</w:t>
      </w:r>
      <w:r w:rsidR="006E4871">
        <w:rPr>
          <w:rFonts w:cs="Times New Roman"/>
          <w:szCs w:val="20"/>
        </w:rPr>
        <w:t>ko aj</w:t>
      </w:r>
      <w:r w:rsidRPr="003D0B2E">
        <w:rPr>
          <w:rFonts w:cs="Times New Roman"/>
          <w:szCs w:val="20"/>
        </w:rPr>
        <w:t xml:space="preserve"> nárast nedaňových príjmov o 67 </w:t>
      </w:r>
      <w:r>
        <w:rPr>
          <w:rFonts w:cs="Times New Roman"/>
          <w:szCs w:val="20"/>
        </w:rPr>
        <w:t>mil</w:t>
      </w:r>
      <w:r w:rsidRPr="003D0B2E">
        <w:rPr>
          <w:rFonts w:cs="Times New Roman"/>
          <w:szCs w:val="20"/>
        </w:rPr>
        <w:t xml:space="preserve">. eur. </w:t>
      </w:r>
      <w:r w:rsidRPr="003D0B2E">
        <w:t>Ďalší pozitívny vplyv mal nárast prijatých grantov a transferov o</w:t>
      </w:r>
      <w:r>
        <w:t> </w:t>
      </w:r>
      <w:r w:rsidRPr="003D0B2E">
        <w:t>479</w:t>
      </w:r>
      <w:r>
        <w:t>,8</w:t>
      </w:r>
      <w:r w:rsidRPr="003D0B2E">
        <w:t> </w:t>
      </w:r>
      <w:r>
        <w:t>mil</w:t>
      </w:r>
      <w:r w:rsidRPr="003D0B2E">
        <w:t xml:space="preserve">. eur oproti </w:t>
      </w:r>
      <w:r w:rsidR="00A22F60">
        <w:t xml:space="preserve">návrhu </w:t>
      </w:r>
      <w:r w:rsidRPr="003D0B2E">
        <w:t>rozpočtu, z toho bežné transfery sa zvýšili o</w:t>
      </w:r>
      <w:r>
        <w:t> </w:t>
      </w:r>
      <w:r w:rsidRPr="003D0B2E">
        <w:t>411</w:t>
      </w:r>
      <w:r>
        <w:t>,9</w:t>
      </w:r>
      <w:r w:rsidRPr="003D0B2E">
        <w:t> </w:t>
      </w:r>
      <w:r>
        <w:t>mil</w:t>
      </w:r>
      <w:r w:rsidRPr="003D0B2E">
        <w:t>. eur, kapitálové transfery o 52 </w:t>
      </w:r>
      <w:r>
        <w:t>mil</w:t>
      </w:r>
      <w:r w:rsidRPr="003D0B2E">
        <w:t xml:space="preserve">. eur a transfery od zahraničných subjektov a prostriedky z rozpočtu </w:t>
      </w:r>
      <w:r>
        <w:t>EÚ</w:t>
      </w:r>
      <w:r w:rsidRPr="003D0B2E">
        <w:t xml:space="preserve"> o</w:t>
      </w:r>
      <w:r>
        <w:t> </w:t>
      </w:r>
      <w:r w:rsidRPr="003D0B2E">
        <w:t>15</w:t>
      </w:r>
      <w:r>
        <w:t>,9</w:t>
      </w:r>
      <w:r w:rsidRPr="003D0B2E">
        <w:t> </w:t>
      </w:r>
      <w:r>
        <w:t>mil</w:t>
      </w:r>
      <w:r w:rsidRPr="003D0B2E">
        <w:t>. eur.</w:t>
      </w:r>
      <w:r>
        <w:rPr>
          <w:rStyle w:val="Odkaznapoznmkupodiarou"/>
        </w:rPr>
        <w:footnoteReference w:id="62"/>
      </w:r>
      <w:r w:rsidRPr="003D0B2E">
        <w:t xml:space="preserve"> </w:t>
      </w:r>
    </w:p>
    <w:p w14:paraId="4DE5BFF4" w14:textId="093CE278" w:rsidR="005E667F" w:rsidRDefault="005E667F" w:rsidP="005E667F">
      <w:pPr>
        <w:rPr>
          <w:rFonts w:eastAsia="Times New Roman" w:cs="Segoe UI"/>
          <w:szCs w:val="20"/>
          <w:lang w:eastAsia="sk-SK"/>
        </w:rPr>
      </w:pPr>
      <w:r w:rsidRPr="0060139B">
        <w:rPr>
          <w:rFonts w:eastAsia="Times New Roman" w:cs="Segoe UI"/>
          <w:szCs w:val="20"/>
          <w:lang w:eastAsia="sk-SK"/>
        </w:rPr>
        <w:t>Významným príjmom obc</w:t>
      </w:r>
      <w:r>
        <w:rPr>
          <w:rFonts w:eastAsia="Times New Roman" w:cs="Segoe UI"/>
          <w:szCs w:val="20"/>
          <w:lang w:eastAsia="sk-SK"/>
        </w:rPr>
        <w:t>í</w:t>
      </w:r>
      <w:r w:rsidRPr="0060139B">
        <w:rPr>
          <w:rFonts w:eastAsia="Times New Roman" w:cs="Segoe UI"/>
          <w:szCs w:val="20"/>
          <w:lang w:eastAsia="sk-SK"/>
        </w:rPr>
        <w:t xml:space="preserve"> sú aj </w:t>
      </w:r>
      <w:r w:rsidRPr="00A22F60">
        <w:rPr>
          <w:rFonts w:eastAsia="Times New Roman" w:cs="Segoe UI"/>
          <w:szCs w:val="20"/>
          <w:lang w:eastAsia="sk-SK"/>
        </w:rPr>
        <w:t>transfery z kapitol ŠR</w:t>
      </w:r>
      <w:r w:rsidRPr="0060139B">
        <w:rPr>
          <w:rFonts w:eastAsia="Times New Roman" w:cs="Segoe UI"/>
          <w:szCs w:val="20"/>
          <w:lang w:eastAsia="sk-SK"/>
        </w:rPr>
        <w:t xml:space="preserve">, ktoré slúžia predovšetkým na financovanie preneseného výkonu štátnej správy. </w:t>
      </w:r>
      <w:r w:rsidRPr="00604829">
        <w:rPr>
          <w:rFonts w:eastAsia="Times New Roman" w:cs="Segoe UI"/>
          <w:b/>
          <w:szCs w:val="20"/>
          <w:lang w:eastAsia="sk-SK"/>
        </w:rPr>
        <w:t>12 kapitol presunulo zo svojich rozpočtov</w:t>
      </w:r>
      <w:r w:rsidRPr="0060139B">
        <w:rPr>
          <w:rFonts w:eastAsia="Times New Roman" w:cs="Segoe UI"/>
          <w:szCs w:val="20"/>
          <w:lang w:eastAsia="sk-SK"/>
        </w:rPr>
        <w:t xml:space="preserve"> </w:t>
      </w:r>
      <w:r w:rsidRPr="004A36B6">
        <w:rPr>
          <w:rFonts w:eastAsia="Times New Roman" w:cs="Segoe UI"/>
          <w:b/>
          <w:szCs w:val="20"/>
          <w:lang w:eastAsia="sk-SK"/>
        </w:rPr>
        <w:t>1,7 mld. eur</w:t>
      </w:r>
      <w:r w:rsidR="00604829">
        <w:rPr>
          <w:rFonts w:eastAsia="Times New Roman" w:cs="Segoe UI"/>
          <w:b/>
          <w:szCs w:val="20"/>
          <w:lang w:eastAsia="sk-SK"/>
        </w:rPr>
        <w:t>, čo z</w:t>
      </w:r>
      <w:r w:rsidRPr="00043105">
        <w:rPr>
          <w:rFonts w:eastAsia="Times New Roman" w:cs="Segoe UI"/>
          <w:b/>
          <w:szCs w:val="20"/>
          <w:lang w:eastAsia="sk-SK"/>
        </w:rPr>
        <w:t xml:space="preserve">a ostatné tri roky </w:t>
      </w:r>
      <w:r w:rsidR="00604829">
        <w:rPr>
          <w:rFonts w:eastAsia="Times New Roman" w:cs="Segoe UI"/>
          <w:b/>
          <w:szCs w:val="20"/>
          <w:lang w:eastAsia="sk-SK"/>
        </w:rPr>
        <w:t>predstavoval</w:t>
      </w:r>
      <w:r w:rsidRPr="00043105">
        <w:rPr>
          <w:rFonts w:eastAsia="Times New Roman" w:cs="Segoe UI"/>
          <w:b/>
          <w:szCs w:val="20"/>
          <w:lang w:eastAsia="sk-SK"/>
        </w:rPr>
        <w:t>o najnižšiu sumu.</w:t>
      </w:r>
      <w:r w:rsidRPr="0060139B">
        <w:rPr>
          <w:rFonts w:eastAsia="Times New Roman" w:cs="Segoe UI"/>
          <w:szCs w:val="20"/>
          <w:lang w:eastAsia="sk-SK"/>
        </w:rPr>
        <w:t xml:space="preserve"> </w:t>
      </w:r>
      <w:r w:rsidRPr="00D61F9C">
        <w:rPr>
          <w:rFonts w:eastAsia="Times New Roman" w:cs="Segoe UI"/>
          <w:szCs w:val="20"/>
          <w:lang w:eastAsia="sk-SK"/>
        </w:rPr>
        <w:t>V roku 2022 najvyššie transfery smerovali do oblasti vzdelávania</w:t>
      </w:r>
      <w:r>
        <w:rPr>
          <w:rFonts w:eastAsia="Times New Roman" w:cs="Segoe UI"/>
          <w:szCs w:val="20"/>
          <w:lang w:eastAsia="sk-SK"/>
        </w:rPr>
        <w:t xml:space="preserve"> </w:t>
      </w:r>
      <w:r w:rsidRPr="00086594">
        <w:rPr>
          <w:rFonts w:eastAsia="Times New Roman" w:cs="Segoe UI"/>
          <w:szCs w:val="20"/>
          <w:lang w:eastAsia="sk-SK"/>
        </w:rPr>
        <w:t>(</w:t>
      </w:r>
      <w:r w:rsidR="00604829">
        <w:rPr>
          <w:rFonts w:eastAsia="Times New Roman" w:cs="Segoe UI"/>
          <w:szCs w:val="20"/>
          <w:lang w:eastAsia="sk-SK"/>
        </w:rPr>
        <w:t xml:space="preserve">transfer z </w:t>
      </w:r>
      <w:r w:rsidRPr="00086594">
        <w:rPr>
          <w:rFonts w:eastAsia="Times New Roman" w:cs="Segoe UI"/>
          <w:szCs w:val="20"/>
          <w:lang w:eastAsia="sk-SK"/>
        </w:rPr>
        <w:t>MŠVVa</w:t>
      </w:r>
      <w:r w:rsidR="00AE60F3">
        <w:rPr>
          <w:rFonts w:eastAsia="Times New Roman" w:cs="Segoe UI"/>
          <w:szCs w:val="20"/>
          <w:lang w:eastAsia="sk-SK"/>
        </w:rPr>
        <w:t>Š</w:t>
      </w:r>
      <w:r w:rsidRPr="00086594">
        <w:rPr>
          <w:rFonts w:eastAsia="Times New Roman" w:cs="Segoe UI"/>
          <w:szCs w:val="20"/>
          <w:lang w:eastAsia="sk-SK"/>
        </w:rPr>
        <w:t xml:space="preserve"> SR </w:t>
      </w:r>
      <w:r w:rsidR="00604829">
        <w:rPr>
          <w:rFonts w:eastAsia="Times New Roman" w:cs="Segoe UI"/>
          <w:szCs w:val="20"/>
          <w:lang w:eastAsia="sk-SK"/>
        </w:rPr>
        <w:t xml:space="preserve">v objeme </w:t>
      </w:r>
      <w:r w:rsidRPr="00086594">
        <w:rPr>
          <w:rFonts w:eastAsia="Times New Roman" w:cs="Segoe UI"/>
          <w:szCs w:val="20"/>
          <w:lang w:eastAsia="sk-SK"/>
        </w:rPr>
        <w:t>1</w:t>
      </w:r>
      <w:r>
        <w:rPr>
          <w:rFonts w:eastAsia="Times New Roman" w:cs="Segoe UI"/>
          <w:szCs w:val="20"/>
          <w:lang w:eastAsia="sk-SK"/>
        </w:rPr>
        <w:t>,3</w:t>
      </w:r>
      <w:r w:rsidRPr="00086594">
        <w:rPr>
          <w:rFonts w:eastAsia="Times New Roman" w:cs="Segoe UI"/>
          <w:szCs w:val="20"/>
          <w:lang w:eastAsia="sk-SK"/>
        </w:rPr>
        <w:t> ml</w:t>
      </w:r>
      <w:r>
        <w:rPr>
          <w:rFonts w:eastAsia="Times New Roman" w:cs="Segoe UI"/>
          <w:szCs w:val="20"/>
          <w:lang w:eastAsia="sk-SK"/>
        </w:rPr>
        <w:t>d</w:t>
      </w:r>
      <w:r w:rsidRPr="00086594">
        <w:rPr>
          <w:rFonts w:eastAsia="Times New Roman" w:cs="Segoe UI"/>
          <w:szCs w:val="20"/>
          <w:lang w:eastAsia="sk-SK"/>
        </w:rPr>
        <w:t>. eur).</w:t>
      </w:r>
    </w:p>
    <w:p w14:paraId="1EE8CFDB" w14:textId="7AF5CF30" w:rsidR="008842A6" w:rsidRPr="00604829" w:rsidRDefault="008842A6" w:rsidP="008842A6">
      <w:pPr>
        <w:rPr>
          <w:rFonts w:cs="Times New Roman"/>
          <w:szCs w:val="20"/>
        </w:rPr>
      </w:pPr>
      <w:r w:rsidRPr="00D44361">
        <w:rPr>
          <w:rFonts w:cs="Times New Roman"/>
          <w:b/>
          <w:szCs w:val="20"/>
        </w:rPr>
        <w:t>Skutočný (hotovostný) prevod dane z príjmov fyzických osôb do rozpočtov obcí bol</w:t>
      </w:r>
      <w:r w:rsidR="00604829">
        <w:rPr>
          <w:rFonts w:cs="Times New Roman"/>
          <w:b/>
          <w:szCs w:val="20"/>
        </w:rPr>
        <w:t xml:space="preserve"> realizovaný</w:t>
      </w:r>
      <w:r>
        <w:rPr>
          <w:rFonts w:cs="Times New Roman"/>
          <w:b/>
          <w:szCs w:val="20"/>
        </w:rPr>
        <w:t xml:space="preserve"> vo výške 2,5 mld. eur. </w:t>
      </w:r>
      <w:r w:rsidRPr="00604829">
        <w:rPr>
          <w:rFonts w:cs="Times New Roman"/>
          <w:szCs w:val="20"/>
        </w:rPr>
        <w:t xml:space="preserve">V roku 2021 bol vo výške 2,3 mld. eur. </w:t>
      </w:r>
    </w:p>
    <w:p w14:paraId="1BAD486B" w14:textId="71B2ED0D" w:rsidR="005E667F" w:rsidRDefault="005E667F" w:rsidP="005E667F">
      <w:pPr>
        <w:rPr>
          <w:rFonts w:cs="Times New Roman"/>
          <w:szCs w:val="20"/>
        </w:rPr>
      </w:pPr>
      <w:r w:rsidRPr="00043105">
        <w:rPr>
          <w:rFonts w:eastAsia="Times New Roman" w:cs="Segoe UI"/>
          <w:b/>
          <w:szCs w:val="20"/>
          <w:lang w:eastAsia="sk-SK"/>
        </w:rPr>
        <w:t xml:space="preserve">Výdavky </w:t>
      </w:r>
      <w:r w:rsidRPr="00604829">
        <w:rPr>
          <w:rFonts w:eastAsia="Times New Roman" w:cs="Segoe UI"/>
          <w:b/>
          <w:szCs w:val="20"/>
          <w:lang w:eastAsia="sk-SK"/>
        </w:rPr>
        <w:t>obcí aj v roku 2022</w:t>
      </w:r>
      <w:r w:rsidRPr="007842B6">
        <w:rPr>
          <w:rFonts w:eastAsia="Times New Roman" w:cs="Segoe UI"/>
          <w:szCs w:val="20"/>
          <w:lang w:eastAsia="sk-SK"/>
        </w:rPr>
        <w:t xml:space="preserve"> </w:t>
      </w:r>
      <w:r w:rsidRPr="00043105">
        <w:rPr>
          <w:rFonts w:eastAsia="Times New Roman" w:cs="Segoe UI"/>
          <w:b/>
          <w:szCs w:val="20"/>
          <w:lang w:eastAsia="sk-SK"/>
        </w:rPr>
        <w:t>dosiahli vyšší medziročný rast</w:t>
      </w:r>
      <w:r w:rsidRPr="007842B6">
        <w:rPr>
          <w:rFonts w:eastAsia="Times New Roman" w:cs="Segoe UI"/>
          <w:szCs w:val="20"/>
          <w:lang w:eastAsia="sk-SK"/>
        </w:rPr>
        <w:t xml:space="preserve"> (12,2 %) </w:t>
      </w:r>
      <w:r w:rsidRPr="00043105">
        <w:rPr>
          <w:rFonts w:eastAsia="Times New Roman" w:cs="Segoe UI"/>
          <w:b/>
          <w:szCs w:val="20"/>
          <w:lang w:eastAsia="sk-SK"/>
        </w:rPr>
        <w:t>než príjmy</w:t>
      </w:r>
      <w:r w:rsidRPr="007842B6">
        <w:rPr>
          <w:rFonts w:eastAsia="Times New Roman" w:cs="Segoe UI"/>
          <w:szCs w:val="20"/>
          <w:lang w:eastAsia="sk-SK"/>
        </w:rPr>
        <w:t xml:space="preserve"> (9,6 %). </w:t>
      </w:r>
      <w:r w:rsidRPr="001E7172">
        <w:rPr>
          <w:rFonts w:cs="Times New Roman"/>
          <w:b/>
          <w:szCs w:val="20"/>
        </w:rPr>
        <w:t>Bežné výdavky sa zvýšili o</w:t>
      </w:r>
      <w:r w:rsidR="00604829">
        <w:rPr>
          <w:rFonts w:cs="Times New Roman"/>
          <w:b/>
          <w:szCs w:val="20"/>
        </w:rPr>
        <w:t> 12,2 %</w:t>
      </w:r>
      <w:r w:rsidRPr="001E7172">
        <w:rPr>
          <w:rFonts w:cs="Times New Roman"/>
          <w:b/>
          <w:szCs w:val="20"/>
        </w:rPr>
        <w:t>.</w:t>
      </w:r>
      <w:r w:rsidRPr="0060139B">
        <w:rPr>
          <w:rFonts w:cs="Times New Roman"/>
          <w:szCs w:val="20"/>
        </w:rPr>
        <w:t xml:space="preserve"> Významný podiel na raste bežných výdavkov mal nárast miezd a odvodov o</w:t>
      </w:r>
      <w:r>
        <w:rPr>
          <w:rFonts w:cs="Times New Roman"/>
          <w:szCs w:val="20"/>
        </w:rPr>
        <w:t> </w:t>
      </w:r>
      <w:r w:rsidRPr="0060139B">
        <w:rPr>
          <w:rFonts w:cs="Times New Roman"/>
          <w:szCs w:val="20"/>
        </w:rPr>
        <w:t>319</w:t>
      </w:r>
      <w:r>
        <w:rPr>
          <w:rFonts w:cs="Times New Roman"/>
          <w:szCs w:val="20"/>
        </w:rPr>
        <w:t>,5</w:t>
      </w:r>
      <w:r w:rsidRPr="0060139B">
        <w:rPr>
          <w:rFonts w:cs="Times New Roman"/>
          <w:szCs w:val="20"/>
        </w:rPr>
        <w:t> </w:t>
      </w:r>
      <w:r>
        <w:rPr>
          <w:rFonts w:cs="Times New Roman"/>
          <w:szCs w:val="20"/>
        </w:rPr>
        <w:t>mil</w:t>
      </w:r>
      <w:r w:rsidRPr="0060139B">
        <w:rPr>
          <w:rFonts w:cs="Times New Roman"/>
          <w:szCs w:val="20"/>
        </w:rPr>
        <w:t>. eur (z toho najviac vyplatenie odmien vo výške 126</w:t>
      </w:r>
      <w:r>
        <w:rPr>
          <w:rFonts w:cs="Times New Roman"/>
          <w:szCs w:val="20"/>
        </w:rPr>
        <w:t>,2</w:t>
      </w:r>
      <w:r w:rsidRPr="0060139B">
        <w:rPr>
          <w:rFonts w:cs="Times New Roman"/>
          <w:szCs w:val="20"/>
        </w:rPr>
        <w:t> </w:t>
      </w:r>
      <w:r>
        <w:rPr>
          <w:rFonts w:cs="Times New Roman"/>
          <w:szCs w:val="20"/>
        </w:rPr>
        <w:t>mil</w:t>
      </w:r>
      <w:r w:rsidRPr="0060139B">
        <w:rPr>
          <w:rFonts w:cs="Times New Roman"/>
          <w:szCs w:val="20"/>
        </w:rPr>
        <w:t xml:space="preserve">. eur) v nadväznosti na legislatívne zmeny a prijaté opatrenia v odmeňovaní zamestnancov </w:t>
      </w:r>
      <w:r w:rsidR="00604829">
        <w:rPr>
          <w:rFonts w:cs="Times New Roman"/>
          <w:szCs w:val="20"/>
        </w:rPr>
        <w:t>VS</w:t>
      </w:r>
      <w:r w:rsidRPr="0060139B">
        <w:rPr>
          <w:rFonts w:cs="Times New Roman"/>
          <w:szCs w:val="20"/>
        </w:rPr>
        <w:t xml:space="preserve">, </w:t>
      </w:r>
      <w:r w:rsidR="00604829">
        <w:rPr>
          <w:rFonts w:cs="Times New Roman"/>
          <w:szCs w:val="20"/>
        </w:rPr>
        <w:t>spolu</w:t>
      </w:r>
      <w:r w:rsidRPr="0060139B">
        <w:rPr>
          <w:rFonts w:cs="Times New Roman"/>
          <w:szCs w:val="20"/>
        </w:rPr>
        <w:t xml:space="preserve"> o 12</w:t>
      </w:r>
      <w:r>
        <w:rPr>
          <w:rFonts w:cs="Times New Roman"/>
          <w:szCs w:val="20"/>
        </w:rPr>
        <w:t>6</w:t>
      </w:r>
      <w:r w:rsidRPr="0060139B">
        <w:rPr>
          <w:rFonts w:cs="Times New Roman"/>
          <w:szCs w:val="20"/>
        </w:rPr>
        <w:t> </w:t>
      </w:r>
      <w:r>
        <w:rPr>
          <w:rFonts w:cs="Times New Roman"/>
          <w:szCs w:val="20"/>
        </w:rPr>
        <w:t>mil</w:t>
      </w:r>
      <w:r w:rsidRPr="0060139B">
        <w:rPr>
          <w:rFonts w:cs="Times New Roman"/>
          <w:szCs w:val="20"/>
        </w:rPr>
        <w:t>. eur narástli výdavky na energie, všeobecný materiál, na rutinnú údržbu budov a objektov, na všeobecn</w:t>
      </w:r>
      <w:r w:rsidR="00604829">
        <w:rPr>
          <w:rFonts w:cs="Times New Roman"/>
          <w:szCs w:val="20"/>
        </w:rPr>
        <w:t>é</w:t>
      </w:r>
      <w:r w:rsidRPr="0060139B">
        <w:rPr>
          <w:rFonts w:cs="Times New Roman"/>
          <w:szCs w:val="20"/>
        </w:rPr>
        <w:t xml:space="preserve"> a špeciáln</w:t>
      </w:r>
      <w:r w:rsidR="00604829">
        <w:rPr>
          <w:rFonts w:cs="Times New Roman"/>
          <w:szCs w:val="20"/>
        </w:rPr>
        <w:t>e</w:t>
      </w:r>
      <w:r w:rsidRPr="0060139B">
        <w:rPr>
          <w:rFonts w:cs="Times New Roman"/>
          <w:szCs w:val="20"/>
        </w:rPr>
        <w:t xml:space="preserve"> služb</w:t>
      </w:r>
      <w:r w:rsidR="00604829">
        <w:rPr>
          <w:rFonts w:cs="Times New Roman"/>
          <w:szCs w:val="20"/>
        </w:rPr>
        <w:t>y</w:t>
      </w:r>
      <w:r w:rsidRPr="0060139B">
        <w:rPr>
          <w:rFonts w:cs="Times New Roman"/>
          <w:szCs w:val="20"/>
        </w:rPr>
        <w:t>.</w:t>
      </w:r>
    </w:p>
    <w:p w14:paraId="09DC4AEB" w14:textId="333C6ADC" w:rsidR="005E667F" w:rsidRPr="00872B49" w:rsidRDefault="005E667F" w:rsidP="009E499D">
      <w:pPr>
        <w:rPr>
          <w:rFonts w:eastAsia="Times New Roman" w:cs="Segoe UI"/>
          <w:szCs w:val="20"/>
          <w:lang w:eastAsia="sk-SK"/>
        </w:rPr>
      </w:pPr>
      <w:r w:rsidRPr="00872B49">
        <w:rPr>
          <w:rFonts w:eastAsia="Times New Roman" w:cs="Segoe UI"/>
          <w:b/>
          <w:szCs w:val="20"/>
          <w:lang w:eastAsia="sk-SK"/>
        </w:rPr>
        <w:t xml:space="preserve">Kapitálové </w:t>
      </w:r>
      <w:r w:rsidRPr="00604829">
        <w:rPr>
          <w:rFonts w:eastAsia="Times New Roman" w:cs="Segoe UI"/>
          <w:b/>
          <w:szCs w:val="20"/>
          <w:lang w:eastAsia="sk-SK"/>
        </w:rPr>
        <w:t xml:space="preserve">výdavky </w:t>
      </w:r>
      <w:r w:rsidR="00604829">
        <w:rPr>
          <w:rFonts w:eastAsia="Times New Roman" w:cs="Segoe UI"/>
          <w:b/>
          <w:szCs w:val="20"/>
          <w:lang w:eastAsia="sk-SK"/>
        </w:rPr>
        <w:t>vzr</w:t>
      </w:r>
      <w:r w:rsidR="00604829" w:rsidRPr="00604829">
        <w:rPr>
          <w:rFonts w:eastAsia="Times New Roman" w:cs="Segoe UI"/>
          <w:b/>
          <w:szCs w:val="20"/>
          <w:lang w:eastAsia="sk-SK"/>
        </w:rPr>
        <w:t>ástli</w:t>
      </w:r>
      <w:r w:rsidRPr="00604829">
        <w:rPr>
          <w:rFonts w:eastAsia="Times New Roman" w:cs="Segoe UI"/>
          <w:b/>
          <w:szCs w:val="20"/>
          <w:lang w:eastAsia="sk-SK"/>
        </w:rPr>
        <w:t> </w:t>
      </w:r>
      <w:r w:rsidR="00604829" w:rsidRPr="00604829">
        <w:rPr>
          <w:rFonts w:eastAsia="Times New Roman" w:cs="Segoe UI"/>
          <w:b/>
          <w:szCs w:val="20"/>
          <w:lang w:eastAsia="sk-SK"/>
        </w:rPr>
        <w:t xml:space="preserve">v </w:t>
      </w:r>
      <w:r w:rsidRPr="00604829">
        <w:rPr>
          <w:rFonts w:eastAsia="Times New Roman" w:cs="Segoe UI"/>
          <w:b/>
          <w:szCs w:val="20"/>
          <w:lang w:eastAsia="sk-SK"/>
        </w:rPr>
        <w:t xml:space="preserve">roku 2022 </w:t>
      </w:r>
      <w:r w:rsidR="00604829">
        <w:rPr>
          <w:rFonts w:eastAsia="Times New Roman" w:cs="Segoe UI"/>
          <w:b/>
          <w:szCs w:val="20"/>
          <w:lang w:eastAsia="sk-SK"/>
        </w:rPr>
        <w:t>medziročne o 35,9 %</w:t>
      </w:r>
      <w:r>
        <w:rPr>
          <w:rFonts w:eastAsia="Times New Roman" w:cs="Segoe UI"/>
          <w:szCs w:val="20"/>
          <w:lang w:eastAsia="sk-SK"/>
        </w:rPr>
        <w:t>. N</w:t>
      </w:r>
      <w:r w:rsidRPr="004A36B6">
        <w:rPr>
          <w:rFonts w:eastAsia="Times New Roman" w:cs="Segoe UI"/>
          <w:szCs w:val="20"/>
          <w:lang w:eastAsia="sk-SK"/>
        </w:rPr>
        <w:t>árast s</w:t>
      </w:r>
      <w:r w:rsidRPr="00872B49">
        <w:rPr>
          <w:rFonts w:eastAsia="Times New Roman" w:cs="Segoe UI"/>
          <w:szCs w:val="20"/>
          <w:lang w:eastAsia="sk-SK"/>
        </w:rPr>
        <w:t xml:space="preserve">úvisel </w:t>
      </w:r>
      <w:r>
        <w:rPr>
          <w:rFonts w:eastAsia="Times New Roman" w:cs="Segoe UI"/>
          <w:szCs w:val="20"/>
          <w:lang w:eastAsia="sk-SK"/>
        </w:rPr>
        <w:t xml:space="preserve">s </w:t>
      </w:r>
      <w:r w:rsidRPr="0060139B">
        <w:rPr>
          <w:rFonts w:cs="Times New Roman"/>
          <w:szCs w:val="20"/>
        </w:rPr>
        <w:t>časov</w:t>
      </w:r>
      <w:r>
        <w:rPr>
          <w:rFonts w:cs="Times New Roman"/>
          <w:szCs w:val="20"/>
        </w:rPr>
        <w:t>ým</w:t>
      </w:r>
      <w:r w:rsidRPr="0060139B">
        <w:rPr>
          <w:rFonts w:cs="Times New Roman"/>
          <w:szCs w:val="20"/>
        </w:rPr>
        <w:t xml:space="preserve"> posun</w:t>
      </w:r>
      <w:r>
        <w:rPr>
          <w:rFonts w:cs="Times New Roman"/>
          <w:szCs w:val="20"/>
        </w:rPr>
        <w:t>om</w:t>
      </w:r>
      <w:r w:rsidRPr="0060139B">
        <w:rPr>
          <w:rFonts w:cs="Times New Roman"/>
          <w:szCs w:val="20"/>
        </w:rPr>
        <w:t xml:space="preserve"> realizácie plánovaných investičných akcií z predchádzajúceho roka</w:t>
      </w:r>
      <w:r>
        <w:rPr>
          <w:rFonts w:cs="Times New Roman"/>
          <w:szCs w:val="20"/>
        </w:rPr>
        <w:t xml:space="preserve">, </w:t>
      </w:r>
      <w:r w:rsidRPr="0060139B">
        <w:rPr>
          <w:rFonts w:cs="Times New Roman"/>
          <w:szCs w:val="20"/>
        </w:rPr>
        <w:t>zdĺhavý</w:t>
      </w:r>
      <w:r>
        <w:rPr>
          <w:rFonts w:cs="Times New Roman"/>
          <w:szCs w:val="20"/>
        </w:rPr>
        <w:t>mi</w:t>
      </w:r>
      <w:r w:rsidRPr="0060139B">
        <w:rPr>
          <w:rFonts w:cs="Times New Roman"/>
          <w:szCs w:val="20"/>
        </w:rPr>
        <w:t xml:space="preserve"> proces</w:t>
      </w:r>
      <w:r>
        <w:rPr>
          <w:rFonts w:cs="Times New Roman"/>
          <w:szCs w:val="20"/>
        </w:rPr>
        <w:t>mi</w:t>
      </w:r>
      <w:r w:rsidRPr="0060139B">
        <w:rPr>
          <w:rFonts w:cs="Times New Roman"/>
          <w:szCs w:val="20"/>
        </w:rPr>
        <w:t xml:space="preserve"> </w:t>
      </w:r>
      <w:r w:rsidR="00604829">
        <w:rPr>
          <w:rFonts w:cs="Times New Roman"/>
          <w:szCs w:val="20"/>
        </w:rPr>
        <w:t>VO</w:t>
      </w:r>
      <w:r>
        <w:rPr>
          <w:rFonts w:cs="Times New Roman"/>
          <w:szCs w:val="20"/>
        </w:rPr>
        <w:t xml:space="preserve"> a </w:t>
      </w:r>
      <w:r w:rsidRPr="00872B49">
        <w:rPr>
          <w:rFonts w:eastAsia="Times New Roman" w:cs="Segoe UI"/>
          <w:szCs w:val="20"/>
          <w:lang w:eastAsia="sk-SK"/>
        </w:rPr>
        <w:t xml:space="preserve">s postupným dočerpávaním </w:t>
      </w:r>
      <w:r w:rsidR="005A581F">
        <w:rPr>
          <w:rFonts w:eastAsia="Times New Roman" w:cs="Segoe UI"/>
          <w:szCs w:val="20"/>
          <w:lang w:eastAsia="sk-SK"/>
        </w:rPr>
        <w:t>z</w:t>
      </w:r>
      <w:r w:rsidRPr="00872B49">
        <w:rPr>
          <w:rFonts w:eastAsia="Times New Roman" w:cs="Segoe UI"/>
          <w:szCs w:val="20"/>
          <w:lang w:eastAsia="sk-SK"/>
        </w:rPr>
        <w:t>drojov</w:t>
      </w:r>
      <w:r w:rsidR="005A581F">
        <w:rPr>
          <w:rFonts w:eastAsia="Times New Roman" w:cs="Segoe UI"/>
          <w:szCs w:val="20"/>
          <w:lang w:eastAsia="sk-SK"/>
        </w:rPr>
        <w:t xml:space="preserve"> EÚ</w:t>
      </w:r>
      <w:r w:rsidRPr="00872B49">
        <w:rPr>
          <w:rFonts w:eastAsia="Times New Roman" w:cs="Segoe UI"/>
          <w:szCs w:val="20"/>
          <w:lang w:eastAsia="sk-SK"/>
        </w:rPr>
        <w:t xml:space="preserve"> na naplánované projekty.</w:t>
      </w:r>
      <w:r>
        <w:rPr>
          <w:rFonts w:eastAsia="Times New Roman" w:cs="Segoe UI"/>
          <w:szCs w:val="20"/>
          <w:lang w:eastAsia="sk-SK"/>
        </w:rPr>
        <w:t xml:space="preserve"> Zároveň zvýšené kapitálové výdavky vykazujú súvis aj v rámci volebných rokov.</w:t>
      </w:r>
    </w:p>
    <w:p w14:paraId="7D714B31" w14:textId="6EEFDAFA" w:rsidR="005E667F" w:rsidRDefault="00131776" w:rsidP="002C027A">
      <w:pPr>
        <w:pStyle w:val="Nadpis2"/>
        <w:rPr>
          <w:rFonts w:eastAsia="Times New Roman"/>
          <w:lang w:eastAsia="sk-SK"/>
        </w:rPr>
      </w:pPr>
      <w:bookmarkStart w:id="45" w:name="_Toc136418417"/>
      <w:r>
        <w:rPr>
          <w:rFonts w:eastAsia="Times New Roman"/>
          <w:lang w:eastAsia="sk-SK"/>
        </w:rPr>
        <w:lastRenderedPageBreak/>
        <w:t xml:space="preserve">6.2 </w:t>
      </w:r>
      <w:r w:rsidR="005E667F" w:rsidRPr="009F00D0">
        <w:rPr>
          <w:rFonts w:eastAsia="Times New Roman"/>
          <w:lang w:eastAsia="sk-SK"/>
        </w:rPr>
        <w:t xml:space="preserve">Hospodárenie </w:t>
      </w:r>
      <w:r w:rsidR="005E667F">
        <w:rPr>
          <w:rFonts w:eastAsia="Times New Roman"/>
          <w:lang w:eastAsia="sk-SK"/>
        </w:rPr>
        <w:t>VÚC</w:t>
      </w:r>
      <w:bookmarkEnd w:id="45"/>
    </w:p>
    <w:p w14:paraId="3CAA76E4" w14:textId="3C1C6D14" w:rsidR="008265EF" w:rsidRDefault="008265EF" w:rsidP="008265EF">
      <w:pPr>
        <w:rPr>
          <w:rFonts w:cs="Times New Roman"/>
          <w:szCs w:val="20"/>
        </w:rPr>
      </w:pPr>
      <w:r w:rsidRPr="0021518B">
        <w:rPr>
          <w:rFonts w:eastAsia="Times New Roman" w:cs="Segoe UI"/>
          <w:b/>
          <w:szCs w:val="20"/>
          <w:lang w:eastAsia="sk-SK"/>
        </w:rPr>
        <w:t>Hotovostn</w:t>
      </w:r>
      <w:r w:rsidR="00604829">
        <w:rPr>
          <w:rFonts w:eastAsia="Times New Roman" w:cs="Segoe UI"/>
          <w:b/>
          <w:szCs w:val="20"/>
          <w:lang w:eastAsia="sk-SK"/>
        </w:rPr>
        <w:t>ý schodok hospodárenia VÚC</w:t>
      </w:r>
      <w:r w:rsidRPr="0034110B">
        <w:rPr>
          <w:rFonts w:eastAsia="Times New Roman" w:cs="Segoe UI"/>
          <w:szCs w:val="20"/>
          <w:lang w:eastAsia="sk-SK"/>
        </w:rPr>
        <w:t xml:space="preserve"> </w:t>
      </w:r>
      <w:r w:rsidRPr="0021518B">
        <w:rPr>
          <w:rFonts w:eastAsia="Times New Roman" w:cs="Segoe UI"/>
          <w:b/>
          <w:szCs w:val="20"/>
          <w:lang w:eastAsia="sk-SK"/>
        </w:rPr>
        <w:t>kles</w:t>
      </w:r>
      <w:r w:rsidR="00604829">
        <w:rPr>
          <w:rFonts w:eastAsia="Times New Roman" w:cs="Segoe UI"/>
          <w:b/>
          <w:szCs w:val="20"/>
          <w:lang w:eastAsia="sk-SK"/>
        </w:rPr>
        <w:t>o</w:t>
      </w:r>
      <w:r w:rsidRPr="0021518B">
        <w:rPr>
          <w:rFonts w:eastAsia="Times New Roman" w:cs="Segoe UI"/>
          <w:b/>
          <w:szCs w:val="20"/>
          <w:lang w:eastAsia="sk-SK"/>
        </w:rPr>
        <w:t>l</w:t>
      </w:r>
      <w:r w:rsidR="00604829">
        <w:rPr>
          <w:rFonts w:eastAsia="Times New Roman" w:cs="Segoe UI"/>
          <w:b/>
          <w:szCs w:val="20"/>
          <w:lang w:eastAsia="sk-SK"/>
        </w:rPr>
        <w:t xml:space="preserve"> v roku 2022</w:t>
      </w:r>
      <w:r w:rsidRPr="0021518B">
        <w:rPr>
          <w:rFonts w:eastAsia="Times New Roman" w:cs="Segoe UI"/>
          <w:b/>
          <w:szCs w:val="20"/>
          <w:lang w:eastAsia="sk-SK"/>
        </w:rPr>
        <w:t xml:space="preserve"> o 29,5 %</w:t>
      </w:r>
      <w:r w:rsidR="00604829">
        <w:rPr>
          <w:rFonts w:eastAsia="Times New Roman" w:cs="Segoe UI"/>
          <w:b/>
          <w:szCs w:val="20"/>
          <w:lang w:eastAsia="sk-SK"/>
        </w:rPr>
        <w:t xml:space="preserve"> </w:t>
      </w:r>
      <w:r w:rsidR="00604829">
        <w:rPr>
          <w:rFonts w:eastAsia="Times New Roman" w:cs="Segoe UI"/>
          <w:szCs w:val="20"/>
          <w:lang w:eastAsia="sk-SK"/>
        </w:rPr>
        <w:t>(tabuľka 21)</w:t>
      </w:r>
      <w:r w:rsidRPr="0021518B">
        <w:rPr>
          <w:rFonts w:eastAsia="Times New Roman" w:cs="Segoe UI"/>
          <w:b/>
          <w:szCs w:val="20"/>
          <w:lang w:eastAsia="sk-SK"/>
        </w:rPr>
        <w:t>.</w:t>
      </w:r>
      <w:r>
        <w:rPr>
          <w:rFonts w:eastAsia="Times New Roman" w:cs="Segoe UI"/>
          <w:szCs w:val="20"/>
          <w:lang w:eastAsia="sk-SK"/>
        </w:rPr>
        <w:t xml:space="preserve"> </w:t>
      </w:r>
      <w:r w:rsidRPr="0021518B">
        <w:rPr>
          <w:rFonts w:eastAsia="Times New Roman" w:cs="Segoe UI"/>
          <w:b/>
          <w:szCs w:val="20"/>
          <w:lang w:eastAsia="sk-SK"/>
        </w:rPr>
        <w:t>Zároveň nar</w:t>
      </w:r>
      <w:r w:rsidR="00604829">
        <w:rPr>
          <w:rFonts w:eastAsia="Times New Roman" w:cs="Segoe UI"/>
          <w:b/>
          <w:szCs w:val="20"/>
          <w:lang w:eastAsia="sk-SK"/>
        </w:rPr>
        <w:t>ástol</w:t>
      </w:r>
      <w:r w:rsidRPr="0021518B">
        <w:rPr>
          <w:rFonts w:eastAsia="Times New Roman" w:cs="Segoe UI"/>
          <w:b/>
          <w:szCs w:val="20"/>
          <w:lang w:eastAsia="sk-SK"/>
        </w:rPr>
        <w:t xml:space="preserve"> nekonsolidovaný dlh VÚC</w:t>
      </w:r>
      <w:r>
        <w:rPr>
          <w:rFonts w:eastAsia="Times New Roman" w:cs="Segoe UI"/>
          <w:szCs w:val="20"/>
          <w:lang w:eastAsia="sk-SK"/>
        </w:rPr>
        <w:t xml:space="preserve"> (98 % tvoria </w:t>
      </w:r>
      <w:r w:rsidRPr="00786CC2">
        <w:rPr>
          <w:rFonts w:eastAsia="Calibri" w:cs="Segoe UI"/>
          <w:szCs w:val="20"/>
        </w:rPr>
        <w:t>najmä bankov</w:t>
      </w:r>
      <w:r>
        <w:rPr>
          <w:rFonts w:eastAsia="Calibri" w:cs="Segoe UI"/>
          <w:szCs w:val="20"/>
        </w:rPr>
        <w:t>é úvery a NFV</w:t>
      </w:r>
      <w:r w:rsidRPr="00786CC2">
        <w:rPr>
          <w:rFonts w:eastAsia="Calibri" w:cs="Segoe UI"/>
          <w:szCs w:val="20"/>
        </w:rPr>
        <w:t xml:space="preserve"> z</w:t>
      </w:r>
      <w:r>
        <w:rPr>
          <w:rFonts w:eastAsia="Calibri" w:cs="Segoe UI"/>
          <w:szCs w:val="20"/>
        </w:rPr>
        <w:t>o štátnych aktív</w:t>
      </w:r>
      <w:r w:rsidRPr="00786CC2">
        <w:rPr>
          <w:rFonts w:eastAsia="Calibri" w:cs="Segoe UI"/>
          <w:szCs w:val="20"/>
        </w:rPr>
        <w:t xml:space="preserve">). </w:t>
      </w:r>
      <w:r w:rsidRPr="00786CC2">
        <w:rPr>
          <w:rFonts w:cs="Times New Roman"/>
          <w:szCs w:val="20"/>
        </w:rPr>
        <w:t xml:space="preserve">Dosiahnutý hotovostný schodok negatívne ovplyvnil nárast bežných aj kapitálových výdavkov. </w:t>
      </w:r>
    </w:p>
    <w:p w14:paraId="38EDE805" w14:textId="77777777" w:rsidR="008265EF" w:rsidRPr="0035229D" w:rsidRDefault="008265EF" w:rsidP="008265EF">
      <w:pPr>
        <w:pStyle w:val="Popis"/>
        <w:keepNext/>
        <w:rPr>
          <w:rFonts w:cs="Segoe UI"/>
          <w:sz w:val="21"/>
          <w:szCs w:val="21"/>
        </w:rPr>
      </w:pPr>
      <w:r w:rsidRPr="0035229D">
        <w:rPr>
          <w:rFonts w:cs="Segoe UI"/>
          <w:sz w:val="21"/>
          <w:szCs w:val="21"/>
        </w:rPr>
        <w:t>Tabuľka 21: Vybrané finančné ukazovatele VÚC za roky 2019 až 2022 (v tis. eur)</w:t>
      </w:r>
    </w:p>
    <w:tbl>
      <w:tblPr>
        <w:tblW w:w="5078" w:type="pct"/>
        <w:tblLayout w:type="fixed"/>
        <w:tblLook w:val="01E0" w:firstRow="1" w:lastRow="1" w:firstColumn="1" w:lastColumn="1" w:noHBand="0" w:noVBand="0"/>
      </w:tblPr>
      <w:tblGrid>
        <w:gridCol w:w="2408"/>
        <w:gridCol w:w="1133"/>
        <w:gridCol w:w="1134"/>
        <w:gridCol w:w="1134"/>
        <w:gridCol w:w="1276"/>
        <w:gridCol w:w="1417"/>
        <w:gridCol w:w="709"/>
      </w:tblGrid>
      <w:tr w:rsidR="008265EF" w:rsidRPr="009F00D0" w14:paraId="71C240EB" w14:textId="77777777" w:rsidTr="00373F39">
        <w:trPr>
          <w:trHeight w:val="283"/>
          <w:tblHeader/>
        </w:trPr>
        <w:tc>
          <w:tcPr>
            <w:tcW w:w="2410" w:type="dxa"/>
            <w:shd w:val="clear" w:color="auto" w:fill="24324A" w:themeFill="text2" w:themeFillShade="BF"/>
            <w:vAlign w:val="center"/>
            <w:hideMark/>
          </w:tcPr>
          <w:p w14:paraId="19EAD4EC" w14:textId="77777777" w:rsidR="008265EF" w:rsidRPr="009F00D0" w:rsidRDefault="008265EF" w:rsidP="00373F39">
            <w:pPr>
              <w:spacing w:after="0" w:line="240" w:lineRule="auto"/>
              <w:rPr>
                <w:rFonts w:eastAsia="Times New Roman" w:cs="Segoe UI"/>
                <w:b/>
                <w:color w:val="FFFFFF"/>
                <w:sz w:val="18"/>
                <w:szCs w:val="18"/>
                <w:lang w:eastAsia="sk-SK"/>
              </w:rPr>
            </w:pPr>
            <w:r w:rsidRPr="009F00D0">
              <w:rPr>
                <w:rFonts w:eastAsia="Times New Roman" w:cs="Segoe UI"/>
                <w:b/>
                <w:color w:val="FFFFFF"/>
                <w:sz w:val="18"/>
                <w:szCs w:val="18"/>
                <w:lang w:eastAsia="sk-SK"/>
              </w:rPr>
              <w:t>Názov ukazovateľa</w:t>
            </w:r>
          </w:p>
        </w:tc>
        <w:tc>
          <w:tcPr>
            <w:tcW w:w="1134" w:type="dxa"/>
            <w:shd w:val="clear" w:color="auto" w:fill="24324A" w:themeFill="text2" w:themeFillShade="BF"/>
            <w:vAlign w:val="center"/>
          </w:tcPr>
          <w:p w14:paraId="60F711B0" w14:textId="77777777" w:rsidR="008265EF" w:rsidRPr="009F00D0" w:rsidRDefault="008265EF" w:rsidP="00373F39">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2019</w:t>
            </w:r>
          </w:p>
        </w:tc>
        <w:tc>
          <w:tcPr>
            <w:tcW w:w="1134" w:type="dxa"/>
            <w:shd w:val="clear" w:color="auto" w:fill="24324A" w:themeFill="text2" w:themeFillShade="BF"/>
            <w:vAlign w:val="center"/>
          </w:tcPr>
          <w:p w14:paraId="016E705F" w14:textId="77777777" w:rsidR="008265EF" w:rsidRPr="009F00D0" w:rsidRDefault="008265EF" w:rsidP="00373F39">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2020</w:t>
            </w:r>
          </w:p>
        </w:tc>
        <w:tc>
          <w:tcPr>
            <w:tcW w:w="1134" w:type="dxa"/>
            <w:shd w:val="clear" w:color="auto" w:fill="24324A" w:themeFill="text2" w:themeFillShade="BF"/>
            <w:vAlign w:val="center"/>
          </w:tcPr>
          <w:p w14:paraId="04D9A16A" w14:textId="77777777" w:rsidR="008265EF" w:rsidRPr="009F00D0" w:rsidRDefault="008265EF" w:rsidP="00373F39">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2021</w:t>
            </w:r>
          </w:p>
        </w:tc>
        <w:tc>
          <w:tcPr>
            <w:tcW w:w="1276" w:type="dxa"/>
            <w:shd w:val="clear" w:color="auto" w:fill="24324A" w:themeFill="text2" w:themeFillShade="BF"/>
            <w:vAlign w:val="center"/>
          </w:tcPr>
          <w:p w14:paraId="2C121C21" w14:textId="77777777" w:rsidR="008265EF" w:rsidRPr="009F00D0" w:rsidRDefault="008265EF" w:rsidP="00373F39">
            <w:pPr>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2022</w:t>
            </w:r>
          </w:p>
        </w:tc>
        <w:tc>
          <w:tcPr>
            <w:tcW w:w="1417" w:type="dxa"/>
            <w:shd w:val="clear" w:color="auto" w:fill="24324A" w:themeFill="text2" w:themeFillShade="BF"/>
            <w:vAlign w:val="center"/>
          </w:tcPr>
          <w:p w14:paraId="4DCDDAF0" w14:textId="77777777" w:rsidR="008265EF" w:rsidRPr="009F00D0" w:rsidRDefault="008265EF" w:rsidP="00373F39">
            <w:pPr>
              <w:widowControl w:val="0"/>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2022 - 2021</w:t>
            </w:r>
          </w:p>
        </w:tc>
        <w:tc>
          <w:tcPr>
            <w:tcW w:w="709" w:type="dxa"/>
            <w:shd w:val="clear" w:color="auto" w:fill="24324A" w:themeFill="text2" w:themeFillShade="BF"/>
            <w:vAlign w:val="center"/>
          </w:tcPr>
          <w:p w14:paraId="6D550589" w14:textId="77777777" w:rsidR="008265EF" w:rsidRPr="009F00D0" w:rsidRDefault="008265EF" w:rsidP="00373F39">
            <w:pPr>
              <w:widowControl w:val="0"/>
              <w:spacing w:after="0" w:line="240" w:lineRule="auto"/>
              <w:jc w:val="right"/>
              <w:rPr>
                <w:rFonts w:eastAsia="Times New Roman" w:cs="Segoe UI"/>
                <w:b/>
                <w:color w:val="FFFFFF"/>
                <w:sz w:val="18"/>
                <w:szCs w:val="18"/>
                <w:lang w:eastAsia="sk-SK"/>
              </w:rPr>
            </w:pPr>
            <w:r w:rsidRPr="009F00D0">
              <w:rPr>
                <w:rFonts w:eastAsia="Times New Roman" w:cs="Segoe UI"/>
                <w:b/>
                <w:color w:val="FFFFFF"/>
                <w:sz w:val="18"/>
                <w:szCs w:val="18"/>
                <w:lang w:eastAsia="sk-SK"/>
              </w:rPr>
              <w:t>YoY</w:t>
            </w:r>
          </w:p>
        </w:tc>
      </w:tr>
      <w:tr w:rsidR="008265EF" w:rsidRPr="009F00D0" w14:paraId="0E9FC5EC" w14:textId="77777777" w:rsidTr="00373F39">
        <w:trPr>
          <w:trHeight w:val="283"/>
        </w:trPr>
        <w:tc>
          <w:tcPr>
            <w:tcW w:w="2410" w:type="dxa"/>
            <w:vAlign w:val="center"/>
          </w:tcPr>
          <w:p w14:paraId="444163CB" w14:textId="77777777" w:rsidR="008265EF" w:rsidRPr="009F00D0" w:rsidRDefault="008265EF" w:rsidP="00373F39">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Príjmy celkom</w:t>
            </w:r>
          </w:p>
        </w:tc>
        <w:tc>
          <w:tcPr>
            <w:tcW w:w="1134" w:type="dxa"/>
            <w:vAlign w:val="center"/>
          </w:tcPr>
          <w:p w14:paraId="1B9E364B"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1 822 790</w:t>
            </w:r>
          </w:p>
        </w:tc>
        <w:tc>
          <w:tcPr>
            <w:tcW w:w="1134" w:type="dxa"/>
            <w:vAlign w:val="center"/>
          </w:tcPr>
          <w:p w14:paraId="1F95A308"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1 991 220</w:t>
            </w:r>
          </w:p>
        </w:tc>
        <w:tc>
          <w:tcPr>
            <w:tcW w:w="1134" w:type="dxa"/>
            <w:vAlign w:val="center"/>
          </w:tcPr>
          <w:p w14:paraId="4A9C1DD5"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2 065 482</w:t>
            </w:r>
          </w:p>
        </w:tc>
        <w:tc>
          <w:tcPr>
            <w:tcW w:w="1276" w:type="dxa"/>
          </w:tcPr>
          <w:p w14:paraId="6231497F"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2 214 066</w:t>
            </w:r>
          </w:p>
        </w:tc>
        <w:tc>
          <w:tcPr>
            <w:tcW w:w="1417" w:type="dxa"/>
            <w:vAlign w:val="center"/>
          </w:tcPr>
          <w:p w14:paraId="17DD742A"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148 584</w:t>
            </w:r>
          </w:p>
        </w:tc>
        <w:tc>
          <w:tcPr>
            <w:tcW w:w="709" w:type="dxa"/>
            <w:vAlign w:val="center"/>
          </w:tcPr>
          <w:p w14:paraId="25BE3FBC"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107,2</w:t>
            </w:r>
          </w:p>
        </w:tc>
      </w:tr>
      <w:tr w:rsidR="008265EF" w:rsidRPr="009F00D0" w14:paraId="1CEF0676" w14:textId="77777777" w:rsidTr="00373F39">
        <w:trPr>
          <w:trHeight w:val="283"/>
        </w:trPr>
        <w:tc>
          <w:tcPr>
            <w:tcW w:w="2410" w:type="dxa"/>
            <w:vAlign w:val="center"/>
          </w:tcPr>
          <w:p w14:paraId="2278B22C" w14:textId="77777777" w:rsidR="008265EF" w:rsidRPr="009F00D0" w:rsidRDefault="008265EF" w:rsidP="00373F39">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Výdavky celkom</w:t>
            </w:r>
          </w:p>
        </w:tc>
        <w:tc>
          <w:tcPr>
            <w:tcW w:w="1134" w:type="dxa"/>
            <w:vAlign w:val="center"/>
          </w:tcPr>
          <w:p w14:paraId="0B5807BF"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1 593 506</w:t>
            </w:r>
          </w:p>
        </w:tc>
        <w:tc>
          <w:tcPr>
            <w:tcW w:w="1134" w:type="dxa"/>
            <w:vAlign w:val="center"/>
          </w:tcPr>
          <w:p w14:paraId="4B2DE1FC"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1 701 733</w:t>
            </w:r>
          </w:p>
        </w:tc>
        <w:tc>
          <w:tcPr>
            <w:tcW w:w="1134" w:type="dxa"/>
            <w:vAlign w:val="center"/>
          </w:tcPr>
          <w:p w14:paraId="3A4351D8"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1 813 869</w:t>
            </w:r>
          </w:p>
        </w:tc>
        <w:tc>
          <w:tcPr>
            <w:tcW w:w="1276" w:type="dxa"/>
          </w:tcPr>
          <w:p w14:paraId="43A7A861"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2 036 801</w:t>
            </w:r>
          </w:p>
        </w:tc>
        <w:tc>
          <w:tcPr>
            <w:tcW w:w="1417" w:type="dxa"/>
            <w:vAlign w:val="center"/>
          </w:tcPr>
          <w:p w14:paraId="11F37412"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222 932</w:t>
            </w:r>
          </w:p>
        </w:tc>
        <w:tc>
          <w:tcPr>
            <w:tcW w:w="709" w:type="dxa"/>
            <w:vAlign w:val="center"/>
          </w:tcPr>
          <w:p w14:paraId="43B8A06B"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112,3</w:t>
            </w:r>
          </w:p>
        </w:tc>
      </w:tr>
      <w:tr w:rsidR="008265EF" w:rsidRPr="009F00D0" w14:paraId="080FEAC8" w14:textId="77777777" w:rsidTr="00373F39">
        <w:trPr>
          <w:trHeight w:val="283"/>
        </w:trPr>
        <w:tc>
          <w:tcPr>
            <w:tcW w:w="2410" w:type="dxa"/>
            <w:vAlign w:val="center"/>
          </w:tcPr>
          <w:p w14:paraId="18D78B53" w14:textId="77777777" w:rsidR="008265EF" w:rsidRPr="009F00D0" w:rsidRDefault="008265EF" w:rsidP="00373F39">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 xml:space="preserve">Hotovostné saldo </w:t>
            </w:r>
          </w:p>
        </w:tc>
        <w:tc>
          <w:tcPr>
            <w:tcW w:w="1134" w:type="dxa"/>
            <w:vAlign w:val="center"/>
          </w:tcPr>
          <w:p w14:paraId="2008BA4F" w14:textId="77777777" w:rsidR="008265EF" w:rsidRPr="009F00D0" w:rsidRDefault="008265EF" w:rsidP="00373F39">
            <w:pPr>
              <w:spacing w:after="0" w:line="240" w:lineRule="auto"/>
              <w:jc w:val="right"/>
              <w:rPr>
                <w:rFonts w:eastAsia="Times New Roman" w:cs="Segoe UI"/>
                <w:sz w:val="18"/>
                <w:szCs w:val="20"/>
              </w:rPr>
            </w:pPr>
            <w:r w:rsidRPr="009F00D0">
              <w:rPr>
                <w:rFonts w:eastAsia="Times New Roman" w:cs="Segoe UI"/>
                <w:sz w:val="18"/>
                <w:szCs w:val="20"/>
              </w:rPr>
              <w:t>229 284</w:t>
            </w:r>
          </w:p>
        </w:tc>
        <w:tc>
          <w:tcPr>
            <w:tcW w:w="1134" w:type="dxa"/>
            <w:vAlign w:val="center"/>
          </w:tcPr>
          <w:p w14:paraId="09E0234C" w14:textId="77777777" w:rsidR="008265EF" w:rsidRPr="009F00D0" w:rsidRDefault="008265EF" w:rsidP="00373F39">
            <w:pPr>
              <w:spacing w:after="0" w:line="240" w:lineRule="auto"/>
              <w:jc w:val="right"/>
              <w:rPr>
                <w:rFonts w:eastAsia="Times New Roman" w:cs="Segoe UI"/>
                <w:sz w:val="18"/>
                <w:szCs w:val="20"/>
              </w:rPr>
            </w:pPr>
            <w:r w:rsidRPr="009F00D0">
              <w:rPr>
                <w:rFonts w:eastAsia="Times New Roman" w:cs="Segoe UI"/>
                <w:sz w:val="18"/>
                <w:szCs w:val="20"/>
              </w:rPr>
              <w:t>289 487</w:t>
            </w:r>
          </w:p>
        </w:tc>
        <w:tc>
          <w:tcPr>
            <w:tcW w:w="1134" w:type="dxa"/>
            <w:vAlign w:val="center"/>
          </w:tcPr>
          <w:p w14:paraId="76B6CFBB" w14:textId="77777777" w:rsidR="008265EF" w:rsidRPr="009F00D0" w:rsidRDefault="008265EF" w:rsidP="00373F39">
            <w:pPr>
              <w:spacing w:after="0" w:line="240" w:lineRule="auto"/>
              <w:jc w:val="right"/>
              <w:rPr>
                <w:rFonts w:eastAsia="Times New Roman" w:cs="Segoe UI"/>
                <w:sz w:val="18"/>
                <w:szCs w:val="20"/>
              </w:rPr>
            </w:pPr>
            <w:r w:rsidRPr="009F00D0">
              <w:rPr>
                <w:rFonts w:eastAsia="Times New Roman" w:cs="Segoe UI"/>
                <w:sz w:val="18"/>
                <w:szCs w:val="20"/>
              </w:rPr>
              <w:t>251 612</w:t>
            </w:r>
          </w:p>
        </w:tc>
        <w:tc>
          <w:tcPr>
            <w:tcW w:w="1276" w:type="dxa"/>
          </w:tcPr>
          <w:p w14:paraId="5E4C30D1" w14:textId="77777777" w:rsidR="008265EF" w:rsidRPr="009F00D0" w:rsidRDefault="008265EF" w:rsidP="00373F39">
            <w:pPr>
              <w:spacing w:after="0" w:line="240" w:lineRule="auto"/>
              <w:jc w:val="right"/>
              <w:rPr>
                <w:rFonts w:eastAsia="Times New Roman" w:cs="Segoe UI"/>
                <w:sz w:val="18"/>
                <w:szCs w:val="20"/>
              </w:rPr>
            </w:pPr>
            <w:r w:rsidRPr="009F00D0">
              <w:rPr>
                <w:rFonts w:eastAsia="Times New Roman" w:cs="Segoe UI"/>
                <w:sz w:val="18"/>
                <w:szCs w:val="20"/>
              </w:rPr>
              <w:t>177 266</w:t>
            </w:r>
          </w:p>
        </w:tc>
        <w:tc>
          <w:tcPr>
            <w:tcW w:w="1417" w:type="dxa"/>
            <w:vAlign w:val="center"/>
          </w:tcPr>
          <w:p w14:paraId="2BF9B3BE" w14:textId="77777777" w:rsidR="008265EF" w:rsidRPr="009F00D0" w:rsidRDefault="008265EF" w:rsidP="00373F39">
            <w:pPr>
              <w:spacing w:after="0" w:line="240" w:lineRule="auto"/>
              <w:ind w:left="360"/>
              <w:jc w:val="right"/>
              <w:rPr>
                <w:rFonts w:eastAsia="Times New Roman" w:cs="Segoe UI"/>
                <w:sz w:val="18"/>
                <w:szCs w:val="20"/>
              </w:rPr>
            </w:pPr>
            <w:r w:rsidRPr="009F00D0">
              <w:rPr>
                <w:rFonts w:eastAsia="Times New Roman" w:cs="Segoe UI"/>
                <w:sz w:val="18"/>
                <w:szCs w:val="20"/>
              </w:rPr>
              <w:t>- 74 346</w:t>
            </w:r>
          </w:p>
        </w:tc>
        <w:tc>
          <w:tcPr>
            <w:tcW w:w="709" w:type="dxa"/>
            <w:vAlign w:val="center"/>
          </w:tcPr>
          <w:p w14:paraId="2571567E" w14:textId="77777777" w:rsidR="008265EF" w:rsidRPr="009F00D0" w:rsidRDefault="008265EF" w:rsidP="00373F39">
            <w:pPr>
              <w:spacing w:after="0" w:line="240" w:lineRule="auto"/>
              <w:jc w:val="right"/>
              <w:rPr>
                <w:rFonts w:eastAsia="Times New Roman" w:cs="Segoe UI"/>
                <w:sz w:val="18"/>
                <w:szCs w:val="20"/>
              </w:rPr>
            </w:pPr>
            <w:r w:rsidRPr="009F00D0">
              <w:rPr>
                <w:rFonts w:eastAsia="Times New Roman" w:cs="Segoe UI"/>
                <w:sz w:val="18"/>
                <w:szCs w:val="20"/>
              </w:rPr>
              <w:t>70,5</w:t>
            </w:r>
          </w:p>
        </w:tc>
      </w:tr>
      <w:tr w:rsidR="008265EF" w:rsidRPr="009F00D0" w14:paraId="7AB02AED" w14:textId="77777777" w:rsidTr="00373F39">
        <w:trPr>
          <w:trHeight w:val="283"/>
        </w:trPr>
        <w:tc>
          <w:tcPr>
            <w:tcW w:w="2410" w:type="dxa"/>
            <w:vAlign w:val="center"/>
          </w:tcPr>
          <w:p w14:paraId="65AEA750" w14:textId="77777777" w:rsidR="008265EF" w:rsidRPr="009F00D0" w:rsidRDefault="008265EF" w:rsidP="00373F39">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Príjmové finančné operácie</w:t>
            </w:r>
          </w:p>
        </w:tc>
        <w:tc>
          <w:tcPr>
            <w:tcW w:w="1134" w:type="dxa"/>
            <w:vAlign w:val="center"/>
          </w:tcPr>
          <w:p w14:paraId="78558BCA" w14:textId="77777777" w:rsidR="008265EF" w:rsidRPr="00872B49" w:rsidRDefault="008265EF" w:rsidP="00373F39">
            <w:pPr>
              <w:spacing w:after="0" w:line="240" w:lineRule="auto"/>
              <w:jc w:val="right"/>
              <w:rPr>
                <w:rFonts w:eastAsia="Calibri" w:cs="Segoe UI"/>
                <w:sz w:val="18"/>
                <w:szCs w:val="18"/>
              </w:rPr>
            </w:pPr>
            <w:r>
              <w:rPr>
                <w:rFonts w:eastAsia="Calibri" w:cs="Segoe UI"/>
                <w:sz w:val="18"/>
                <w:szCs w:val="18"/>
              </w:rPr>
              <w:t>209 647</w:t>
            </w:r>
          </w:p>
        </w:tc>
        <w:tc>
          <w:tcPr>
            <w:tcW w:w="1134" w:type="dxa"/>
            <w:vAlign w:val="center"/>
          </w:tcPr>
          <w:p w14:paraId="04E0BB86" w14:textId="77777777" w:rsidR="008265EF" w:rsidRPr="00872B49" w:rsidRDefault="008265EF" w:rsidP="00373F39">
            <w:pPr>
              <w:spacing w:after="0" w:line="240" w:lineRule="auto"/>
              <w:jc w:val="right"/>
              <w:rPr>
                <w:rFonts w:eastAsia="Calibri" w:cs="Segoe UI"/>
                <w:sz w:val="18"/>
                <w:szCs w:val="18"/>
              </w:rPr>
            </w:pPr>
            <w:r>
              <w:rPr>
                <w:rFonts w:eastAsia="Calibri" w:cs="Segoe UI"/>
                <w:sz w:val="18"/>
                <w:szCs w:val="18"/>
              </w:rPr>
              <w:t>320 114</w:t>
            </w:r>
          </w:p>
        </w:tc>
        <w:tc>
          <w:tcPr>
            <w:tcW w:w="1134" w:type="dxa"/>
            <w:vAlign w:val="center"/>
          </w:tcPr>
          <w:p w14:paraId="3C86AFF6" w14:textId="77777777" w:rsidR="008265EF" w:rsidRPr="00872B49" w:rsidRDefault="008265EF" w:rsidP="00373F39">
            <w:pPr>
              <w:spacing w:after="0" w:line="240" w:lineRule="auto"/>
              <w:jc w:val="right"/>
              <w:rPr>
                <w:rFonts w:eastAsia="Calibri" w:cs="Segoe UI"/>
                <w:sz w:val="18"/>
                <w:szCs w:val="18"/>
              </w:rPr>
            </w:pPr>
            <w:r>
              <w:rPr>
                <w:rFonts w:eastAsia="Calibri" w:cs="Segoe UI"/>
                <w:sz w:val="18"/>
                <w:szCs w:val="18"/>
              </w:rPr>
              <w:t>349 356</w:t>
            </w:r>
          </w:p>
        </w:tc>
        <w:tc>
          <w:tcPr>
            <w:tcW w:w="1276" w:type="dxa"/>
          </w:tcPr>
          <w:p w14:paraId="1619579F" w14:textId="77777777" w:rsidR="008265EF" w:rsidRPr="00872B49" w:rsidRDefault="008265EF" w:rsidP="00373F39">
            <w:pPr>
              <w:tabs>
                <w:tab w:val="left" w:pos="883"/>
              </w:tabs>
              <w:spacing w:after="0" w:line="240" w:lineRule="auto"/>
              <w:ind w:right="31"/>
              <w:jc w:val="right"/>
              <w:rPr>
                <w:rFonts w:eastAsia="Calibri" w:cs="Segoe UI"/>
                <w:sz w:val="18"/>
                <w:szCs w:val="18"/>
              </w:rPr>
            </w:pPr>
            <w:r>
              <w:rPr>
                <w:rFonts w:eastAsia="Calibri" w:cs="Segoe UI"/>
                <w:sz w:val="18"/>
                <w:szCs w:val="18"/>
              </w:rPr>
              <w:t>267 544</w:t>
            </w:r>
          </w:p>
        </w:tc>
        <w:tc>
          <w:tcPr>
            <w:tcW w:w="1417" w:type="dxa"/>
            <w:vAlign w:val="center"/>
          </w:tcPr>
          <w:p w14:paraId="65432DC6" w14:textId="77777777" w:rsidR="008265EF" w:rsidRPr="00804686" w:rsidRDefault="008265EF" w:rsidP="00373F39">
            <w:pPr>
              <w:spacing w:after="0" w:line="240" w:lineRule="auto"/>
              <w:jc w:val="right"/>
              <w:rPr>
                <w:rFonts w:eastAsia="Calibri" w:cs="Segoe UI"/>
                <w:sz w:val="18"/>
                <w:szCs w:val="18"/>
              </w:rPr>
            </w:pPr>
            <w:r w:rsidRPr="00804686">
              <w:rPr>
                <w:rFonts w:eastAsia="Calibri" w:cs="Segoe UI"/>
                <w:color w:val="000000"/>
                <w:sz w:val="18"/>
                <w:szCs w:val="18"/>
              </w:rPr>
              <w:t xml:space="preserve"> -81 812</w:t>
            </w:r>
          </w:p>
        </w:tc>
        <w:tc>
          <w:tcPr>
            <w:tcW w:w="709" w:type="dxa"/>
            <w:vAlign w:val="center"/>
          </w:tcPr>
          <w:p w14:paraId="5D3FFBEA" w14:textId="77777777" w:rsidR="008265EF" w:rsidRPr="00872B49" w:rsidRDefault="008265EF" w:rsidP="00373F39">
            <w:pPr>
              <w:spacing w:after="0" w:line="240" w:lineRule="auto"/>
              <w:jc w:val="right"/>
              <w:rPr>
                <w:rFonts w:eastAsia="Calibri" w:cs="Segoe UI"/>
                <w:sz w:val="18"/>
                <w:szCs w:val="18"/>
              </w:rPr>
            </w:pPr>
            <w:r>
              <w:rPr>
                <w:rFonts w:eastAsia="Calibri" w:cs="Segoe UI"/>
                <w:color w:val="000000"/>
                <w:sz w:val="18"/>
                <w:szCs w:val="18"/>
              </w:rPr>
              <w:t>76,6</w:t>
            </w:r>
          </w:p>
        </w:tc>
      </w:tr>
      <w:tr w:rsidR="008265EF" w:rsidRPr="009F00D0" w14:paraId="18F427FC" w14:textId="77777777" w:rsidTr="00373F39">
        <w:trPr>
          <w:trHeight w:val="283"/>
        </w:trPr>
        <w:tc>
          <w:tcPr>
            <w:tcW w:w="2410" w:type="dxa"/>
            <w:vAlign w:val="center"/>
          </w:tcPr>
          <w:p w14:paraId="536BCE04" w14:textId="77777777" w:rsidR="008265EF" w:rsidRPr="009F00D0" w:rsidRDefault="008265EF" w:rsidP="00373F39">
            <w:pPr>
              <w:spacing w:after="0" w:line="240" w:lineRule="auto"/>
              <w:contextualSpacing/>
              <w:jc w:val="left"/>
              <w:rPr>
                <w:rFonts w:eastAsia="Times New Roman" w:cs="Segoe UI"/>
                <w:bCs/>
                <w:sz w:val="16"/>
                <w:szCs w:val="18"/>
                <w:lang w:eastAsia="sk-SK"/>
              </w:rPr>
            </w:pPr>
            <w:r w:rsidRPr="009F00D0">
              <w:rPr>
                <w:rFonts w:eastAsia="Times New Roman" w:cs="Segoe UI"/>
                <w:bCs/>
                <w:sz w:val="16"/>
                <w:szCs w:val="18"/>
                <w:lang w:eastAsia="sk-SK"/>
              </w:rPr>
              <w:t>Výdavkové finančné operácie</w:t>
            </w:r>
          </w:p>
        </w:tc>
        <w:tc>
          <w:tcPr>
            <w:tcW w:w="1134" w:type="dxa"/>
            <w:vAlign w:val="center"/>
          </w:tcPr>
          <w:p w14:paraId="69CB5C79" w14:textId="77777777" w:rsidR="008265EF" w:rsidRPr="00872B49"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33 629</w:t>
            </w:r>
          </w:p>
        </w:tc>
        <w:tc>
          <w:tcPr>
            <w:tcW w:w="1134" w:type="dxa"/>
            <w:vAlign w:val="center"/>
          </w:tcPr>
          <w:p w14:paraId="39A772D0" w14:textId="77777777" w:rsidR="008265EF" w:rsidRPr="00872B49"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46 622</w:t>
            </w:r>
          </w:p>
        </w:tc>
        <w:tc>
          <w:tcPr>
            <w:tcW w:w="1134" w:type="dxa"/>
            <w:vAlign w:val="center"/>
          </w:tcPr>
          <w:p w14:paraId="67EC5BC5" w14:textId="77777777" w:rsidR="008265EF" w:rsidRPr="00872B49"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 xml:space="preserve"> 78 608</w:t>
            </w:r>
          </w:p>
        </w:tc>
        <w:tc>
          <w:tcPr>
            <w:tcW w:w="1276" w:type="dxa"/>
          </w:tcPr>
          <w:p w14:paraId="718975F8" w14:textId="77777777" w:rsidR="008265EF" w:rsidRPr="00872B49"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64 625</w:t>
            </w:r>
          </w:p>
        </w:tc>
        <w:tc>
          <w:tcPr>
            <w:tcW w:w="1417" w:type="dxa"/>
            <w:vAlign w:val="center"/>
          </w:tcPr>
          <w:p w14:paraId="417FB064" w14:textId="77777777" w:rsidR="008265EF" w:rsidRPr="00BA7CAB"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 xml:space="preserve">    -</w:t>
            </w:r>
            <w:r w:rsidRPr="003A6CA7">
              <w:rPr>
                <w:rFonts w:eastAsia="Calibri" w:cs="Segoe UI"/>
                <w:color w:val="000000"/>
                <w:sz w:val="18"/>
                <w:szCs w:val="18"/>
              </w:rPr>
              <w:t>13 984</w:t>
            </w:r>
          </w:p>
        </w:tc>
        <w:tc>
          <w:tcPr>
            <w:tcW w:w="709" w:type="dxa"/>
            <w:vAlign w:val="center"/>
          </w:tcPr>
          <w:p w14:paraId="5A9ECB90" w14:textId="77777777" w:rsidR="008265EF" w:rsidRPr="00872B49"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82,2</w:t>
            </w:r>
          </w:p>
        </w:tc>
      </w:tr>
      <w:tr w:rsidR="008265EF" w:rsidRPr="009F00D0" w14:paraId="06D9F946" w14:textId="77777777" w:rsidTr="00373F39">
        <w:trPr>
          <w:trHeight w:val="283"/>
        </w:trPr>
        <w:tc>
          <w:tcPr>
            <w:tcW w:w="2410" w:type="dxa"/>
            <w:vAlign w:val="center"/>
          </w:tcPr>
          <w:p w14:paraId="69AEABC3" w14:textId="77777777" w:rsidR="008265EF" w:rsidRPr="009F00D0" w:rsidRDefault="008265EF" w:rsidP="00373F39">
            <w:pPr>
              <w:spacing w:after="0" w:line="240" w:lineRule="auto"/>
              <w:contextualSpacing/>
              <w:jc w:val="left"/>
              <w:rPr>
                <w:rFonts w:eastAsia="Times New Roman" w:cs="Segoe UI"/>
                <w:bCs/>
                <w:sz w:val="16"/>
                <w:szCs w:val="18"/>
                <w:lang w:eastAsia="sk-SK"/>
              </w:rPr>
            </w:pPr>
            <w:r>
              <w:rPr>
                <w:rFonts w:eastAsia="Times New Roman" w:cs="Segoe UI"/>
                <w:bCs/>
                <w:sz w:val="16"/>
                <w:szCs w:val="18"/>
                <w:lang w:eastAsia="sk-SK"/>
              </w:rPr>
              <w:t>Kapitálové výdavky</w:t>
            </w:r>
          </w:p>
        </w:tc>
        <w:tc>
          <w:tcPr>
            <w:tcW w:w="1134" w:type="dxa"/>
            <w:vAlign w:val="center"/>
          </w:tcPr>
          <w:p w14:paraId="6D004109" w14:textId="77777777" w:rsidR="008265EF" w:rsidRDefault="008265EF" w:rsidP="00373F39">
            <w:pPr>
              <w:spacing w:after="0" w:line="240" w:lineRule="auto"/>
              <w:jc w:val="right"/>
              <w:rPr>
                <w:rFonts w:eastAsia="Calibri" w:cs="Segoe UI"/>
                <w:color w:val="000000"/>
                <w:sz w:val="18"/>
                <w:szCs w:val="18"/>
              </w:rPr>
            </w:pPr>
            <w:r w:rsidRPr="00DF1078">
              <w:rPr>
                <w:rFonts w:eastAsia="Calibri" w:cs="Segoe UI"/>
                <w:color w:val="000000"/>
                <w:sz w:val="18"/>
                <w:szCs w:val="18"/>
              </w:rPr>
              <w:t>219</w:t>
            </w:r>
            <w:r>
              <w:rPr>
                <w:rFonts w:eastAsia="Calibri" w:cs="Segoe UI"/>
                <w:color w:val="000000"/>
                <w:sz w:val="18"/>
                <w:szCs w:val="18"/>
              </w:rPr>
              <w:t xml:space="preserve"> </w:t>
            </w:r>
            <w:r w:rsidRPr="00DF1078">
              <w:rPr>
                <w:rFonts w:eastAsia="Calibri" w:cs="Segoe UI"/>
                <w:color w:val="000000"/>
                <w:sz w:val="18"/>
                <w:szCs w:val="18"/>
              </w:rPr>
              <w:t>418</w:t>
            </w:r>
          </w:p>
        </w:tc>
        <w:tc>
          <w:tcPr>
            <w:tcW w:w="1134" w:type="dxa"/>
            <w:vAlign w:val="center"/>
          </w:tcPr>
          <w:p w14:paraId="3DCBF75F" w14:textId="77777777" w:rsidR="008265EF" w:rsidRDefault="008265EF" w:rsidP="00373F39">
            <w:pPr>
              <w:spacing w:after="0" w:line="240" w:lineRule="auto"/>
              <w:jc w:val="right"/>
              <w:rPr>
                <w:rFonts w:eastAsia="Calibri" w:cs="Segoe UI"/>
                <w:color w:val="000000"/>
                <w:sz w:val="18"/>
                <w:szCs w:val="18"/>
              </w:rPr>
            </w:pPr>
            <w:r w:rsidRPr="00DF1078">
              <w:rPr>
                <w:rFonts w:eastAsia="Calibri" w:cs="Segoe UI"/>
                <w:color w:val="000000"/>
                <w:sz w:val="18"/>
                <w:szCs w:val="18"/>
              </w:rPr>
              <w:t>228</w:t>
            </w:r>
            <w:r>
              <w:rPr>
                <w:rFonts w:eastAsia="Calibri" w:cs="Segoe UI"/>
                <w:color w:val="000000"/>
                <w:sz w:val="18"/>
                <w:szCs w:val="18"/>
              </w:rPr>
              <w:t xml:space="preserve"> </w:t>
            </w:r>
            <w:r w:rsidRPr="00DF1078">
              <w:rPr>
                <w:rFonts w:eastAsia="Calibri" w:cs="Segoe UI"/>
                <w:color w:val="000000"/>
                <w:sz w:val="18"/>
                <w:szCs w:val="18"/>
              </w:rPr>
              <w:t>113</w:t>
            </w:r>
          </w:p>
        </w:tc>
        <w:tc>
          <w:tcPr>
            <w:tcW w:w="1134" w:type="dxa"/>
            <w:vAlign w:val="center"/>
          </w:tcPr>
          <w:p w14:paraId="54DDD027" w14:textId="77777777" w:rsidR="008265EF" w:rsidRDefault="008265EF" w:rsidP="00373F39">
            <w:pPr>
              <w:spacing w:after="0" w:line="240" w:lineRule="auto"/>
              <w:jc w:val="right"/>
              <w:rPr>
                <w:rFonts w:eastAsia="Calibri" w:cs="Segoe UI"/>
                <w:color w:val="000000"/>
                <w:sz w:val="18"/>
                <w:szCs w:val="18"/>
              </w:rPr>
            </w:pPr>
            <w:r w:rsidRPr="00DF1078">
              <w:rPr>
                <w:rFonts w:eastAsia="Calibri" w:cs="Segoe UI"/>
                <w:color w:val="000000"/>
                <w:sz w:val="18"/>
                <w:szCs w:val="18"/>
              </w:rPr>
              <w:t>217</w:t>
            </w:r>
            <w:r>
              <w:rPr>
                <w:rFonts w:eastAsia="Calibri" w:cs="Segoe UI"/>
                <w:color w:val="000000"/>
                <w:sz w:val="18"/>
                <w:szCs w:val="18"/>
              </w:rPr>
              <w:t xml:space="preserve"> </w:t>
            </w:r>
            <w:r w:rsidRPr="00DF1078">
              <w:rPr>
                <w:rFonts w:eastAsia="Calibri" w:cs="Segoe UI"/>
                <w:color w:val="000000"/>
                <w:sz w:val="18"/>
                <w:szCs w:val="18"/>
              </w:rPr>
              <w:t>346</w:t>
            </w:r>
          </w:p>
        </w:tc>
        <w:tc>
          <w:tcPr>
            <w:tcW w:w="1276" w:type="dxa"/>
          </w:tcPr>
          <w:p w14:paraId="5C873D6F" w14:textId="77777777" w:rsidR="008265EF"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320 806</w:t>
            </w:r>
          </w:p>
        </w:tc>
        <w:tc>
          <w:tcPr>
            <w:tcW w:w="1417" w:type="dxa"/>
            <w:vAlign w:val="center"/>
          </w:tcPr>
          <w:p w14:paraId="4B4CC049" w14:textId="77777777" w:rsidR="008265EF"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103 460</w:t>
            </w:r>
          </w:p>
        </w:tc>
        <w:tc>
          <w:tcPr>
            <w:tcW w:w="709" w:type="dxa"/>
            <w:vAlign w:val="center"/>
          </w:tcPr>
          <w:p w14:paraId="5A799F1D" w14:textId="77777777" w:rsidR="008265EF" w:rsidRDefault="008265EF" w:rsidP="00373F39">
            <w:pPr>
              <w:spacing w:after="0" w:line="240" w:lineRule="auto"/>
              <w:jc w:val="right"/>
              <w:rPr>
                <w:rFonts w:eastAsia="Calibri" w:cs="Segoe UI"/>
                <w:color w:val="000000"/>
                <w:sz w:val="18"/>
                <w:szCs w:val="18"/>
              </w:rPr>
            </w:pPr>
            <w:r>
              <w:rPr>
                <w:rFonts w:eastAsia="Calibri" w:cs="Segoe UI"/>
                <w:color w:val="000000"/>
                <w:sz w:val="18"/>
                <w:szCs w:val="18"/>
              </w:rPr>
              <w:t>147,6</w:t>
            </w:r>
          </w:p>
        </w:tc>
      </w:tr>
      <w:tr w:rsidR="008265EF" w:rsidRPr="009F00D0" w14:paraId="546CDD90" w14:textId="77777777" w:rsidTr="00373F39">
        <w:trPr>
          <w:trHeight w:val="283"/>
        </w:trPr>
        <w:tc>
          <w:tcPr>
            <w:tcW w:w="2410" w:type="dxa"/>
            <w:vAlign w:val="center"/>
          </w:tcPr>
          <w:p w14:paraId="733CAED2" w14:textId="77777777" w:rsidR="008265EF" w:rsidRPr="009F00D0" w:rsidRDefault="008265EF" w:rsidP="00373F39">
            <w:pPr>
              <w:spacing w:after="0" w:line="240" w:lineRule="auto"/>
              <w:contextualSpacing/>
              <w:rPr>
                <w:rFonts w:eastAsia="Times New Roman" w:cs="Segoe UI"/>
                <w:bCs/>
                <w:sz w:val="16"/>
                <w:szCs w:val="18"/>
                <w:lang w:eastAsia="sk-SK"/>
              </w:rPr>
            </w:pPr>
            <w:r w:rsidRPr="009F00D0">
              <w:rPr>
                <w:rFonts w:eastAsia="Times New Roman" w:cs="Segoe UI"/>
                <w:bCs/>
                <w:sz w:val="16"/>
                <w:szCs w:val="18"/>
                <w:lang w:eastAsia="sk-SK"/>
              </w:rPr>
              <w:t>ESA</w:t>
            </w:r>
            <w:r>
              <w:rPr>
                <w:rFonts w:eastAsia="Times New Roman" w:cs="Segoe UI"/>
                <w:bCs/>
                <w:sz w:val="16"/>
                <w:szCs w:val="18"/>
                <w:lang w:eastAsia="sk-SK"/>
              </w:rPr>
              <w:t xml:space="preserve"> </w:t>
            </w:r>
            <w:r w:rsidRPr="009F00D0">
              <w:rPr>
                <w:rFonts w:eastAsia="Times New Roman" w:cs="Segoe UI"/>
                <w:bCs/>
                <w:sz w:val="16"/>
                <w:szCs w:val="18"/>
                <w:lang w:eastAsia="sk-SK"/>
              </w:rPr>
              <w:t xml:space="preserve">2010 </w:t>
            </w:r>
            <w:r>
              <w:rPr>
                <w:rFonts w:eastAsia="Times New Roman" w:cs="Segoe UI"/>
                <w:bCs/>
                <w:sz w:val="16"/>
                <w:szCs w:val="18"/>
                <w:lang w:eastAsia="sk-SK"/>
              </w:rPr>
              <w:t>prebytok/schodok</w:t>
            </w:r>
          </w:p>
        </w:tc>
        <w:tc>
          <w:tcPr>
            <w:tcW w:w="1134" w:type="dxa"/>
            <w:vAlign w:val="center"/>
          </w:tcPr>
          <w:p w14:paraId="7A0B978F" w14:textId="77777777" w:rsidR="008265EF" w:rsidRPr="009F00D0" w:rsidRDefault="008265EF" w:rsidP="00373F39">
            <w:pPr>
              <w:spacing w:after="0" w:line="240" w:lineRule="auto"/>
              <w:jc w:val="right"/>
              <w:rPr>
                <w:rFonts w:eastAsia="Times New Roman" w:cs="Segoe UI"/>
                <w:bCs/>
                <w:sz w:val="18"/>
                <w:szCs w:val="18"/>
                <w:lang w:eastAsia="sk-SK"/>
              </w:rPr>
            </w:pPr>
            <w:r>
              <w:rPr>
                <w:rFonts w:eastAsia="Times New Roman" w:cs="Segoe UI"/>
                <w:bCs/>
                <w:sz w:val="18"/>
                <w:szCs w:val="18"/>
                <w:lang w:eastAsia="sk-SK"/>
              </w:rPr>
              <w:t>45 582</w:t>
            </w:r>
          </w:p>
        </w:tc>
        <w:tc>
          <w:tcPr>
            <w:tcW w:w="1134" w:type="dxa"/>
            <w:vAlign w:val="center"/>
          </w:tcPr>
          <w:p w14:paraId="29C25118" w14:textId="77777777" w:rsidR="008265EF" w:rsidRPr="009F00D0" w:rsidRDefault="008265EF" w:rsidP="00373F39">
            <w:pPr>
              <w:spacing w:after="0" w:line="240" w:lineRule="auto"/>
              <w:jc w:val="right"/>
              <w:rPr>
                <w:rFonts w:eastAsia="Times New Roman" w:cs="Segoe UI"/>
                <w:bCs/>
                <w:sz w:val="18"/>
                <w:szCs w:val="18"/>
                <w:lang w:eastAsia="sk-SK"/>
              </w:rPr>
            </w:pPr>
            <w:r>
              <w:rPr>
                <w:rFonts w:eastAsia="Times New Roman" w:cs="Segoe UI"/>
                <w:bCs/>
                <w:sz w:val="18"/>
                <w:szCs w:val="18"/>
                <w:lang w:eastAsia="sk-SK"/>
              </w:rPr>
              <w:t>7 735</w:t>
            </w:r>
          </w:p>
        </w:tc>
        <w:tc>
          <w:tcPr>
            <w:tcW w:w="1134" w:type="dxa"/>
            <w:vAlign w:val="center"/>
          </w:tcPr>
          <w:p w14:paraId="1EADE135" w14:textId="77777777" w:rsidR="008265EF" w:rsidRPr="00577DE3" w:rsidRDefault="008265EF" w:rsidP="00373F39">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-26 748</w:t>
            </w:r>
          </w:p>
        </w:tc>
        <w:tc>
          <w:tcPr>
            <w:tcW w:w="1276" w:type="dxa"/>
            <w:vAlign w:val="center"/>
          </w:tcPr>
          <w:p w14:paraId="0FA57FC7" w14:textId="77777777" w:rsidR="008265EF" w:rsidRPr="00577DE3" w:rsidRDefault="008265EF" w:rsidP="00373F39">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-141 839</w:t>
            </w:r>
          </w:p>
        </w:tc>
        <w:tc>
          <w:tcPr>
            <w:tcW w:w="1417" w:type="dxa"/>
            <w:vAlign w:val="center"/>
          </w:tcPr>
          <w:p w14:paraId="5B23C0BF" w14:textId="77777777" w:rsidR="008265EF" w:rsidRPr="00577DE3" w:rsidRDefault="008265EF" w:rsidP="00373F39">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-115 091</w:t>
            </w:r>
          </w:p>
        </w:tc>
        <w:tc>
          <w:tcPr>
            <w:tcW w:w="709" w:type="dxa"/>
            <w:vAlign w:val="center"/>
          </w:tcPr>
          <w:p w14:paraId="05A635DC" w14:textId="77777777" w:rsidR="008265EF" w:rsidRPr="00577DE3" w:rsidRDefault="008265EF" w:rsidP="00373F39">
            <w:pPr>
              <w:spacing w:after="0" w:line="240" w:lineRule="auto"/>
              <w:jc w:val="right"/>
              <w:rPr>
                <w:rFonts w:eastAsia="Times New Roman" w:cs="Segoe UI"/>
                <w:bCs/>
                <w:sz w:val="18"/>
                <w:szCs w:val="18"/>
                <w:lang w:eastAsia="sk-SK"/>
              </w:rPr>
            </w:pPr>
            <w:r w:rsidRPr="00577DE3">
              <w:rPr>
                <w:rFonts w:eastAsia="Times New Roman" w:cs="Segoe UI"/>
                <w:bCs/>
                <w:sz w:val="18"/>
                <w:szCs w:val="18"/>
                <w:lang w:eastAsia="sk-SK"/>
              </w:rPr>
              <w:t>530,3</w:t>
            </w:r>
          </w:p>
        </w:tc>
      </w:tr>
      <w:tr w:rsidR="008265EF" w:rsidRPr="009F00D0" w14:paraId="68040782" w14:textId="77777777" w:rsidTr="00373F39">
        <w:trPr>
          <w:trHeight w:val="283"/>
        </w:trPr>
        <w:tc>
          <w:tcPr>
            <w:tcW w:w="2410" w:type="dxa"/>
            <w:tcBorders>
              <w:bottom w:val="single" w:sz="4" w:space="0" w:color="auto"/>
            </w:tcBorders>
            <w:vAlign w:val="center"/>
          </w:tcPr>
          <w:p w14:paraId="6F7CB055" w14:textId="77777777" w:rsidR="008265EF" w:rsidRPr="009F00D0" w:rsidRDefault="008265EF" w:rsidP="00373F39">
            <w:pPr>
              <w:spacing w:after="0" w:line="240" w:lineRule="auto"/>
              <w:contextualSpacing/>
              <w:rPr>
                <w:rFonts w:eastAsia="Times New Roman" w:cs="Segoe UI"/>
                <w:bCs/>
                <w:sz w:val="16"/>
                <w:szCs w:val="18"/>
                <w:lang w:eastAsia="sk-SK"/>
              </w:rPr>
            </w:pPr>
            <w:r>
              <w:rPr>
                <w:rFonts w:eastAsia="Times New Roman" w:cs="Segoe UI"/>
                <w:bCs/>
                <w:sz w:val="16"/>
                <w:szCs w:val="18"/>
                <w:lang w:eastAsia="sk-SK"/>
              </w:rPr>
              <w:t xml:space="preserve">Nekonsolidovaný  dlh </w:t>
            </w:r>
          </w:p>
        </w:tc>
        <w:tc>
          <w:tcPr>
            <w:tcW w:w="1134" w:type="dxa"/>
            <w:tcBorders>
              <w:bottom w:val="single" w:sz="4" w:space="0" w:color="auto"/>
            </w:tcBorders>
            <w:vAlign w:val="center"/>
          </w:tcPr>
          <w:p w14:paraId="1D85909C"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391 001</w:t>
            </w:r>
          </w:p>
        </w:tc>
        <w:tc>
          <w:tcPr>
            <w:tcW w:w="1134" w:type="dxa"/>
            <w:tcBorders>
              <w:bottom w:val="single" w:sz="4" w:space="0" w:color="auto"/>
            </w:tcBorders>
            <w:vAlign w:val="center"/>
          </w:tcPr>
          <w:p w14:paraId="28098185"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498 712</w:t>
            </w:r>
          </w:p>
        </w:tc>
        <w:tc>
          <w:tcPr>
            <w:tcW w:w="1134" w:type="dxa"/>
            <w:tcBorders>
              <w:bottom w:val="single" w:sz="4" w:space="0" w:color="auto"/>
            </w:tcBorders>
            <w:vAlign w:val="center"/>
          </w:tcPr>
          <w:p w14:paraId="0FBAA4C9"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507 705</w:t>
            </w:r>
          </w:p>
        </w:tc>
        <w:tc>
          <w:tcPr>
            <w:tcW w:w="1276" w:type="dxa"/>
            <w:tcBorders>
              <w:bottom w:val="single" w:sz="4" w:space="0" w:color="auto"/>
            </w:tcBorders>
          </w:tcPr>
          <w:p w14:paraId="065061DB"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565 287</w:t>
            </w:r>
          </w:p>
        </w:tc>
        <w:tc>
          <w:tcPr>
            <w:tcW w:w="1417" w:type="dxa"/>
            <w:tcBorders>
              <w:bottom w:val="single" w:sz="4" w:space="0" w:color="auto"/>
            </w:tcBorders>
            <w:vAlign w:val="center"/>
          </w:tcPr>
          <w:p w14:paraId="54C6AFD3"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57 582</w:t>
            </w:r>
          </w:p>
        </w:tc>
        <w:tc>
          <w:tcPr>
            <w:tcW w:w="709" w:type="dxa"/>
            <w:tcBorders>
              <w:bottom w:val="single" w:sz="4" w:space="0" w:color="auto"/>
            </w:tcBorders>
            <w:vAlign w:val="center"/>
          </w:tcPr>
          <w:p w14:paraId="6554245E" w14:textId="77777777" w:rsidR="008265EF" w:rsidRPr="00872B49" w:rsidRDefault="008265EF" w:rsidP="00373F39">
            <w:pPr>
              <w:spacing w:after="0" w:line="240" w:lineRule="auto"/>
              <w:jc w:val="right"/>
              <w:rPr>
                <w:rFonts w:eastAsia="Times New Roman" w:cs="Segoe UI"/>
                <w:sz w:val="18"/>
                <w:szCs w:val="20"/>
              </w:rPr>
            </w:pPr>
            <w:r w:rsidRPr="00872B49">
              <w:rPr>
                <w:rFonts w:eastAsia="Times New Roman" w:cs="Segoe UI"/>
                <w:sz w:val="18"/>
                <w:szCs w:val="20"/>
              </w:rPr>
              <w:t>111,3</w:t>
            </w:r>
          </w:p>
        </w:tc>
      </w:tr>
    </w:tbl>
    <w:p w14:paraId="7DA0EC80" w14:textId="03BD3AF7" w:rsidR="008265EF" w:rsidRPr="00872B49" w:rsidRDefault="008265EF" w:rsidP="008265EF">
      <w:pPr>
        <w:pStyle w:val="Zdroj"/>
        <w:rPr>
          <w:rFonts w:cs="Segoe UI"/>
          <w:lang w:eastAsia="sk-SK"/>
        </w:rPr>
      </w:pPr>
      <w:r w:rsidRPr="00872B49">
        <w:rPr>
          <w:rFonts w:cs="Segoe UI"/>
          <w:lang w:eastAsia="sk-SK"/>
        </w:rPr>
        <w:t>Zdroj:</w:t>
      </w:r>
      <w:r>
        <w:rPr>
          <w:rFonts w:cs="Segoe UI"/>
          <w:lang w:eastAsia="sk-SK"/>
        </w:rPr>
        <w:t xml:space="preserve"> </w:t>
      </w:r>
      <w:r w:rsidRPr="00872B49">
        <w:rPr>
          <w:rFonts w:cs="Segoe UI"/>
          <w:lang w:eastAsia="sk-SK"/>
        </w:rPr>
        <w:t xml:space="preserve">Štátna pokladnica, </w:t>
      </w:r>
      <w:r w:rsidR="0024233A">
        <w:rPr>
          <w:rFonts w:cs="Segoe UI"/>
          <w:lang w:eastAsia="sk-SK"/>
        </w:rPr>
        <w:t>rozpoc</w:t>
      </w:r>
      <w:r w:rsidRPr="00872B49">
        <w:rPr>
          <w:rFonts w:cs="Segoe UI"/>
          <w:lang w:eastAsia="sk-SK"/>
        </w:rPr>
        <w:t>et.sk</w:t>
      </w:r>
      <w:r>
        <w:rPr>
          <w:rFonts w:cs="Segoe UI"/>
          <w:lang w:eastAsia="sk-SK"/>
        </w:rPr>
        <w:t xml:space="preserve">, </w:t>
      </w:r>
      <w:r w:rsidR="0024233A">
        <w:rPr>
          <w:rFonts w:cs="Segoe UI"/>
          <w:lang w:eastAsia="sk-SK"/>
        </w:rPr>
        <w:t>Návrh</w:t>
      </w:r>
      <w:r w:rsidRPr="00872B49">
        <w:rPr>
          <w:rFonts w:cs="Segoe UI"/>
          <w:lang w:eastAsia="sk-SK"/>
        </w:rPr>
        <w:t xml:space="preserve"> ŠZÚ SR 2022</w:t>
      </w:r>
      <w:r w:rsidR="0024233A">
        <w:rPr>
          <w:rFonts w:cs="Segoe UI"/>
          <w:lang w:eastAsia="sk-SK"/>
        </w:rPr>
        <w:t>.</w:t>
      </w:r>
    </w:p>
    <w:p w14:paraId="3C1743AE" w14:textId="2201F5C4" w:rsidR="005E667F" w:rsidRDefault="005E667F" w:rsidP="009E499D">
      <w:pPr>
        <w:rPr>
          <w:rFonts w:eastAsia="Times New Roman" w:cs="Segoe UI"/>
          <w:szCs w:val="20"/>
          <w:lang w:eastAsia="sk-SK"/>
        </w:rPr>
      </w:pPr>
      <w:r w:rsidRPr="00FE3038">
        <w:rPr>
          <w:rFonts w:eastAsia="Times New Roman" w:cs="Segoe UI"/>
          <w:b/>
          <w:szCs w:val="20"/>
          <w:lang w:eastAsia="sk-SK"/>
        </w:rPr>
        <w:t>Príjmy VÚC v roku 2022 vykazovali nárast, okrem finančných operácií.</w:t>
      </w:r>
      <w:r w:rsidR="00604829">
        <w:rPr>
          <w:rFonts w:eastAsia="Times New Roman" w:cs="Segoe UI"/>
          <w:szCs w:val="20"/>
          <w:lang w:eastAsia="sk-SK"/>
        </w:rPr>
        <w:t xml:space="preserve"> </w:t>
      </w:r>
      <w:r w:rsidRPr="00A7518E">
        <w:rPr>
          <w:rFonts w:eastAsia="Times New Roman" w:cs="Segoe UI"/>
          <w:szCs w:val="20"/>
          <w:lang w:eastAsia="sk-SK"/>
        </w:rPr>
        <w:t xml:space="preserve">Významným príjmom pre VÚC sú aj </w:t>
      </w:r>
      <w:r w:rsidRPr="00FE3038">
        <w:rPr>
          <w:rFonts w:eastAsia="Times New Roman" w:cs="Segoe UI"/>
          <w:szCs w:val="20"/>
          <w:lang w:eastAsia="sk-SK"/>
        </w:rPr>
        <w:t>transfery z kapitol ŠR</w:t>
      </w:r>
      <w:r w:rsidRPr="00A7518E">
        <w:rPr>
          <w:rFonts w:eastAsia="Times New Roman" w:cs="Segoe UI"/>
          <w:b/>
          <w:szCs w:val="20"/>
          <w:lang w:eastAsia="sk-SK"/>
        </w:rPr>
        <w:t>,</w:t>
      </w:r>
      <w:r w:rsidRPr="00A7518E">
        <w:rPr>
          <w:rFonts w:eastAsia="Times New Roman" w:cs="Segoe UI"/>
          <w:szCs w:val="20"/>
          <w:lang w:eastAsia="sk-SK"/>
        </w:rPr>
        <w:t xml:space="preserve"> ktoré slúžia predovšetkým na financovanie preneseného výkonu štátnej správy. </w:t>
      </w:r>
      <w:r w:rsidRPr="00FE3038">
        <w:rPr>
          <w:rFonts w:eastAsia="Times New Roman" w:cs="Segoe UI"/>
          <w:b/>
          <w:szCs w:val="20"/>
          <w:lang w:eastAsia="sk-SK"/>
        </w:rPr>
        <w:t>10 kapitol presunulo zo svojich rozpočtov 615</w:t>
      </w:r>
      <w:r w:rsidRPr="00A7518E">
        <w:rPr>
          <w:rFonts w:eastAsia="Times New Roman" w:cs="Segoe UI"/>
          <w:b/>
          <w:szCs w:val="20"/>
          <w:lang w:eastAsia="sk-SK"/>
        </w:rPr>
        <w:t xml:space="preserve"> mil. eur</w:t>
      </w:r>
      <w:r w:rsidR="00FE3038">
        <w:rPr>
          <w:rFonts w:eastAsia="Times New Roman" w:cs="Segoe UI"/>
          <w:b/>
          <w:szCs w:val="20"/>
          <w:lang w:eastAsia="sk-SK"/>
        </w:rPr>
        <w:t>, čo za posledné</w:t>
      </w:r>
      <w:r w:rsidRPr="00A7518E">
        <w:rPr>
          <w:rFonts w:eastAsia="Times New Roman" w:cs="Segoe UI"/>
          <w:b/>
          <w:szCs w:val="20"/>
          <w:lang w:eastAsia="sk-SK"/>
        </w:rPr>
        <w:t xml:space="preserve"> tri roky bola najvyššia suma.</w:t>
      </w:r>
      <w:r w:rsidRPr="00A7518E">
        <w:rPr>
          <w:rFonts w:eastAsia="Times New Roman" w:cs="Segoe UI"/>
          <w:szCs w:val="20"/>
          <w:lang w:eastAsia="sk-SK"/>
        </w:rPr>
        <w:t xml:space="preserve"> V roku 2022 najvyššie transfery smerovali do oblasti vzdelávania (</w:t>
      </w:r>
      <w:r w:rsidR="00FE3038">
        <w:rPr>
          <w:rFonts w:eastAsia="Times New Roman" w:cs="Segoe UI"/>
          <w:szCs w:val="20"/>
          <w:lang w:eastAsia="sk-SK"/>
        </w:rPr>
        <w:t xml:space="preserve">transfer z </w:t>
      </w:r>
      <w:r w:rsidRPr="00A7518E">
        <w:rPr>
          <w:rFonts w:eastAsia="Times New Roman" w:cs="Segoe UI"/>
          <w:szCs w:val="20"/>
          <w:lang w:eastAsia="sk-SK"/>
        </w:rPr>
        <w:t>MŠVVa</w:t>
      </w:r>
      <w:r w:rsidR="00AE60F3">
        <w:rPr>
          <w:rFonts w:eastAsia="Times New Roman" w:cs="Segoe UI"/>
          <w:szCs w:val="20"/>
          <w:lang w:eastAsia="sk-SK"/>
        </w:rPr>
        <w:t>Š</w:t>
      </w:r>
      <w:r w:rsidRPr="00A7518E">
        <w:rPr>
          <w:rFonts w:eastAsia="Times New Roman" w:cs="Segoe UI"/>
          <w:szCs w:val="20"/>
          <w:lang w:eastAsia="sk-SK"/>
        </w:rPr>
        <w:t xml:space="preserve"> SR</w:t>
      </w:r>
      <w:r w:rsidR="00FE3038">
        <w:rPr>
          <w:rFonts w:eastAsia="Times New Roman" w:cs="Segoe UI"/>
          <w:szCs w:val="20"/>
          <w:lang w:eastAsia="sk-SK"/>
        </w:rPr>
        <w:t xml:space="preserve"> vo výške</w:t>
      </w:r>
      <w:r w:rsidRPr="00A7518E">
        <w:rPr>
          <w:rFonts w:eastAsia="Times New Roman" w:cs="Segoe UI"/>
          <w:szCs w:val="20"/>
          <w:lang w:eastAsia="sk-SK"/>
        </w:rPr>
        <w:t xml:space="preserve"> 555 mil. eur).</w:t>
      </w:r>
    </w:p>
    <w:p w14:paraId="74B0CAD8" w14:textId="77777777" w:rsidR="00821C28" w:rsidRPr="00821C28" w:rsidRDefault="00821C28" w:rsidP="00821C28">
      <w:pPr>
        <w:rPr>
          <w:szCs w:val="20"/>
        </w:rPr>
      </w:pPr>
      <w:r w:rsidRPr="00786CC2">
        <w:rPr>
          <w:b/>
          <w:szCs w:val="20"/>
        </w:rPr>
        <w:t xml:space="preserve">Skutočný </w:t>
      </w:r>
      <w:r w:rsidRPr="00D44361">
        <w:rPr>
          <w:rFonts w:cs="Times New Roman"/>
          <w:b/>
          <w:szCs w:val="20"/>
        </w:rPr>
        <w:t>(hotovostný)</w:t>
      </w:r>
      <w:r>
        <w:rPr>
          <w:rFonts w:cs="Times New Roman"/>
          <w:b/>
          <w:szCs w:val="20"/>
        </w:rPr>
        <w:t xml:space="preserve"> </w:t>
      </w:r>
      <w:r w:rsidRPr="00786CC2">
        <w:rPr>
          <w:b/>
          <w:szCs w:val="20"/>
        </w:rPr>
        <w:t xml:space="preserve">prevod dane z príjmov fyzických osôb do rozpočtov </w:t>
      </w:r>
      <w:r>
        <w:rPr>
          <w:b/>
          <w:szCs w:val="20"/>
        </w:rPr>
        <w:t>VÚC</w:t>
      </w:r>
      <w:r w:rsidRPr="00786CC2">
        <w:rPr>
          <w:b/>
          <w:szCs w:val="20"/>
        </w:rPr>
        <w:t xml:space="preserve"> bol vykonaný vo výške 1</w:t>
      </w:r>
      <w:r>
        <w:rPr>
          <w:b/>
          <w:szCs w:val="20"/>
        </w:rPr>
        <w:t>,1</w:t>
      </w:r>
      <w:r w:rsidRPr="00786CC2">
        <w:rPr>
          <w:b/>
          <w:szCs w:val="20"/>
        </w:rPr>
        <w:t> </w:t>
      </w:r>
      <w:r>
        <w:rPr>
          <w:b/>
          <w:szCs w:val="20"/>
        </w:rPr>
        <w:t>mld</w:t>
      </w:r>
      <w:r w:rsidRPr="00786CC2">
        <w:rPr>
          <w:b/>
          <w:szCs w:val="20"/>
        </w:rPr>
        <w:t>. eur</w:t>
      </w:r>
      <w:r>
        <w:rPr>
          <w:b/>
          <w:szCs w:val="20"/>
        </w:rPr>
        <w:t xml:space="preserve">. </w:t>
      </w:r>
      <w:r w:rsidRPr="00786CC2">
        <w:rPr>
          <w:b/>
          <w:szCs w:val="20"/>
        </w:rPr>
        <w:t xml:space="preserve"> </w:t>
      </w:r>
      <w:r w:rsidRPr="00821C28">
        <w:rPr>
          <w:szCs w:val="20"/>
        </w:rPr>
        <w:t xml:space="preserve">V roku 2021 bol vo výške 983,4 mil. eur. </w:t>
      </w:r>
    </w:p>
    <w:p w14:paraId="159D2999" w14:textId="77777777" w:rsidR="005E667F" w:rsidRPr="00A7518E" w:rsidRDefault="005E667F" w:rsidP="009E499D">
      <w:pPr>
        <w:rPr>
          <w:rFonts w:cs="Times New Roman"/>
          <w:szCs w:val="20"/>
        </w:rPr>
      </w:pPr>
      <w:r w:rsidRPr="00A7518E">
        <w:rPr>
          <w:rFonts w:eastAsia="Times New Roman" w:cs="Segoe UI"/>
          <w:b/>
          <w:szCs w:val="20"/>
          <w:lang w:eastAsia="sk-SK"/>
        </w:rPr>
        <w:t xml:space="preserve">Výdavky </w:t>
      </w:r>
      <w:r w:rsidRPr="00821C28">
        <w:rPr>
          <w:rFonts w:eastAsia="Times New Roman" w:cs="Segoe UI"/>
          <w:b/>
          <w:szCs w:val="20"/>
          <w:lang w:eastAsia="sk-SK"/>
        </w:rPr>
        <w:t>VÚC aj v roku 2022</w:t>
      </w:r>
      <w:r w:rsidRPr="00A7518E">
        <w:rPr>
          <w:rFonts w:eastAsia="Times New Roman" w:cs="Segoe UI"/>
          <w:szCs w:val="20"/>
          <w:lang w:eastAsia="sk-SK"/>
        </w:rPr>
        <w:t xml:space="preserve"> </w:t>
      </w:r>
      <w:r w:rsidRPr="00A7518E">
        <w:rPr>
          <w:rFonts w:eastAsia="Times New Roman" w:cs="Segoe UI"/>
          <w:b/>
          <w:szCs w:val="20"/>
          <w:lang w:eastAsia="sk-SK"/>
        </w:rPr>
        <w:t xml:space="preserve">dosiahli vyšší medziročný rast </w:t>
      </w:r>
      <w:r w:rsidRPr="00A7518E">
        <w:rPr>
          <w:rFonts w:eastAsia="Times New Roman" w:cs="Segoe UI"/>
          <w:szCs w:val="20"/>
          <w:lang w:eastAsia="sk-SK"/>
        </w:rPr>
        <w:t xml:space="preserve">(12,3 %) </w:t>
      </w:r>
      <w:r w:rsidRPr="00A7518E">
        <w:rPr>
          <w:rFonts w:eastAsia="Times New Roman" w:cs="Segoe UI"/>
          <w:b/>
          <w:szCs w:val="20"/>
          <w:lang w:eastAsia="sk-SK"/>
        </w:rPr>
        <w:t>než príjmy</w:t>
      </w:r>
      <w:r w:rsidRPr="00A7518E">
        <w:rPr>
          <w:rFonts w:eastAsia="Times New Roman" w:cs="Segoe UI"/>
          <w:szCs w:val="20"/>
          <w:lang w:eastAsia="sk-SK"/>
        </w:rPr>
        <w:t xml:space="preserve"> (7,2 %). </w:t>
      </w:r>
      <w:r w:rsidRPr="00A7518E">
        <w:rPr>
          <w:rFonts w:cs="Times New Roman"/>
          <w:szCs w:val="20"/>
        </w:rPr>
        <w:t xml:space="preserve">Výdavky boli alokované na implementáciu projektov modernizácie stredných škôl, na obnovu dopravných prostriedkov, na realizáciu stavieb a ich technické zhodnotenie, na obstaranie prevádzkových strojov a zariadení, na výstavbu a rekonštrukcie ciest 1. a 2. triedy a modernizácie mostných objektov. </w:t>
      </w:r>
    </w:p>
    <w:p w14:paraId="0E0A8B67" w14:textId="5F20E598" w:rsidR="005E667F" w:rsidRDefault="005E667F" w:rsidP="005E667F">
      <w:pPr>
        <w:rPr>
          <w:rFonts w:cs="Times New Roman"/>
          <w:szCs w:val="20"/>
        </w:rPr>
      </w:pPr>
      <w:r w:rsidRPr="00822876">
        <w:rPr>
          <w:rFonts w:eastAsia="Times New Roman" w:cs="Segoe UI"/>
          <w:b/>
          <w:szCs w:val="20"/>
          <w:lang w:eastAsia="sk-SK"/>
        </w:rPr>
        <w:t xml:space="preserve">Kapitálové </w:t>
      </w:r>
      <w:r w:rsidRPr="00821C28">
        <w:rPr>
          <w:rFonts w:eastAsia="Times New Roman" w:cs="Segoe UI"/>
          <w:b/>
          <w:szCs w:val="20"/>
          <w:lang w:eastAsia="sk-SK"/>
        </w:rPr>
        <w:t xml:space="preserve">výdavky </w:t>
      </w:r>
      <w:r w:rsidR="00821C28">
        <w:rPr>
          <w:rFonts w:eastAsia="Times New Roman" w:cs="Segoe UI"/>
          <w:b/>
          <w:szCs w:val="20"/>
          <w:lang w:eastAsia="sk-SK"/>
        </w:rPr>
        <w:t xml:space="preserve">VÚC </w:t>
      </w:r>
      <w:r w:rsidRPr="00821C28">
        <w:rPr>
          <w:rFonts w:eastAsia="Times New Roman" w:cs="Segoe UI"/>
          <w:b/>
          <w:szCs w:val="20"/>
          <w:lang w:eastAsia="sk-SK"/>
        </w:rPr>
        <w:t>v</w:t>
      </w:r>
      <w:r w:rsidR="00821C28">
        <w:rPr>
          <w:rFonts w:eastAsia="Times New Roman" w:cs="Segoe UI"/>
          <w:b/>
          <w:szCs w:val="20"/>
          <w:lang w:eastAsia="sk-SK"/>
        </w:rPr>
        <w:t xml:space="preserve"> roku </w:t>
      </w:r>
      <w:r w:rsidRPr="00821C28">
        <w:rPr>
          <w:rFonts w:eastAsia="Times New Roman" w:cs="Segoe UI"/>
          <w:b/>
          <w:szCs w:val="20"/>
          <w:lang w:eastAsia="sk-SK"/>
        </w:rPr>
        <w:t>2022 vzrástli medziročne o 48 %.</w:t>
      </w:r>
      <w:r w:rsidRPr="00822876">
        <w:rPr>
          <w:rFonts w:eastAsia="Times New Roman" w:cs="Segoe UI"/>
          <w:szCs w:val="20"/>
          <w:lang w:eastAsia="sk-SK"/>
        </w:rPr>
        <w:t xml:space="preserve"> </w:t>
      </w:r>
      <w:r w:rsidR="00821C28">
        <w:rPr>
          <w:rFonts w:eastAsia="Times New Roman" w:cs="Segoe UI"/>
          <w:szCs w:val="20"/>
          <w:lang w:eastAsia="sk-SK"/>
        </w:rPr>
        <w:t>Tento rast</w:t>
      </w:r>
      <w:r w:rsidRPr="00822876">
        <w:rPr>
          <w:rFonts w:eastAsia="Times New Roman" w:cs="Segoe UI"/>
          <w:szCs w:val="20"/>
          <w:lang w:eastAsia="sk-SK"/>
        </w:rPr>
        <w:t xml:space="preserve"> súvisel s </w:t>
      </w:r>
      <w:r w:rsidRPr="00822876">
        <w:rPr>
          <w:rFonts w:cs="Times New Roman"/>
          <w:szCs w:val="20"/>
        </w:rPr>
        <w:t xml:space="preserve">časovým posunom realizácie plánovaných investičných akcií z predchádzajúceho roka, zdĺhavými </w:t>
      </w:r>
      <w:r w:rsidRPr="0060139B">
        <w:rPr>
          <w:rFonts w:cs="Times New Roman"/>
          <w:szCs w:val="20"/>
        </w:rPr>
        <w:t>proces</w:t>
      </w:r>
      <w:r>
        <w:rPr>
          <w:rFonts w:cs="Times New Roman"/>
          <w:szCs w:val="20"/>
        </w:rPr>
        <w:t>mi</w:t>
      </w:r>
      <w:r w:rsidRPr="0060139B">
        <w:rPr>
          <w:rFonts w:cs="Times New Roman"/>
          <w:szCs w:val="20"/>
        </w:rPr>
        <w:t xml:space="preserve"> </w:t>
      </w:r>
      <w:r w:rsidR="00821C28">
        <w:rPr>
          <w:rFonts w:cs="Times New Roman"/>
          <w:szCs w:val="20"/>
        </w:rPr>
        <w:t>VO</w:t>
      </w:r>
      <w:r>
        <w:rPr>
          <w:rFonts w:cs="Times New Roman"/>
          <w:szCs w:val="20"/>
        </w:rPr>
        <w:t xml:space="preserve"> a </w:t>
      </w:r>
      <w:r w:rsidRPr="00872B49">
        <w:rPr>
          <w:rFonts w:eastAsia="Times New Roman" w:cs="Segoe UI"/>
          <w:szCs w:val="20"/>
          <w:lang w:eastAsia="sk-SK"/>
        </w:rPr>
        <w:t xml:space="preserve">s postupným dočerpávaním </w:t>
      </w:r>
      <w:r w:rsidR="00821C28">
        <w:rPr>
          <w:rFonts w:eastAsia="Times New Roman" w:cs="Segoe UI"/>
          <w:szCs w:val="20"/>
          <w:lang w:eastAsia="sk-SK"/>
        </w:rPr>
        <w:t xml:space="preserve">zdrojov </w:t>
      </w:r>
      <w:r w:rsidRPr="00872B49">
        <w:rPr>
          <w:rFonts w:eastAsia="Times New Roman" w:cs="Segoe UI"/>
          <w:szCs w:val="20"/>
          <w:lang w:eastAsia="sk-SK"/>
        </w:rPr>
        <w:t>EÚ na naplánované projekty</w:t>
      </w:r>
      <w:r>
        <w:rPr>
          <w:rFonts w:eastAsia="Times New Roman" w:cs="Segoe UI"/>
          <w:szCs w:val="20"/>
          <w:lang w:eastAsia="sk-SK"/>
        </w:rPr>
        <w:t>. Zároveň zvýšené kapitálové výdavky vykazujú súvis aj v rámci volebných rokov.</w:t>
      </w:r>
    </w:p>
    <w:p w14:paraId="3638FFE0" w14:textId="77777777" w:rsidR="002363F5" w:rsidRDefault="002363F5" w:rsidP="002C027A">
      <w:pPr>
        <w:pStyle w:val="vodZverZhrnutie"/>
      </w:pPr>
      <w:bookmarkStart w:id="46" w:name="_Toc136418418"/>
      <w:r>
        <w:lastRenderedPageBreak/>
        <w:t>Tabuľková príloha</w:t>
      </w:r>
      <w:bookmarkEnd w:id="46"/>
    </w:p>
    <w:p w14:paraId="51AC541B" w14:textId="77777777" w:rsidR="005074F1" w:rsidRDefault="005074F1" w:rsidP="005074F1">
      <w:pPr>
        <w:pStyle w:val="Popis"/>
        <w:keepNext/>
        <w:spacing w:after="120"/>
      </w:pPr>
      <w:r>
        <w:t>Tabuľka 1: Porovnanie m</w:t>
      </w:r>
      <w:r w:rsidRPr="004F4CD7">
        <w:t>akroekonomick</w:t>
      </w:r>
      <w:r>
        <w:t>ej</w:t>
      </w:r>
      <w:r w:rsidRPr="004F4CD7">
        <w:t xml:space="preserve"> pr</w:t>
      </w:r>
      <w:r>
        <w:t>ognózy rozpočtu VS na rok 2021 so skutočnosťou</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992"/>
        <w:gridCol w:w="992"/>
        <w:gridCol w:w="992"/>
        <w:gridCol w:w="1132"/>
      </w:tblGrid>
      <w:tr w:rsidR="005074F1" w:rsidRPr="00950EDF" w14:paraId="5881C25F" w14:textId="77777777" w:rsidTr="00C119D8">
        <w:trPr>
          <w:trHeight w:val="255"/>
          <w:tblHeader/>
        </w:trPr>
        <w:tc>
          <w:tcPr>
            <w:tcW w:w="2735" w:type="pct"/>
            <w:shd w:val="clear" w:color="auto" w:fill="314364" w:themeFill="text2"/>
            <w:vAlign w:val="center"/>
          </w:tcPr>
          <w:p w14:paraId="5B2369B9" w14:textId="77777777" w:rsidR="005074F1" w:rsidRPr="00950EDF" w:rsidRDefault="005074F1" w:rsidP="00C119D8">
            <w:pPr>
              <w:pStyle w:val="Bezriadkovania"/>
              <w:rPr>
                <w:rFonts w:ascii="Segoe UI" w:hAnsi="Segoe UI" w:cs="Segoe UI"/>
                <w:b/>
                <w:color w:val="FFFFFF" w:themeColor="background1"/>
                <w:sz w:val="18"/>
                <w:szCs w:val="18"/>
              </w:rPr>
            </w:pPr>
            <w:r w:rsidRPr="00950EDF">
              <w:rPr>
                <w:rFonts w:ascii="Segoe UI" w:hAnsi="Segoe UI" w:cs="Segoe UI"/>
                <w:b/>
                <w:color w:val="FFFFFF" w:themeColor="background1"/>
                <w:sz w:val="18"/>
                <w:szCs w:val="18"/>
              </w:rPr>
              <w:t>Ukazovateľ (rast v %, ak nie je uvedené inak)</w:t>
            </w:r>
          </w:p>
        </w:tc>
        <w:tc>
          <w:tcPr>
            <w:tcW w:w="547" w:type="pct"/>
            <w:shd w:val="clear" w:color="auto" w:fill="314364" w:themeFill="text2"/>
            <w:vAlign w:val="center"/>
          </w:tcPr>
          <w:p w14:paraId="789BB6D8" w14:textId="77777777" w:rsidR="005074F1" w:rsidRPr="00950EDF" w:rsidRDefault="005074F1" w:rsidP="00C119D8">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2021 S</w:t>
            </w:r>
          </w:p>
        </w:tc>
        <w:tc>
          <w:tcPr>
            <w:tcW w:w="547" w:type="pct"/>
            <w:shd w:val="clear" w:color="auto" w:fill="314364" w:themeFill="text2"/>
            <w:vAlign w:val="center"/>
          </w:tcPr>
          <w:p w14:paraId="08C2781B" w14:textId="77777777" w:rsidR="005074F1" w:rsidRPr="00950EDF" w:rsidRDefault="005074F1" w:rsidP="00C119D8">
            <w:pPr>
              <w:pStyle w:val="Bezriadkovania"/>
              <w:jc w:val="right"/>
              <w:rPr>
                <w:rFonts w:ascii="Segoe UI" w:hAnsi="Segoe UI" w:cs="Segoe UI"/>
                <w:b/>
                <w:color w:val="FFFFFF" w:themeColor="background1"/>
                <w:sz w:val="18"/>
                <w:szCs w:val="18"/>
              </w:rPr>
            </w:pPr>
            <w:r w:rsidRPr="00950EDF">
              <w:rPr>
                <w:rFonts w:ascii="Segoe UI" w:hAnsi="Segoe UI" w:cs="Segoe UI"/>
                <w:b/>
                <w:color w:val="FFFFFF" w:themeColor="background1"/>
                <w:sz w:val="18"/>
                <w:szCs w:val="18"/>
              </w:rPr>
              <w:t>20</w:t>
            </w:r>
            <w:r>
              <w:rPr>
                <w:rFonts w:ascii="Segoe UI" w:hAnsi="Segoe UI" w:cs="Segoe UI"/>
                <w:b/>
                <w:color w:val="FFFFFF" w:themeColor="background1"/>
                <w:sz w:val="18"/>
                <w:szCs w:val="18"/>
              </w:rPr>
              <w:t>22 R</w:t>
            </w:r>
          </w:p>
        </w:tc>
        <w:tc>
          <w:tcPr>
            <w:tcW w:w="547" w:type="pct"/>
            <w:shd w:val="clear" w:color="auto" w:fill="314364" w:themeFill="text2"/>
            <w:vAlign w:val="center"/>
          </w:tcPr>
          <w:p w14:paraId="27864C32" w14:textId="77777777" w:rsidR="005074F1" w:rsidRPr="00950EDF" w:rsidRDefault="005074F1" w:rsidP="00C119D8">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2022 S</w:t>
            </w:r>
          </w:p>
        </w:tc>
        <w:tc>
          <w:tcPr>
            <w:tcW w:w="624" w:type="pct"/>
            <w:shd w:val="clear" w:color="auto" w:fill="314364" w:themeFill="text2"/>
            <w:vAlign w:val="center"/>
          </w:tcPr>
          <w:p w14:paraId="6625F054" w14:textId="77777777" w:rsidR="005074F1" w:rsidRPr="00950EDF" w:rsidRDefault="005074F1" w:rsidP="00C119D8">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22S - 22R</w:t>
            </w:r>
          </w:p>
        </w:tc>
      </w:tr>
      <w:tr w:rsidR="005074F1" w:rsidRPr="00950EDF" w14:paraId="404BDF8E" w14:textId="77777777" w:rsidTr="00C119D8">
        <w:trPr>
          <w:trHeight w:val="255"/>
        </w:trPr>
        <w:tc>
          <w:tcPr>
            <w:tcW w:w="2735" w:type="pct"/>
            <w:vAlign w:val="center"/>
          </w:tcPr>
          <w:p w14:paraId="050A9A05" w14:textId="77777777" w:rsidR="005074F1" w:rsidRPr="00950EDF" w:rsidRDefault="005074F1" w:rsidP="00C119D8">
            <w:pPr>
              <w:pStyle w:val="Bezriadkovania"/>
              <w:rPr>
                <w:rFonts w:ascii="Segoe UI" w:hAnsi="Segoe UI" w:cs="Segoe UI"/>
                <w:b/>
                <w:sz w:val="18"/>
                <w:szCs w:val="18"/>
              </w:rPr>
            </w:pPr>
            <w:r w:rsidRPr="00950EDF">
              <w:rPr>
                <w:rFonts w:ascii="Segoe UI" w:hAnsi="Segoe UI" w:cs="Segoe UI"/>
                <w:b/>
                <w:sz w:val="18"/>
                <w:szCs w:val="18"/>
              </w:rPr>
              <w:t>Hrubý domáci produkt</w:t>
            </w:r>
          </w:p>
        </w:tc>
        <w:tc>
          <w:tcPr>
            <w:tcW w:w="547" w:type="pct"/>
            <w:vAlign w:val="center"/>
          </w:tcPr>
          <w:p w14:paraId="02C36DB0" w14:textId="77777777" w:rsidR="005074F1" w:rsidRPr="00950EDF" w:rsidRDefault="005074F1" w:rsidP="00C119D8">
            <w:pPr>
              <w:pStyle w:val="Bezriadkovania"/>
              <w:jc w:val="right"/>
              <w:rPr>
                <w:rFonts w:ascii="Segoe UI" w:hAnsi="Segoe UI" w:cs="Segoe UI"/>
                <w:sz w:val="18"/>
                <w:szCs w:val="18"/>
              </w:rPr>
            </w:pPr>
          </w:p>
        </w:tc>
        <w:tc>
          <w:tcPr>
            <w:tcW w:w="547" w:type="pct"/>
            <w:vAlign w:val="center"/>
          </w:tcPr>
          <w:p w14:paraId="1E53B170" w14:textId="77777777" w:rsidR="005074F1" w:rsidRPr="00950EDF" w:rsidRDefault="005074F1" w:rsidP="00C119D8">
            <w:pPr>
              <w:pStyle w:val="Bezriadkovania"/>
              <w:jc w:val="right"/>
              <w:rPr>
                <w:rFonts w:ascii="Segoe UI" w:hAnsi="Segoe UI" w:cs="Segoe UI"/>
                <w:sz w:val="18"/>
                <w:szCs w:val="18"/>
              </w:rPr>
            </w:pPr>
          </w:p>
        </w:tc>
        <w:tc>
          <w:tcPr>
            <w:tcW w:w="547" w:type="pct"/>
            <w:vAlign w:val="center"/>
          </w:tcPr>
          <w:p w14:paraId="0BCAC785" w14:textId="77777777" w:rsidR="005074F1" w:rsidRPr="00950EDF" w:rsidRDefault="005074F1" w:rsidP="00C119D8">
            <w:pPr>
              <w:pStyle w:val="Bezriadkovania"/>
              <w:jc w:val="right"/>
              <w:rPr>
                <w:rFonts w:ascii="Segoe UI" w:hAnsi="Segoe UI" w:cs="Segoe UI"/>
                <w:sz w:val="18"/>
                <w:szCs w:val="18"/>
              </w:rPr>
            </w:pPr>
          </w:p>
        </w:tc>
        <w:tc>
          <w:tcPr>
            <w:tcW w:w="624" w:type="pct"/>
            <w:vAlign w:val="center"/>
          </w:tcPr>
          <w:p w14:paraId="7D54FBC6" w14:textId="77777777" w:rsidR="005074F1" w:rsidRPr="00950EDF" w:rsidRDefault="005074F1" w:rsidP="00C119D8">
            <w:pPr>
              <w:pStyle w:val="Bezriadkovania"/>
              <w:jc w:val="right"/>
              <w:rPr>
                <w:rFonts w:ascii="Segoe UI" w:hAnsi="Segoe UI" w:cs="Segoe UI"/>
                <w:sz w:val="18"/>
                <w:szCs w:val="18"/>
              </w:rPr>
            </w:pPr>
          </w:p>
        </w:tc>
      </w:tr>
      <w:tr w:rsidR="005074F1" w:rsidRPr="00950EDF" w14:paraId="7485DD7D" w14:textId="77777777" w:rsidTr="00C119D8">
        <w:trPr>
          <w:trHeight w:val="255"/>
        </w:trPr>
        <w:tc>
          <w:tcPr>
            <w:tcW w:w="2735" w:type="pct"/>
            <w:vAlign w:val="center"/>
          </w:tcPr>
          <w:p w14:paraId="39CC118B"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 xml:space="preserve">HDP, </w:t>
            </w:r>
            <w:proofErr w:type="spellStart"/>
            <w:r w:rsidRPr="00950EDF">
              <w:rPr>
                <w:rFonts w:ascii="Segoe UI" w:hAnsi="Segoe UI" w:cs="Segoe UI"/>
                <w:sz w:val="18"/>
                <w:szCs w:val="18"/>
              </w:rPr>
              <w:t>s.c</w:t>
            </w:r>
            <w:proofErr w:type="spellEnd"/>
            <w:r w:rsidRPr="00950EDF">
              <w:rPr>
                <w:rFonts w:ascii="Segoe UI" w:hAnsi="Segoe UI" w:cs="Segoe UI"/>
                <w:sz w:val="18"/>
                <w:szCs w:val="18"/>
              </w:rPr>
              <w:t>. (YoY zmena)</w:t>
            </w:r>
          </w:p>
        </w:tc>
        <w:tc>
          <w:tcPr>
            <w:tcW w:w="547" w:type="pct"/>
            <w:vAlign w:val="center"/>
          </w:tcPr>
          <w:p w14:paraId="64C9DBDC"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3,02</w:t>
            </w:r>
          </w:p>
        </w:tc>
        <w:tc>
          <w:tcPr>
            <w:tcW w:w="547" w:type="pct"/>
            <w:vAlign w:val="center"/>
          </w:tcPr>
          <w:p w14:paraId="2F046303"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4,21</w:t>
            </w:r>
          </w:p>
        </w:tc>
        <w:tc>
          <w:tcPr>
            <w:tcW w:w="547" w:type="pct"/>
            <w:vAlign w:val="center"/>
          </w:tcPr>
          <w:p w14:paraId="565726A2"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1,72</w:t>
            </w:r>
          </w:p>
        </w:tc>
        <w:tc>
          <w:tcPr>
            <w:tcW w:w="624" w:type="pct"/>
          </w:tcPr>
          <w:p w14:paraId="6871E5B2"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-2,49</w:t>
            </w:r>
          </w:p>
        </w:tc>
      </w:tr>
      <w:tr w:rsidR="005074F1" w:rsidRPr="00950EDF" w14:paraId="1CB92986" w14:textId="77777777" w:rsidTr="00C119D8">
        <w:trPr>
          <w:trHeight w:val="255"/>
        </w:trPr>
        <w:tc>
          <w:tcPr>
            <w:tcW w:w="2735" w:type="pct"/>
            <w:vAlign w:val="center"/>
          </w:tcPr>
          <w:p w14:paraId="4E8EFFF7"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 xml:space="preserve">HDP, </w:t>
            </w:r>
            <w:proofErr w:type="spellStart"/>
            <w:r w:rsidRPr="00950EDF">
              <w:rPr>
                <w:rFonts w:ascii="Segoe UI" w:hAnsi="Segoe UI" w:cs="Segoe UI"/>
                <w:sz w:val="18"/>
                <w:szCs w:val="18"/>
              </w:rPr>
              <w:t>b.c</w:t>
            </w:r>
            <w:proofErr w:type="spellEnd"/>
            <w:r w:rsidRPr="00950EDF">
              <w:rPr>
                <w:rFonts w:ascii="Segoe UI" w:hAnsi="Segoe UI" w:cs="Segoe UI"/>
                <w:sz w:val="18"/>
                <w:szCs w:val="18"/>
              </w:rPr>
              <w:t>. (mld. eur)</w:t>
            </w:r>
          </w:p>
        </w:tc>
        <w:tc>
          <w:tcPr>
            <w:tcW w:w="547" w:type="pct"/>
            <w:vAlign w:val="center"/>
          </w:tcPr>
          <w:p w14:paraId="5EFE94CC"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97,12</w:t>
            </w:r>
          </w:p>
        </w:tc>
        <w:tc>
          <w:tcPr>
            <w:tcW w:w="547" w:type="pct"/>
            <w:vAlign w:val="center"/>
          </w:tcPr>
          <w:p w14:paraId="679F4FCA"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104,93</w:t>
            </w:r>
          </w:p>
        </w:tc>
        <w:tc>
          <w:tcPr>
            <w:tcW w:w="547" w:type="pct"/>
            <w:vAlign w:val="center"/>
          </w:tcPr>
          <w:p w14:paraId="65C4F7FC"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107,77</w:t>
            </w:r>
          </w:p>
        </w:tc>
        <w:tc>
          <w:tcPr>
            <w:tcW w:w="624" w:type="pct"/>
          </w:tcPr>
          <w:p w14:paraId="506A6533"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2,84</w:t>
            </w:r>
          </w:p>
        </w:tc>
      </w:tr>
      <w:tr w:rsidR="005074F1" w:rsidRPr="00950EDF" w14:paraId="73E87C60" w14:textId="77777777" w:rsidTr="00C119D8">
        <w:trPr>
          <w:trHeight w:val="255"/>
        </w:trPr>
        <w:tc>
          <w:tcPr>
            <w:tcW w:w="2735" w:type="pct"/>
            <w:vAlign w:val="center"/>
          </w:tcPr>
          <w:p w14:paraId="067AC4E9"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Súkromná spotreba</w:t>
            </w:r>
          </w:p>
        </w:tc>
        <w:tc>
          <w:tcPr>
            <w:tcW w:w="547" w:type="pct"/>
            <w:vAlign w:val="center"/>
          </w:tcPr>
          <w:p w14:paraId="2EE0E035"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1,18</w:t>
            </w:r>
          </w:p>
        </w:tc>
        <w:tc>
          <w:tcPr>
            <w:tcW w:w="547" w:type="pct"/>
            <w:vAlign w:val="center"/>
          </w:tcPr>
          <w:p w14:paraId="040628A0"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2,40</w:t>
            </w:r>
          </w:p>
        </w:tc>
        <w:tc>
          <w:tcPr>
            <w:tcW w:w="547" w:type="pct"/>
            <w:vAlign w:val="center"/>
          </w:tcPr>
          <w:p w14:paraId="7B512DA8"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4,49</w:t>
            </w:r>
          </w:p>
        </w:tc>
        <w:tc>
          <w:tcPr>
            <w:tcW w:w="624" w:type="pct"/>
          </w:tcPr>
          <w:p w14:paraId="74517453"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2,09</w:t>
            </w:r>
          </w:p>
        </w:tc>
      </w:tr>
      <w:tr w:rsidR="005074F1" w:rsidRPr="00950EDF" w14:paraId="02715DFC" w14:textId="77777777" w:rsidTr="00C119D8">
        <w:trPr>
          <w:trHeight w:val="255"/>
        </w:trPr>
        <w:tc>
          <w:tcPr>
            <w:tcW w:w="2735" w:type="pct"/>
            <w:vAlign w:val="center"/>
          </w:tcPr>
          <w:p w14:paraId="38F86231"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 xml:space="preserve">Súkromná spotreba, </w:t>
            </w:r>
            <w:proofErr w:type="spellStart"/>
            <w:r w:rsidRPr="00950EDF">
              <w:rPr>
                <w:rFonts w:ascii="Segoe UI" w:hAnsi="Segoe UI" w:cs="Segoe UI"/>
                <w:sz w:val="18"/>
                <w:szCs w:val="18"/>
              </w:rPr>
              <w:t>b.c</w:t>
            </w:r>
            <w:proofErr w:type="spellEnd"/>
            <w:r w:rsidRPr="00950EDF">
              <w:rPr>
                <w:rFonts w:ascii="Segoe UI" w:hAnsi="Segoe UI" w:cs="Segoe UI"/>
                <w:sz w:val="18"/>
                <w:szCs w:val="18"/>
              </w:rPr>
              <w:t>.</w:t>
            </w:r>
          </w:p>
        </w:tc>
        <w:tc>
          <w:tcPr>
            <w:tcW w:w="547" w:type="pct"/>
            <w:vAlign w:val="center"/>
          </w:tcPr>
          <w:p w14:paraId="2BDBBA42"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4,47</w:t>
            </w:r>
          </w:p>
        </w:tc>
        <w:tc>
          <w:tcPr>
            <w:tcW w:w="547" w:type="pct"/>
            <w:vAlign w:val="center"/>
          </w:tcPr>
          <w:p w14:paraId="27854241"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6,89</w:t>
            </w:r>
          </w:p>
        </w:tc>
        <w:tc>
          <w:tcPr>
            <w:tcW w:w="547" w:type="pct"/>
            <w:vAlign w:val="center"/>
          </w:tcPr>
          <w:p w14:paraId="3E4B8E02"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18,39</w:t>
            </w:r>
          </w:p>
        </w:tc>
        <w:tc>
          <w:tcPr>
            <w:tcW w:w="624" w:type="pct"/>
          </w:tcPr>
          <w:p w14:paraId="7393A6C2"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11,5</w:t>
            </w:r>
          </w:p>
        </w:tc>
      </w:tr>
      <w:tr w:rsidR="005074F1" w:rsidRPr="00950EDF" w14:paraId="57D844D5" w14:textId="77777777" w:rsidTr="00C119D8">
        <w:trPr>
          <w:trHeight w:val="255"/>
        </w:trPr>
        <w:tc>
          <w:tcPr>
            <w:tcW w:w="2735" w:type="pct"/>
            <w:vAlign w:val="center"/>
          </w:tcPr>
          <w:p w14:paraId="522F499D"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Vládna spotreba</w:t>
            </w:r>
          </w:p>
        </w:tc>
        <w:tc>
          <w:tcPr>
            <w:tcW w:w="547" w:type="pct"/>
            <w:vAlign w:val="center"/>
          </w:tcPr>
          <w:p w14:paraId="7B27E74C"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1,91</w:t>
            </w:r>
          </w:p>
        </w:tc>
        <w:tc>
          <w:tcPr>
            <w:tcW w:w="547" w:type="pct"/>
            <w:vAlign w:val="center"/>
          </w:tcPr>
          <w:p w14:paraId="44E14898"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4,08</w:t>
            </w:r>
          </w:p>
        </w:tc>
        <w:tc>
          <w:tcPr>
            <w:tcW w:w="547" w:type="pct"/>
            <w:vAlign w:val="center"/>
          </w:tcPr>
          <w:p w14:paraId="11AABDF9"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-2,47</w:t>
            </w:r>
          </w:p>
        </w:tc>
        <w:tc>
          <w:tcPr>
            <w:tcW w:w="624" w:type="pct"/>
          </w:tcPr>
          <w:p w14:paraId="5E46A942"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-6,55</w:t>
            </w:r>
          </w:p>
        </w:tc>
      </w:tr>
      <w:tr w:rsidR="005074F1" w:rsidRPr="00950EDF" w14:paraId="47A52D3E" w14:textId="77777777" w:rsidTr="00C119D8">
        <w:trPr>
          <w:trHeight w:val="255"/>
        </w:trPr>
        <w:tc>
          <w:tcPr>
            <w:tcW w:w="2735" w:type="pct"/>
            <w:vAlign w:val="center"/>
          </w:tcPr>
          <w:p w14:paraId="1ED582E3"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Fixné investície</w:t>
            </w:r>
          </w:p>
        </w:tc>
        <w:tc>
          <w:tcPr>
            <w:tcW w:w="547" w:type="pct"/>
            <w:vAlign w:val="center"/>
          </w:tcPr>
          <w:p w14:paraId="000AFA56"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0,55</w:t>
            </w:r>
          </w:p>
        </w:tc>
        <w:tc>
          <w:tcPr>
            <w:tcW w:w="547" w:type="pct"/>
            <w:vAlign w:val="center"/>
          </w:tcPr>
          <w:p w14:paraId="40326DBD"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16,67</w:t>
            </w:r>
          </w:p>
        </w:tc>
        <w:tc>
          <w:tcPr>
            <w:tcW w:w="547" w:type="pct"/>
            <w:vAlign w:val="center"/>
          </w:tcPr>
          <w:p w14:paraId="69A8C3DA"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6,62</w:t>
            </w:r>
          </w:p>
        </w:tc>
        <w:tc>
          <w:tcPr>
            <w:tcW w:w="624" w:type="pct"/>
          </w:tcPr>
          <w:p w14:paraId="0A6E61A8"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-10,05</w:t>
            </w:r>
          </w:p>
        </w:tc>
      </w:tr>
      <w:tr w:rsidR="005074F1" w:rsidRPr="00950EDF" w14:paraId="3833F697" w14:textId="77777777" w:rsidTr="00C119D8">
        <w:trPr>
          <w:trHeight w:val="255"/>
        </w:trPr>
        <w:tc>
          <w:tcPr>
            <w:tcW w:w="2735" w:type="pct"/>
            <w:vAlign w:val="center"/>
          </w:tcPr>
          <w:p w14:paraId="26C57ABE"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Export tovarov a služieb</w:t>
            </w:r>
          </w:p>
        </w:tc>
        <w:tc>
          <w:tcPr>
            <w:tcW w:w="547" w:type="pct"/>
            <w:vAlign w:val="center"/>
          </w:tcPr>
          <w:p w14:paraId="01028EFD"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10,23</w:t>
            </w:r>
          </w:p>
        </w:tc>
        <w:tc>
          <w:tcPr>
            <w:tcW w:w="547" w:type="pct"/>
            <w:vAlign w:val="center"/>
          </w:tcPr>
          <w:p w14:paraId="5A3429B8"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3,10</w:t>
            </w:r>
          </w:p>
        </w:tc>
        <w:tc>
          <w:tcPr>
            <w:tcW w:w="547" w:type="pct"/>
            <w:vAlign w:val="center"/>
          </w:tcPr>
          <w:p w14:paraId="1E315F53"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0,26</w:t>
            </w:r>
          </w:p>
        </w:tc>
        <w:tc>
          <w:tcPr>
            <w:tcW w:w="624" w:type="pct"/>
          </w:tcPr>
          <w:p w14:paraId="6722AC2C"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-2,84</w:t>
            </w:r>
          </w:p>
        </w:tc>
      </w:tr>
      <w:tr w:rsidR="005074F1" w:rsidRPr="00950EDF" w14:paraId="4D3B83EC" w14:textId="77777777" w:rsidTr="00C119D8">
        <w:trPr>
          <w:trHeight w:val="255"/>
        </w:trPr>
        <w:tc>
          <w:tcPr>
            <w:tcW w:w="2735" w:type="pct"/>
            <w:tcBorders>
              <w:bottom w:val="single" w:sz="4" w:space="0" w:color="314364" w:themeColor="text2"/>
            </w:tcBorders>
            <w:vAlign w:val="center"/>
          </w:tcPr>
          <w:p w14:paraId="3C87DA32"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Import tovarov a služieb</w:t>
            </w:r>
          </w:p>
        </w:tc>
        <w:tc>
          <w:tcPr>
            <w:tcW w:w="547" w:type="pct"/>
            <w:tcBorders>
              <w:bottom w:val="single" w:sz="4" w:space="0" w:color="314364" w:themeColor="text2"/>
            </w:tcBorders>
            <w:vAlign w:val="center"/>
          </w:tcPr>
          <w:p w14:paraId="42CA73C0"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11,25</w:t>
            </w:r>
          </w:p>
        </w:tc>
        <w:tc>
          <w:tcPr>
            <w:tcW w:w="547" w:type="pct"/>
            <w:tcBorders>
              <w:bottom w:val="single" w:sz="4" w:space="0" w:color="314364" w:themeColor="text2"/>
            </w:tcBorders>
            <w:vAlign w:val="center"/>
          </w:tcPr>
          <w:p w14:paraId="6BC76071"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3,88</w:t>
            </w:r>
          </w:p>
        </w:tc>
        <w:tc>
          <w:tcPr>
            <w:tcW w:w="547" w:type="pct"/>
            <w:tcBorders>
              <w:bottom w:val="single" w:sz="4" w:space="0" w:color="314364" w:themeColor="text2"/>
            </w:tcBorders>
            <w:vAlign w:val="center"/>
          </w:tcPr>
          <w:p w14:paraId="5ACBCB21"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1,11</w:t>
            </w:r>
          </w:p>
        </w:tc>
        <w:tc>
          <w:tcPr>
            <w:tcW w:w="624" w:type="pct"/>
            <w:tcBorders>
              <w:bottom w:val="single" w:sz="4" w:space="0" w:color="314364" w:themeColor="text2"/>
            </w:tcBorders>
          </w:tcPr>
          <w:p w14:paraId="573CA966"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-2,77</w:t>
            </w:r>
          </w:p>
        </w:tc>
      </w:tr>
      <w:tr w:rsidR="005074F1" w:rsidRPr="00950EDF" w14:paraId="1E00FF51" w14:textId="77777777" w:rsidTr="00C119D8">
        <w:trPr>
          <w:trHeight w:val="255"/>
        </w:trPr>
        <w:tc>
          <w:tcPr>
            <w:tcW w:w="2735" w:type="pct"/>
            <w:tcBorders>
              <w:top w:val="single" w:sz="4" w:space="0" w:color="314364" w:themeColor="text2"/>
            </w:tcBorders>
            <w:vAlign w:val="center"/>
          </w:tcPr>
          <w:p w14:paraId="7F40D4B7" w14:textId="77777777" w:rsidR="005074F1" w:rsidRPr="00950EDF" w:rsidRDefault="005074F1" w:rsidP="00C119D8">
            <w:pPr>
              <w:pStyle w:val="Bezriadkovania"/>
              <w:rPr>
                <w:rFonts w:ascii="Segoe UI" w:hAnsi="Segoe UI" w:cs="Segoe UI"/>
                <w:b/>
                <w:sz w:val="18"/>
                <w:szCs w:val="18"/>
              </w:rPr>
            </w:pPr>
            <w:r w:rsidRPr="00950EDF">
              <w:rPr>
                <w:rFonts w:ascii="Segoe UI" w:hAnsi="Segoe UI" w:cs="Segoe UI"/>
                <w:b/>
                <w:sz w:val="18"/>
                <w:szCs w:val="18"/>
              </w:rPr>
              <w:t>Trh práce</w:t>
            </w:r>
          </w:p>
        </w:tc>
        <w:tc>
          <w:tcPr>
            <w:tcW w:w="547" w:type="pct"/>
            <w:tcBorders>
              <w:top w:val="single" w:sz="4" w:space="0" w:color="314364" w:themeColor="text2"/>
            </w:tcBorders>
            <w:vAlign w:val="center"/>
          </w:tcPr>
          <w:p w14:paraId="752D6477" w14:textId="77777777" w:rsidR="005074F1" w:rsidRPr="00950EDF" w:rsidRDefault="005074F1" w:rsidP="00C119D8">
            <w:pPr>
              <w:pStyle w:val="Bezriadkovania"/>
              <w:jc w:val="right"/>
              <w:rPr>
                <w:rFonts w:ascii="Segoe UI" w:hAnsi="Segoe UI" w:cs="Segoe UI"/>
                <w:sz w:val="18"/>
                <w:szCs w:val="18"/>
              </w:rPr>
            </w:pPr>
          </w:p>
        </w:tc>
        <w:tc>
          <w:tcPr>
            <w:tcW w:w="547" w:type="pct"/>
            <w:tcBorders>
              <w:top w:val="single" w:sz="4" w:space="0" w:color="314364" w:themeColor="text2"/>
            </w:tcBorders>
            <w:vAlign w:val="center"/>
          </w:tcPr>
          <w:p w14:paraId="69743053" w14:textId="77777777" w:rsidR="005074F1" w:rsidRPr="00950EDF" w:rsidRDefault="005074F1" w:rsidP="00C119D8">
            <w:pPr>
              <w:pStyle w:val="Bezriadkovania"/>
              <w:jc w:val="right"/>
              <w:rPr>
                <w:rFonts w:ascii="Segoe UI" w:hAnsi="Segoe UI" w:cs="Segoe UI"/>
                <w:sz w:val="18"/>
                <w:szCs w:val="18"/>
              </w:rPr>
            </w:pPr>
          </w:p>
        </w:tc>
        <w:tc>
          <w:tcPr>
            <w:tcW w:w="547" w:type="pct"/>
            <w:tcBorders>
              <w:top w:val="single" w:sz="4" w:space="0" w:color="314364" w:themeColor="text2"/>
            </w:tcBorders>
            <w:vAlign w:val="center"/>
          </w:tcPr>
          <w:p w14:paraId="296ECD2D" w14:textId="77777777" w:rsidR="005074F1" w:rsidRPr="00950EDF" w:rsidRDefault="005074F1" w:rsidP="00C119D8">
            <w:pPr>
              <w:pStyle w:val="Bezriadkovania"/>
              <w:jc w:val="right"/>
              <w:rPr>
                <w:rFonts w:ascii="Segoe UI" w:hAnsi="Segoe UI" w:cs="Segoe UI"/>
                <w:sz w:val="18"/>
                <w:szCs w:val="18"/>
              </w:rPr>
            </w:pPr>
          </w:p>
        </w:tc>
        <w:tc>
          <w:tcPr>
            <w:tcW w:w="624" w:type="pct"/>
            <w:tcBorders>
              <w:top w:val="single" w:sz="4" w:space="0" w:color="314364" w:themeColor="text2"/>
            </w:tcBorders>
          </w:tcPr>
          <w:p w14:paraId="1AC1F5D7" w14:textId="77777777" w:rsidR="005074F1" w:rsidRPr="00950EDF" w:rsidRDefault="005074F1" w:rsidP="00C119D8">
            <w:pPr>
              <w:pStyle w:val="Bezriadkovania"/>
              <w:jc w:val="right"/>
              <w:rPr>
                <w:rFonts w:ascii="Segoe UI" w:hAnsi="Segoe UI" w:cs="Segoe UI"/>
                <w:sz w:val="18"/>
                <w:szCs w:val="18"/>
              </w:rPr>
            </w:pPr>
          </w:p>
        </w:tc>
      </w:tr>
      <w:tr w:rsidR="005074F1" w:rsidRPr="00950EDF" w14:paraId="31CFD969" w14:textId="77777777" w:rsidTr="00C119D8">
        <w:trPr>
          <w:trHeight w:val="255"/>
        </w:trPr>
        <w:tc>
          <w:tcPr>
            <w:tcW w:w="2735" w:type="pct"/>
            <w:vAlign w:val="center"/>
          </w:tcPr>
          <w:p w14:paraId="274F8179"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Zamestnanosť (štatistické výkazníctvo)</w:t>
            </w:r>
          </w:p>
        </w:tc>
        <w:tc>
          <w:tcPr>
            <w:tcW w:w="547" w:type="pct"/>
            <w:vAlign w:val="center"/>
          </w:tcPr>
          <w:p w14:paraId="3026B787"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-0,71</w:t>
            </w:r>
          </w:p>
        </w:tc>
        <w:tc>
          <w:tcPr>
            <w:tcW w:w="547" w:type="pct"/>
            <w:vAlign w:val="center"/>
          </w:tcPr>
          <w:p w14:paraId="585B9533"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0,58</w:t>
            </w:r>
          </w:p>
        </w:tc>
        <w:tc>
          <w:tcPr>
            <w:tcW w:w="547" w:type="pct"/>
            <w:vAlign w:val="center"/>
          </w:tcPr>
          <w:p w14:paraId="4C77B997"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1,66</w:t>
            </w:r>
          </w:p>
        </w:tc>
        <w:tc>
          <w:tcPr>
            <w:tcW w:w="624" w:type="pct"/>
          </w:tcPr>
          <w:p w14:paraId="2817BD8F"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1,08</w:t>
            </w:r>
          </w:p>
        </w:tc>
      </w:tr>
      <w:tr w:rsidR="005074F1" w:rsidRPr="00950EDF" w14:paraId="0C6D7BC9" w14:textId="77777777" w:rsidTr="00C119D8">
        <w:trPr>
          <w:trHeight w:val="255"/>
        </w:trPr>
        <w:tc>
          <w:tcPr>
            <w:tcW w:w="2735" w:type="pct"/>
            <w:vAlign w:val="center"/>
          </w:tcPr>
          <w:p w14:paraId="0DD46F68"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Mzdy, nominálne</w:t>
            </w:r>
          </w:p>
        </w:tc>
        <w:tc>
          <w:tcPr>
            <w:tcW w:w="547" w:type="pct"/>
            <w:vAlign w:val="center"/>
          </w:tcPr>
          <w:p w14:paraId="29C2AF97"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6,88</w:t>
            </w:r>
          </w:p>
        </w:tc>
        <w:tc>
          <w:tcPr>
            <w:tcW w:w="547" w:type="pct"/>
            <w:vAlign w:val="center"/>
          </w:tcPr>
          <w:p w14:paraId="2CD70049"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5,53</w:t>
            </w:r>
          </w:p>
        </w:tc>
        <w:tc>
          <w:tcPr>
            <w:tcW w:w="547" w:type="pct"/>
            <w:vAlign w:val="center"/>
          </w:tcPr>
          <w:p w14:paraId="4F32AE7C"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8,09</w:t>
            </w:r>
          </w:p>
        </w:tc>
        <w:tc>
          <w:tcPr>
            <w:tcW w:w="624" w:type="pct"/>
          </w:tcPr>
          <w:p w14:paraId="665CAD33"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2,56</w:t>
            </w:r>
          </w:p>
        </w:tc>
      </w:tr>
      <w:tr w:rsidR="005074F1" w:rsidRPr="00950EDF" w14:paraId="2EB7BB7E" w14:textId="77777777" w:rsidTr="00C119D8">
        <w:trPr>
          <w:trHeight w:val="255"/>
        </w:trPr>
        <w:tc>
          <w:tcPr>
            <w:tcW w:w="2735" w:type="pct"/>
            <w:vAlign w:val="center"/>
          </w:tcPr>
          <w:p w14:paraId="5F3283F7"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Mzdy, reálne</w:t>
            </w:r>
          </w:p>
        </w:tc>
        <w:tc>
          <w:tcPr>
            <w:tcW w:w="547" w:type="pct"/>
            <w:vAlign w:val="center"/>
          </w:tcPr>
          <w:p w14:paraId="2FFD928B"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3,61</w:t>
            </w:r>
          </w:p>
        </w:tc>
        <w:tc>
          <w:tcPr>
            <w:tcW w:w="547" w:type="pct"/>
            <w:vAlign w:val="center"/>
          </w:tcPr>
          <w:p w14:paraId="2DEBA2FB"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1,30</w:t>
            </w:r>
          </w:p>
        </w:tc>
        <w:tc>
          <w:tcPr>
            <w:tcW w:w="547" w:type="pct"/>
            <w:vAlign w:val="center"/>
          </w:tcPr>
          <w:p w14:paraId="43D851C6"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-4,16</w:t>
            </w:r>
          </w:p>
        </w:tc>
        <w:tc>
          <w:tcPr>
            <w:tcW w:w="624" w:type="pct"/>
          </w:tcPr>
          <w:p w14:paraId="5CC5E38F"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-5,46</w:t>
            </w:r>
          </w:p>
        </w:tc>
      </w:tr>
      <w:tr w:rsidR="005074F1" w:rsidRPr="00950EDF" w14:paraId="799C3B78" w14:textId="77777777" w:rsidTr="00C119D8">
        <w:trPr>
          <w:trHeight w:val="255"/>
        </w:trPr>
        <w:tc>
          <w:tcPr>
            <w:tcW w:w="2735" w:type="pct"/>
            <w:vAlign w:val="center"/>
          </w:tcPr>
          <w:p w14:paraId="59A0A2BE"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Miera nezamestnanosti (VZPS)</w:t>
            </w:r>
          </w:p>
        </w:tc>
        <w:tc>
          <w:tcPr>
            <w:tcW w:w="547" w:type="pct"/>
            <w:vAlign w:val="center"/>
          </w:tcPr>
          <w:p w14:paraId="0290484A"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6,95</w:t>
            </w:r>
          </w:p>
        </w:tc>
        <w:tc>
          <w:tcPr>
            <w:tcW w:w="547" w:type="pct"/>
            <w:vAlign w:val="center"/>
          </w:tcPr>
          <w:p w14:paraId="7431FC9F"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6,72</w:t>
            </w:r>
          </w:p>
        </w:tc>
        <w:tc>
          <w:tcPr>
            <w:tcW w:w="547" w:type="pct"/>
            <w:vAlign w:val="center"/>
          </w:tcPr>
          <w:p w14:paraId="3CB55361"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6,23</w:t>
            </w:r>
          </w:p>
        </w:tc>
        <w:tc>
          <w:tcPr>
            <w:tcW w:w="624" w:type="pct"/>
          </w:tcPr>
          <w:p w14:paraId="134C8523"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-0,49</w:t>
            </w:r>
          </w:p>
        </w:tc>
      </w:tr>
      <w:tr w:rsidR="005074F1" w:rsidRPr="00950EDF" w14:paraId="7BB63FB1" w14:textId="77777777" w:rsidTr="00C119D8">
        <w:trPr>
          <w:trHeight w:val="255"/>
        </w:trPr>
        <w:tc>
          <w:tcPr>
            <w:tcW w:w="2735" w:type="pct"/>
            <w:tcBorders>
              <w:bottom w:val="single" w:sz="4" w:space="0" w:color="314364" w:themeColor="text2"/>
            </w:tcBorders>
            <w:vAlign w:val="center"/>
          </w:tcPr>
          <w:p w14:paraId="79A26DCA"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Celková zamestnanosť (tis. osôb)</w:t>
            </w:r>
          </w:p>
        </w:tc>
        <w:tc>
          <w:tcPr>
            <w:tcW w:w="547" w:type="pct"/>
            <w:tcBorders>
              <w:bottom w:val="single" w:sz="4" w:space="0" w:color="314364" w:themeColor="text2"/>
            </w:tcBorders>
            <w:vAlign w:val="center"/>
          </w:tcPr>
          <w:p w14:paraId="675AE0AE"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2 513,48</w:t>
            </w:r>
          </w:p>
        </w:tc>
        <w:tc>
          <w:tcPr>
            <w:tcW w:w="547" w:type="pct"/>
            <w:tcBorders>
              <w:bottom w:val="single" w:sz="4" w:space="0" w:color="314364" w:themeColor="text2"/>
            </w:tcBorders>
            <w:vAlign w:val="center"/>
          </w:tcPr>
          <w:p w14:paraId="246A6E9F"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2 520,40</w:t>
            </w:r>
          </w:p>
        </w:tc>
        <w:tc>
          <w:tcPr>
            <w:tcW w:w="547" w:type="pct"/>
            <w:tcBorders>
              <w:bottom w:val="single" w:sz="4" w:space="0" w:color="314364" w:themeColor="text2"/>
            </w:tcBorders>
            <w:vAlign w:val="center"/>
          </w:tcPr>
          <w:p w14:paraId="22228375"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2 552,51</w:t>
            </w:r>
          </w:p>
        </w:tc>
        <w:tc>
          <w:tcPr>
            <w:tcW w:w="624" w:type="pct"/>
            <w:tcBorders>
              <w:bottom w:val="single" w:sz="4" w:space="0" w:color="314364" w:themeColor="text2"/>
            </w:tcBorders>
          </w:tcPr>
          <w:p w14:paraId="2119F41A"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32,11</w:t>
            </w:r>
          </w:p>
        </w:tc>
      </w:tr>
      <w:tr w:rsidR="005074F1" w:rsidRPr="00950EDF" w14:paraId="5CCDD0AC" w14:textId="77777777" w:rsidTr="00C119D8">
        <w:trPr>
          <w:trHeight w:val="255"/>
        </w:trPr>
        <w:tc>
          <w:tcPr>
            <w:tcW w:w="2735" w:type="pct"/>
            <w:tcBorders>
              <w:top w:val="single" w:sz="4" w:space="0" w:color="314364" w:themeColor="text2"/>
            </w:tcBorders>
            <w:vAlign w:val="center"/>
          </w:tcPr>
          <w:p w14:paraId="19B656A0" w14:textId="77777777" w:rsidR="005074F1" w:rsidRPr="00950EDF" w:rsidRDefault="005074F1" w:rsidP="00C119D8">
            <w:pPr>
              <w:pStyle w:val="Bezriadkovania"/>
              <w:rPr>
                <w:rFonts w:ascii="Segoe UI" w:hAnsi="Segoe UI" w:cs="Segoe UI"/>
                <w:b/>
                <w:sz w:val="18"/>
                <w:szCs w:val="18"/>
              </w:rPr>
            </w:pPr>
            <w:r w:rsidRPr="00950EDF">
              <w:rPr>
                <w:rFonts w:ascii="Segoe UI" w:hAnsi="Segoe UI" w:cs="Segoe UI"/>
                <w:b/>
                <w:sz w:val="18"/>
                <w:szCs w:val="18"/>
              </w:rPr>
              <w:t>Inflácia</w:t>
            </w:r>
          </w:p>
        </w:tc>
        <w:tc>
          <w:tcPr>
            <w:tcW w:w="547" w:type="pct"/>
            <w:tcBorders>
              <w:top w:val="single" w:sz="4" w:space="0" w:color="314364" w:themeColor="text2"/>
            </w:tcBorders>
            <w:vAlign w:val="center"/>
          </w:tcPr>
          <w:p w14:paraId="0325EC34" w14:textId="77777777" w:rsidR="005074F1" w:rsidRPr="00950EDF" w:rsidRDefault="005074F1" w:rsidP="00C119D8">
            <w:pPr>
              <w:pStyle w:val="Bezriadkovania"/>
              <w:jc w:val="right"/>
              <w:rPr>
                <w:rFonts w:ascii="Segoe UI" w:hAnsi="Segoe UI" w:cs="Segoe UI"/>
                <w:sz w:val="18"/>
                <w:szCs w:val="18"/>
              </w:rPr>
            </w:pPr>
          </w:p>
        </w:tc>
        <w:tc>
          <w:tcPr>
            <w:tcW w:w="547" w:type="pct"/>
            <w:tcBorders>
              <w:top w:val="single" w:sz="4" w:space="0" w:color="314364" w:themeColor="text2"/>
            </w:tcBorders>
            <w:vAlign w:val="center"/>
          </w:tcPr>
          <w:p w14:paraId="60E34395" w14:textId="77777777" w:rsidR="005074F1" w:rsidRPr="00950EDF" w:rsidRDefault="005074F1" w:rsidP="00C119D8">
            <w:pPr>
              <w:pStyle w:val="Bezriadkovania"/>
              <w:jc w:val="right"/>
              <w:rPr>
                <w:rFonts w:ascii="Segoe UI" w:hAnsi="Segoe UI" w:cs="Segoe UI"/>
                <w:sz w:val="18"/>
                <w:szCs w:val="18"/>
              </w:rPr>
            </w:pPr>
          </w:p>
        </w:tc>
        <w:tc>
          <w:tcPr>
            <w:tcW w:w="547" w:type="pct"/>
            <w:tcBorders>
              <w:top w:val="single" w:sz="4" w:space="0" w:color="314364" w:themeColor="text2"/>
            </w:tcBorders>
            <w:vAlign w:val="center"/>
          </w:tcPr>
          <w:p w14:paraId="09A489EB" w14:textId="77777777" w:rsidR="005074F1" w:rsidRPr="00950EDF" w:rsidRDefault="005074F1" w:rsidP="00C119D8">
            <w:pPr>
              <w:pStyle w:val="Bezriadkovania"/>
              <w:jc w:val="right"/>
              <w:rPr>
                <w:rFonts w:ascii="Segoe UI" w:hAnsi="Segoe UI" w:cs="Segoe UI"/>
                <w:sz w:val="18"/>
                <w:szCs w:val="18"/>
              </w:rPr>
            </w:pPr>
          </w:p>
        </w:tc>
        <w:tc>
          <w:tcPr>
            <w:tcW w:w="624" w:type="pct"/>
            <w:tcBorders>
              <w:top w:val="single" w:sz="4" w:space="0" w:color="314364" w:themeColor="text2"/>
            </w:tcBorders>
          </w:tcPr>
          <w:p w14:paraId="084BBE3D" w14:textId="77777777" w:rsidR="005074F1" w:rsidRPr="00950EDF" w:rsidRDefault="005074F1" w:rsidP="00C119D8">
            <w:pPr>
              <w:pStyle w:val="Bezriadkovania"/>
              <w:jc w:val="right"/>
              <w:rPr>
                <w:rFonts w:ascii="Segoe UI" w:hAnsi="Segoe UI" w:cs="Segoe UI"/>
                <w:sz w:val="18"/>
                <w:szCs w:val="18"/>
              </w:rPr>
            </w:pPr>
          </w:p>
        </w:tc>
      </w:tr>
      <w:tr w:rsidR="005074F1" w:rsidRPr="00950EDF" w14:paraId="5CAB4271" w14:textId="77777777" w:rsidTr="00C119D8">
        <w:trPr>
          <w:trHeight w:val="255"/>
        </w:trPr>
        <w:tc>
          <w:tcPr>
            <w:tcW w:w="2735" w:type="pct"/>
            <w:vAlign w:val="center"/>
          </w:tcPr>
          <w:p w14:paraId="5ECB3E42"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Index spotrebiteľských cien (CPI)</w:t>
            </w:r>
          </w:p>
        </w:tc>
        <w:tc>
          <w:tcPr>
            <w:tcW w:w="547" w:type="pct"/>
            <w:vAlign w:val="center"/>
          </w:tcPr>
          <w:p w14:paraId="362059C5"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3,16</w:t>
            </w:r>
          </w:p>
        </w:tc>
        <w:tc>
          <w:tcPr>
            <w:tcW w:w="547" w:type="pct"/>
            <w:vAlign w:val="center"/>
          </w:tcPr>
          <w:p w14:paraId="1220B4B5"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4,18</w:t>
            </w:r>
          </w:p>
        </w:tc>
        <w:tc>
          <w:tcPr>
            <w:tcW w:w="547" w:type="pct"/>
            <w:vAlign w:val="center"/>
          </w:tcPr>
          <w:p w14:paraId="0BC14AF0"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12,78</w:t>
            </w:r>
          </w:p>
        </w:tc>
        <w:tc>
          <w:tcPr>
            <w:tcW w:w="624" w:type="pct"/>
          </w:tcPr>
          <w:p w14:paraId="1164A219"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8,6</w:t>
            </w:r>
          </w:p>
        </w:tc>
      </w:tr>
      <w:tr w:rsidR="005074F1" w:rsidRPr="00950EDF" w14:paraId="391B5D6F" w14:textId="77777777" w:rsidTr="00C119D8">
        <w:trPr>
          <w:trHeight w:val="255"/>
        </w:trPr>
        <w:tc>
          <w:tcPr>
            <w:tcW w:w="2735" w:type="pct"/>
            <w:tcBorders>
              <w:bottom w:val="single" w:sz="4" w:space="0" w:color="314364" w:themeColor="text2"/>
            </w:tcBorders>
            <w:vAlign w:val="center"/>
          </w:tcPr>
          <w:p w14:paraId="3120CD15" w14:textId="77777777" w:rsidR="005074F1" w:rsidRPr="00950EDF" w:rsidRDefault="005074F1" w:rsidP="00C119D8">
            <w:pPr>
              <w:pStyle w:val="Bezriadkovania"/>
              <w:ind w:firstLine="176"/>
              <w:rPr>
                <w:rFonts w:ascii="Segoe UI" w:hAnsi="Segoe UI" w:cs="Segoe UI"/>
                <w:sz w:val="18"/>
                <w:szCs w:val="18"/>
              </w:rPr>
            </w:pPr>
            <w:r w:rsidRPr="00950EDF">
              <w:rPr>
                <w:rFonts w:ascii="Segoe UI" w:hAnsi="Segoe UI" w:cs="Segoe UI"/>
                <w:sz w:val="18"/>
                <w:szCs w:val="18"/>
              </w:rPr>
              <w:t>Harmonizovaný index spotrebiteľských cien (HICP)</w:t>
            </w:r>
          </w:p>
        </w:tc>
        <w:tc>
          <w:tcPr>
            <w:tcW w:w="547" w:type="pct"/>
            <w:tcBorders>
              <w:bottom w:val="single" w:sz="4" w:space="0" w:color="314364" w:themeColor="text2"/>
            </w:tcBorders>
            <w:vAlign w:val="center"/>
          </w:tcPr>
          <w:p w14:paraId="526864E9"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2,82</w:t>
            </w:r>
          </w:p>
        </w:tc>
        <w:tc>
          <w:tcPr>
            <w:tcW w:w="547" w:type="pct"/>
            <w:tcBorders>
              <w:bottom w:val="single" w:sz="4" w:space="0" w:color="314364" w:themeColor="text2"/>
            </w:tcBorders>
            <w:vAlign w:val="center"/>
          </w:tcPr>
          <w:p w14:paraId="09F42706"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4,02</w:t>
            </w:r>
          </w:p>
        </w:tc>
        <w:tc>
          <w:tcPr>
            <w:tcW w:w="547" w:type="pct"/>
            <w:tcBorders>
              <w:bottom w:val="single" w:sz="4" w:space="0" w:color="314364" w:themeColor="text2"/>
            </w:tcBorders>
            <w:vAlign w:val="center"/>
          </w:tcPr>
          <w:p w14:paraId="7689C5A0" w14:textId="77777777" w:rsidR="005074F1" w:rsidRPr="00950EDF" w:rsidRDefault="005074F1" w:rsidP="00C119D8">
            <w:pPr>
              <w:pStyle w:val="Bezriadkovania"/>
              <w:jc w:val="right"/>
              <w:rPr>
                <w:rFonts w:ascii="Segoe UI" w:hAnsi="Segoe UI" w:cs="Segoe UI"/>
                <w:sz w:val="18"/>
                <w:szCs w:val="18"/>
              </w:rPr>
            </w:pPr>
            <w:r>
              <w:rPr>
                <w:rFonts w:ascii="Segoe UI" w:hAnsi="Segoe UI" w:cs="Segoe UI"/>
                <w:sz w:val="18"/>
                <w:szCs w:val="18"/>
              </w:rPr>
              <w:t>12,14</w:t>
            </w:r>
          </w:p>
        </w:tc>
        <w:tc>
          <w:tcPr>
            <w:tcW w:w="624" w:type="pct"/>
            <w:tcBorders>
              <w:bottom w:val="single" w:sz="4" w:space="0" w:color="314364" w:themeColor="text2"/>
            </w:tcBorders>
          </w:tcPr>
          <w:p w14:paraId="1E6F9106" w14:textId="77777777" w:rsidR="005074F1" w:rsidRPr="00950EDF" w:rsidRDefault="005074F1" w:rsidP="00C119D8">
            <w:pPr>
              <w:pStyle w:val="Bezriadkovania"/>
              <w:jc w:val="right"/>
              <w:rPr>
                <w:rFonts w:ascii="Segoe UI" w:hAnsi="Segoe UI" w:cs="Segoe UI"/>
                <w:sz w:val="18"/>
                <w:szCs w:val="18"/>
              </w:rPr>
            </w:pPr>
            <w:r w:rsidRPr="002D6E48">
              <w:rPr>
                <w:rFonts w:ascii="Segoe UI" w:hAnsi="Segoe UI" w:cs="Segoe UI"/>
                <w:sz w:val="18"/>
                <w:szCs w:val="18"/>
              </w:rPr>
              <w:t>8,12</w:t>
            </w:r>
          </w:p>
        </w:tc>
      </w:tr>
    </w:tbl>
    <w:p w14:paraId="69DC4563" w14:textId="297A6A6A" w:rsidR="005074F1" w:rsidRDefault="005074F1" w:rsidP="005074F1">
      <w:pPr>
        <w:pStyle w:val="Zdroj"/>
      </w:pPr>
      <w:r>
        <w:t>Zdroj: MF SR, ŠÚ SR</w:t>
      </w:r>
      <w:r w:rsidR="009F5F8F">
        <w:t>.</w:t>
      </w:r>
      <w:r>
        <w:br/>
        <w:t>S – skutočnosť, R – rozpočet</w:t>
      </w:r>
    </w:p>
    <w:p w14:paraId="425ECD8B" w14:textId="742C61F1" w:rsidR="005074F1" w:rsidRDefault="005074F1" w:rsidP="005074F1">
      <w:pPr>
        <w:pStyle w:val="Zdroj"/>
      </w:pPr>
    </w:p>
    <w:p w14:paraId="5E2A14C9" w14:textId="77777777" w:rsidR="009F5F8F" w:rsidRDefault="009F5F8F" w:rsidP="009F5F8F">
      <w:pPr>
        <w:pStyle w:val="Popis"/>
        <w:keepNext/>
        <w:spacing w:after="120"/>
      </w:pPr>
      <w:r>
        <w:t>Tabuľka 2: Porovnanie príjmov verejnej správy v roku 2021 so skutočnosťou (</w:t>
      </w:r>
      <w:r w:rsidRPr="00A8009D">
        <w:t>v tis. eur)</w:t>
      </w:r>
      <w:r>
        <w:t xml:space="preserve"> </w:t>
      </w:r>
    </w:p>
    <w:tbl>
      <w:tblPr>
        <w:tblStyle w:val="Mriekatabuky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2"/>
        <w:gridCol w:w="1275"/>
        <w:gridCol w:w="1275"/>
        <w:gridCol w:w="1275"/>
        <w:gridCol w:w="1136"/>
        <w:gridCol w:w="847"/>
      </w:tblGrid>
      <w:tr w:rsidR="009F5F8F" w:rsidRPr="00125972" w14:paraId="4489A839" w14:textId="77777777" w:rsidTr="00A930C7">
        <w:trPr>
          <w:trHeight w:val="255"/>
          <w:tblHeader/>
        </w:trPr>
        <w:tc>
          <w:tcPr>
            <w:tcW w:w="1798" w:type="pct"/>
            <w:shd w:val="clear" w:color="auto" w:fill="314364" w:themeFill="text2"/>
            <w:vAlign w:val="center"/>
          </w:tcPr>
          <w:p w14:paraId="0F6C536A" w14:textId="77777777" w:rsidR="009F5F8F" w:rsidRPr="00125972" w:rsidRDefault="009F5F8F" w:rsidP="00A930C7">
            <w:pPr>
              <w:spacing w:after="0"/>
              <w:jc w:val="left"/>
              <w:rPr>
                <w:rFonts w:eastAsia="Calibri" w:cs="Segoe UI"/>
                <w:b/>
                <w:color w:val="FFFFFF"/>
                <w:sz w:val="18"/>
                <w:szCs w:val="18"/>
              </w:rPr>
            </w:pPr>
            <w:r w:rsidRPr="00125972">
              <w:rPr>
                <w:rFonts w:eastAsia="Calibri" w:cs="Segoe UI"/>
                <w:b/>
                <w:color w:val="FFFFFF"/>
                <w:sz w:val="18"/>
                <w:szCs w:val="18"/>
              </w:rPr>
              <w:t>Príjmy VS (ESA 2010</w:t>
            </w:r>
            <w:r>
              <w:rPr>
                <w:rFonts w:eastAsia="Calibri" w:cs="Segoe UI"/>
                <w:b/>
                <w:color w:val="FFFFFF"/>
                <w:sz w:val="18"/>
                <w:szCs w:val="18"/>
              </w:rPr>
              <w:t>)</w:t>
            </w:r>
          </w:p>
        </w:tc>
        <w:tc>
          <w:tcPr>
            <w:tcW w:w="703" w:type="pct"/>
            <w:shd w:val="clear" w:color="auto" w:fill="314364" w:themeFill="text2"/>
            <w:vAlign w:val="center"/>
          </w:tcPr>
          <w:p w14:paraId="49C8CEAB" w14:textId="77777777" w:rsidR="009F5F8F" w:rsidRPr="00950EDF" w:rsidRDefault="009F5F8F" w:rsidP="00A930C7">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2021 S</w:t>
            </w:r>
          </w:p>
        </w:tc>
        <w:tc>
          <w:tcPr>
            <w:tcW w:w="703" w:type="pct"/>
            <w:shd w:val="clear" w:color="auto" w:fill="314364" w:themeFill="text2"/>
            <w:vAlign w:val="center"/>
          </w:tcPr>
          <w:p w14:paraId="37AD42B3" w14:textId="77777777" w:rsidR="009F5F8F" w:rsidRPr="00950EDF" w:rsidRDefault="009F5F8F" w:rsidP="00A930C7">
            <w:pPr>
              <w:pStyle w:val="Bezriadkovania"/>
              <w:jc w:val="right"/>
              <w:rPr>
                <w:rFonts w:ascii="Segoe UI" w:hAnsi="Segoe UI" w:cs="Segoe UI"/>
                <w:b/>
                <w:color w:val="FFFFFF" w:themeColor="background1"/>
                <w:sz w:val="18"/>
                <w:szCs w:val="18"/>
              </w:rPr>
            </w:pPr>
            <w:r w:rsidRPr="00950EDF">
              <w:rPr>
                <w:rFonts w:ascii="Segoe UI" w:hAnsi="Segoe UI" w:cs="Segoe UI"/>
                <w:b/>
                <w:color w:val="FFFFFF" w:themeColor="background1"/>
                <w:sz w:val="18"/>
                <w:szCs w:val="18"/>
              </w:rPr>
              <w:t>20</w:t>
            </w:r>
            <w:r>
              <w:rPr>
                <w:rFonts w:ascii="Segoe UI" w:hAnsi="Segoe UI" w:cs="Segoe UI"/>
                <w:b/>
                <w:color w:val="FFFFFF" w:themeColor="background1"/>
                <w:sz w:val="18"/>
                <w:szCs w:val="18"/>
              </w:rPr>
              <w:t>22 R</w:t>
            </w:r>
          </w:p>
        </w:tc>
        <w:tc>
          <w:tcPr>
            <w:tcW w:w="703" w:type="pct"/>
            <w:shd w:val="clear" w:color="auto" w:fill="314364" w:themeFill="text2"/>
            <w:vAlign w:val="center"/>
          </w:tcPr>
          <w:p w14:paraId="0CE498EF" w14:textId="77777777" w:rsidR="009F5F8F" w:rsidRPr="00950EDF" w:rsidRDefault="009F5F8F" w:rsidP="00A930C7">
            <w:pPr>
              <w:pStyle w:val="Bezriadkovania"/>
              <w:jc w:val="right"/>
              <w:rPr>
                <w:rFonts w:ascii="Segoe UI" w:hAnsi="Segoe UI" w:cs="Segoe UI"/>
                <w:b/>
                <w:color w:val="FFFFFF" w:themeColor="background1"/>
                <w:sz w:val="18"/>
                <w:szCs w:val="18"/>
              </w:rPr>
            </w:pPr>
            <w:r>
              <w:rPr>
                <w:rFonts w:ascii="Segoe UI" w:hAnsi="Segoe UI" w:cs="Segoe UI"/>
                <w:b/>
                <w:color w:val="FFFFFF" w:themeColor="background1"/>
                <w:sz w:val="18"/>
                <w:szCs w:val="18"/>
              </w:rPr>
              <w:t>2022 S</w:t>
            </w:r>
          </w:p>
        </w:tc>
        <w:tc>
          <w:tcPr>
            <w:tcW w:w="626" w:type="pct"/>
            <w:shd w:val="clear" w:color="auto" w:fill="314364" w:themeFill="text2"/>
            <w:vAlign w:val="center"/>
          </w:tcPr>
          <w:p w14:paraId="38CBBC60" w14:textId="77777777" w:rsidR="009F5F8F" w:rsidRPr="00125972" w:rsidRDefault="009F5F8F" w:rsidP="00A930C7">
            <w:pPr>
              <w:spacing w:after="0"/>
              <w:jc w:val="right"/>
              <w:rPr>
                <w:rFonts w:eastAsia="Calibri" w:cs="Segoe UI"/>
                <w:b/>
                <w:color w:val="FFFFFF"/>
                <w:sz w:val="18"/>
                <w:szCs w:val="18"/>
              </w:rPr>
            </w:pPr>
            <w:r>
              <w:rPr>
                <w:rFonts w:eastAsia="Calibri" w:cs="Segoe UI"/>
                <w:b/>
                <w:color w:val="FFFFFF"/>
                <w:sz w:val="18"/>
                <w:szCs w:val="18"/>
              </w:rPr>
              <w:t>22S - 22R</w:t>
            </w:r>
          </w:p>
        </w:tc>
        <w:tc>
          <w:tcPr>
            <w:tcW w:w="467" w:type="pct"/>
            <w:shd w:val="clear" w:color="auto" w:fill="314364" w:themeFill="text2"/>
            <w:vAlign w:val="center"/>
          </w:tcPr>
          <w:p w14:paraId="7B068783" w14:textId="77777777" w:rsidR="009F5F8F" w:rsidRPr="00125972" w:rsidRDefault="009F5F8F" w:rsidP="00A930C7">
            <w:pPr>
              <w:spacing w:after="0"/>
              <w:jc w:val="right"/>
              <w:rPr>
                <w:rFonts w:eastAsia="Calibri" w:cs="Segoe UI"/>
                <w:b/>
                <w:color w:val="FFFFFF"/>
                <w:sz w:val="18"/>
                <w:szCs w:val="18"/>
              </w:rPr>
            </w:pPr>
            <w:r>
              <w:rPr>
                <w:rFonts w:eastAsia="Calibri" w:cs="Segoe UI"/>
                <w:b/>
                <w:color w:val="FFFFFF"/>
                <w:sz w:val="18"/>
                <w:szCs w:val="18"/>
              </w:rPr>
              <w:t>YoY</w:t>
            </w:r>
          </w:p>
        </w:tc>
      </w:tr>
      <w:tr w:rsidR="009F5F8F" w:rsidRPr="00125972" w14:paraId="7EBFD9AA" w14:textId="77777777" w:rsidTr="00A930C7">
        <w:trPr>
          <w:trHeight w:val="255"/>
        </w:trPr>
        <w:tc>
          <w:tcPr>
            <w:tcW w:w="1798" w:type="pct"/>
            <w:tcBorders>
              <w:top w:val="single" w:sz="4" w:space="0" w:color="314364" w:themeColor="text2"/>
            </w:tcBorders>
            <w:vAlign w:val="center"/>
          </w:tcPr>
          <w:p w14:paraId="70076174" w14:textId="77777777" w:rsidR="009F5F8F" w:rsidRPr="00125972" w:rsidRDefault="009F5F8F" w:rsidP="00A930C7">
            <w:pPr>
              <w:spacing w:after="0"/>
              <w:jc w:val="left"/>
              <w:rPr>
                <w:rFonts w:eastAsia="Calibri" w:cs="Segoe UI"/>
                <w:b/>
                <w:sz w:val="18"/>
                <w:szCs w:val="18"/>
              </w:rPr>
            </w:pPr>
            <w:r w:rsidRPr="00125972">
              <w:rPr>
                <w:rFonts w:eastAsia="Calibri" w:cs="Segoe UI"/>
                <w:b/>
                <w:sz w:val="18"/>
                <w:szCs w:val="18"/>
              </w:rPr>
              <w:t>Daňové príjmy</w:t>
            </w:r>
          </w:p>
        </w:tc>
        <w:tc>
          <w:tcPr>
            <w:tcW w:w="703" w:type="pct"/>
            <w:tcBorders>
              <w:top w:val="single" w:sz="4" w:space="0" w:color="314364" w:themeColor="text2"/>
            </w:tcBorders>
            <w:vAlign w:val="center"/>
          </w:tcPr>
          <w:p w14:paraId="66329BAB" w14:textId="77777777" w:rsidR="009F5F8F" w:rsidRPr="00125972" w:rsidRDefault="009F5F8F" w:rsidP="00A930C7">
            <w:pPr>
              <w:spacing w:after="0"/>
              <w:jc w:val="right"/>
              <w:rPr>
                <w:rFonts w:eastAsia="Calibri" w:cs="Segoe UI"/>
                <w:b/>
                <w:sz w:val="18"/>
                <w:szCs w:val="18"/>
              </w:rPr>
            </w:pPr>
            <w:r>
              <w:rPr>
                <w:rFonts w:eastAsia="Calibri" w:cs="Segoe UI"/>
                <w:b/>
                <w:sz w:val="18"/>
                <w:szCs w:val="18"/>
              </w:rPr>
              <w:t>17 753 841</w:t>
            </w:r>
          </w:p>
        </w:tc>
        <w:tc>
          <w:tcPr>
            <w:tcW w:w="703" w:type="pct"/>
            <w:tcBorders>
              <w:top w:val="single" w:sz="4" w:space="0" w:color="314364" w:themeColor="text2"/>
            </w:tcBorders>
            <w:vAlign w:val="center"/>
          </w:tcPr>
          <w:p w14:paraId="3E8AEB21" w14:textId="77777777" w:rsidR="009F5F8F" w:rsidRPr="00125972" w:rsidRDefault="009F5F8F" w:rsidP="00A930C7">
            <w:pPr>
              <w:spacing w:after="0"/>
              <w:jc w:val="right"/>
              <w:rPr>
                <w:rFonts w:eastAsia="Calibri" w:cs="Segoe UI"/>
                <w:b/>
                <w:sz w:val="18"/>
                <w:szCs w:val="18"/>
              </w:rPr>
            </w:pPr>
            <w:r>
              <w:rPr>
                <w:rFonts w:eastAsia="Calibri" w:cs="Segoe UI"/>
                <w:b/>
                <w:sz w:val="18"/>
                <w:szCs w:val="18"/>
              </w:rPr>
              <w:t>19 190 938</w:t>
            </w:r>
          </w:p>
        </w:tc>
        <w:tc>
          <w:tcPr>
            <w:tcW w:w="703" w:type="pct"/>
            <w:tcBorders>
              <w:top w:val="single" w:sz="4" w:space="0" w:color="314364" w:themeColor="text2"/>
            </w:tcBorders>
            <w:vAlign w:val="center"/>
          </w:tcPr>
          <w:p w14:paraId="726B1C10" w14:textId="77777777" w:rsidR="009F5F8F" w:rsidRPr="00125972" w:rsidRDefault="009F5F8F" w:rsidP="00A930C7">
            <w:pPr>
              <w:spacing w:after="0"/>
              <w:jc w:val="right"/>
              <w:rPr>
                <w:rFonts w:eastAsia="Calibri" w:cs="Segoe UI"/>
                <w:b/>
                <w:sz w:val="18"/>
                <w:szCs w:val="18"/>
              </w:rPr>
            </w:pPr>
            <w:r>
              <w:rPr>
                <w:rFonts w:eastAsia="Calibri" w:cs="Segoe UI"/>
                <w:b/>
                <w:sz w:val="18"/>
                <w:szCs w:val="18"/>
              </w:rPr>
              <w:t>20 822 897</w:t>
            </w:r>
          </w:p>
        </w:tc>
        <w:tc>
          <w:tcPr>
            <w:tcW w:w="626" w:type="pct"/>
            <w:tcBorders>
              <w:top w:val="single" w:sz="4" w:space="0" w:color="314364" w:themeColor="text2"/>
            </w:tcBorders>
          </w:tcPr>
          <w:p w14:paraId="1220922B" w14:textId="77777777" w:rsidR="009F5F8F" w:rsidRPr="00125972" w:rsidRDefault="009F5F8F" w:rsidP="00A930C7">
            <w:pPr>
              <w:spacing w:after="0"/>
              <w:jc w:val="right"/>
              <w:rPr>
                <w:rFonts w:eastAsia="Calibri" w:cs="Segoe UI"/>
                <w:b/>
                <w:sz w:val="18"/>
                <w:szCs w:val="18"/>
              </w:rPr>
            </w:pPr>
            <w:r w:rsidRPr="00270C98">
              <w:rPr>
                <w:rFonts w:eastAsia="Calibri" w:cs="Segoe UI"/>
                <w:b/>
                <w:sz w:val="18"/>
                <w:szCs w:val="18"/>
              </w:rPr>
              <w:t xml:space="preserve"> 1 631 959 </w:t>
            </w:r>
          </w:p>
        </w:tc>
        <w:tc>
          <w:tcPr>
            <w:tcW w:w="467" w:type="pct"/>
            <w:tcBorders>
              <w:top w:val="single" w:sz="4" w:space="0" w:color="314364" w:themeColor="text2"/>
            </w:tcBorders>
          </w:tcPr>
          <w:p w14:paraId="069434F2" w14:textId="77777777" w:rsidR="009F5F8F" w:rsidRPr="00125972" w:rsidRDefault="009F5F8F" w:rsidP="00A930C7">
            <w:pPr>
              <w:spacing w:after="0"/>
              <w:jc w:val="right"/>
              <w:rPr>
                <w:rFonts w:eastAsia="Calibri" w:cs="Segoe UI"/>
                <w:b/>
                <w:sz w:val="18"/>
                <w:szCs w:val="18"/>
              </w:rPr>
            </w:pPr>
            <w:r w:rsidRPr="00270C98">
              <w:rPr>
                <w:rFonts w:eastAsia="Calibri" w:cs="Segoe UI"/>
                <w:b/>
                <w:sz w:val="18"/>
                <w:szCs w:val="18"/>
              </w:rPr>
              <w:t>117,3%</w:t>
            </w:r>
          </w:p>
        </w:tc>
      </w:tr>
      <w:tr w:rsidR="009F5F8F" w:rsidRPr="00125972" w14:paraId="22A52C2D" w14:textId="77777777" w:rsidTr="00A930C7">
        <w:trPr>
          <w:trHeight w:val="255"/>
        </w:trPr>
        <w:tc>
          <w:tcPr>
            <w:tcW w:w="1798" w:type="pct"/>
            <w:vAlign w:val="center"/>
          </w:tcPr>
          <w:p w14:paraId="210E3FFA"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Daň z príjmov fyzických osôb</w:t>
            </w:r>
          </w:p>
        </w:tc>
        <w:tc>
          <w:tcPr>
            <w:tcW w:w="703" w:type="pct"/>
            <w:vAlign w:val="center"/>
          </w:tcPr>
          <w:p w14:paraId="3AB91EFB" w14:textId="77777777" w:rsidR="009F5F8F" w:rsidRPr="00125972" w:rsidRDefault="009F5F8F" w:rsidP="00A930C7">
            <w:pPr>
              <w:spacing w:after="0"/>
              <w:jc w:val="right"/>
              <w:rPr>
                <w:rFonts w:eastAsia="Calibri" w:cs="Segoe UI"/>
                <w:sz w:val="18"/>
                <w:szCs w:val="18"/>
              </w:rPr>
            </w:pPr>
            <w:r>
              <w:rPr>
                <w:rFonts w:eastAsia="Calibri" w:cs="Segoe UI"/>
                <w:sz w:val="18"/>
                <w:szCs w:val="18"/>
              </w:rPr>
              <w:t>3 295 841</w:t>
            </w:r>
          </w:p>
        </w:tc>
        <w:tc>
          <w:tcPr>
            <w:tcW w:w="703" w:type="pct"/>
            <w:vAlign w:val="center"/>
          </w:tcPr>
          <w:p w14:paraId="6AE64FC2" w14:textId="77777777" w:rsidR="009F5F8F" w:rsidRPr="00125972" w:rsidRDefault="009F5F8F" w:rsidP="00A930C7">
            <w:pPr>
              <w:spacing w:after="0"/>
              <w:jc w:val="right"/>
              <w:rPr>
                <w:rFonts w:eastAsia="Calibri" w:cs="Segoe UI"/>
                <w:sz w:val="18"/>
                <w:szCs w:val="18"/>
              </w:rPr>
            </w:pPr>
            <w:r>
              <w:rPr>
                <w:rFonts w:eastAsia="Calibri" w:cs="Segoe UI"/>
                <w:sz w:val="18"/>
                <w:szCs w:val="18"/>
              </w:rPr>
              <w:t>4 012 380</w:t>
            </w:r>
          </w:p>
        </w:tc>
        <w:tc>
          <w:tcPr>
            <w:tcW w:w="703" w:type="pct"/>
            <w:vAlign w:val="center"/>
          </w:tcPr>
          <w:p w14:paraId="208EB7BF" w14:textId="77777777" w:rsidR="009F5F8F" w:rsidRPr="00125972" w:rsidRDefault="009F5F8F" w:rsidP="00A930C7">
            <w:pPr>
              <w:spacing w:after="0"/>
              <w:jc w:val="right"/>
              <w:rPr>
                <w:rFonts w:eastAsia="Calibri" w:cs="Segoe UI"/>
                <w:sz w:val="18"/>
                <w:szCs w:val="18"/>
              </w:rPr>
            </w:pPr>
            <w:r>
              <w:rPr>
                <w:rFonts w:eastAsia="Calibri" w:cs="Segoe UI"/>
                <w:sz w:val="18"/>
                <w:szCs w:val="18"/>
              </w:rPr>
              <w:t>4 167 511</w:t>
            </w:r>
          </w:p>
        </w:tc>
        <w:tc>
          <w:tcPr>
            <w:tcW w:w="626" w:type="pct"/>
          </w:tcPr>
          <w:p w14:paraId="1E2BCE04"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155 131 </w:t>
            </w:r>
          </w:p>
        </w:tc>
        <w:tc>
          <w:tcPr>
            <w:tcW w:w="467" w:type="pct"/>
          </w:tcPr>
          <w:p w14:paraId="118B28B4"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126,4%</w:t>
            </w:r>
          </w:p>
        </w:tc>
      </w:tr>
      <w:tr w:rsidR="009F5F8F" w:rsidRPr="00125972" w14:paraId="26B3AA8A" w14:textId="77777777" w:rsidTr="00A930C7">
        <w:trPr>
          <w:trHeight w:val="255"/>
        </w:trPr>
        <w:tc>
          <w:tcPr>
            <w:tcW w:w="1798" w:type="pct"/>
            <w:vAlign w:val="center"/>
          </w:tcPr>
          <w:p w14:paraId="359C8953" w14:textId="77777777" w:rsidR="009F5F8F" w:rsidRPr="00493DDD" w:rsidRDefault="009F5F8F" w:rsidP="003451D7">
            <w:pPr>
              <w:pStyle w:val="Odsekzoznamu"/>
              <w:numPr>
                <w:ilvl w:val="0"/>
                <w:numId w:val="2"/>
              </w:numPr>
              <w:spacing w:after="0"/>
              <w:jc w:val="left"/>
              <w:rPr>
                <w:rFonts w:eastAsia="Calibri" w:cs="Segoe UI"/>
                <w:sz w:val="18"/>
                <w:szCs w:val="18"/>
              </w:rPr>
            </w:pPr>
            <w:r w:rsidRPr="00493DDD">
              <w:rPr>
                <w:rFonts w:eastAsia="Calibri" w:cs="Segoe UI"/>
                <w:sz w:val="18"/>
                <w:szCs w:val="18"/>
              </w:rPr>
              <w:t>DPFO zo závislej činnosti</w:t>
            </w:r>
          </w:p>
        </w:tc>
        <w:tc>
          <w:tcPr>
            <w:tcW w:w="703" w:type="pct"/>
            <w:vAlign w:val="center"/>
          </w:tcPr>
          <w:p w14:paraId="514CF9DC" w14:textId="77777777" w:rsidR="009F5F8F" w:rsidRPr="00125972" w:rsidRDefault="009F5F8F" w:rsidP="00A930C7">
            <w:pPr>
              <w:spacing w:after="0"/>
              <w:jc w:val="right"/>
              <w:rPr>
                <w:rFonts w:eastAsia="Calibri" w:cs="Segoe UI"/>
                <w:sz w:val="18"/>
                <w:szCs w:val="18"/>
              </w:rPr>
            </w:pPr>
            <w:r>
              <w:rPr>
                <w:rFonts w:eastAsia="Calibri" w:cs="Segoe UI"/>
                <w:sz w:val="18"/>
                <w:szCs w:val="18"/>
              </w:rPr>
              <w:t>3 254 431</w:t>
            </w:r>
          </w:p>
        </w:tc>
        <w:tc>
          <w:tcPr>
            <w:tcW w:w="703" w:type="pct"/>
            <w:vAlign w:val="center"/>
          </w:tcPr>
          <w:p w14:paraId="111A5C6B" w14:textId="77777777" w:rsidR="009F5F8F" w:rsidRPr="00125972" w:rsidRDefault="009F5F8F" w:rsidP="00A930C7">
            <w:pPr>
              <w:spacing w:after="0"/>
              <w:jc w:val="right"/>
              <w:rPr>
                <w:rFonts w:eastAsia="Calibri" w:cs="Segoe UI"/>
                <w:sz w:val="18"/>
                <w:szCs w:val="18"/>
              </w:rPr>
            </w:pPr>
            <w:r>
              <w:rPr>
                <w:rFonts w:eastAsia="Calibri" w:cs="Segoe UI"/>
                <w:sz w:val="18"/>
                <w:szCs w:val="18"/>
              </w:rPr>
              <w:t>3 906 859</w:t>
            </w:r>
          </w:p>
        </w:tc>
        <w:tc>
          <w:tcPr>
            <w:tcW w:w="703" w:type="pct"/>
            <w:vAlign w:val="center"/>
          </w:tcPr>
          <w:p w14:paraId="3B583323" w14:textId="77777777" w:rsidR="009F5F8F" w:rsidRPr="00125972" w:rsidRDefault="009F5F8F" w:rsidP="00A930C7">
            <w:pPr>
              <w:spacing w:after="0"/>
              <w:jc w:val="right"/>
              <w:rPr>
                <w:rFonts w:eastAsia="Calibri" w:cs="Segoe UI"/>
                <w:sz w:val="18"/>
                <w:szCs w:val="18"/>
              </w:rPr>
            </w:pPr>
            <w:r>
              <w:rPr>
                <w:rFonts w:eastAsia="Calibri" w:cs="Segoe UI"/>
                <w:sz w:val="18"/>
                <w:szCs w:val="18"/>
              </w:rPr>
              <w:t>4 019 920</w:t>
            </w:r>
          </w:p>
        </w:tc>
        <w:tc>
          <w:tcPr>
            <w:tcW w:w="626" w:type="pct"/>
          </w:tcPr>
          <w:p w14:paraId="41AE9D62"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113 061 </w:t>
            </w:r>
          </w:p>
        </w:tc>
        <w:tc>
          <w:tcPr>
            <w:tcW w:w="467" w:type="pct"/>
          </w:tcPr>
          <w:p w14:paraId="62D88002"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123,5%</w:t>
            </w:r>
          </w:p>
        </w:tc>
      </w:tr>
      <w:tr w:rsidR="009F5F8F" w:rsidRPr="00125972" w14:paraId="02D2633B" w14:textId="77777777" w:rsidTr="00A930C7">
        <w:trPr>
          <w:trHeight w:val="255"/>
        </w:trPr>
        <w:tc>
          <w:tcPr>
            <w:tcW w:w="1798" w:type="pct"/>
            <w:vAlign w:val="center"/>
          </w:tcPr>
          <w:p w14:paraId="55A2337E" w14:textId="77777777" w:rsidR="009F5F8F" w:rsidRPr="00493DDD" w:rsidRDefault="009F5F8F" w:rsidP="003451D7">
            <w:pPr>
              <w:pStyle w:val="Odsekzoznamu"/>
              <w:numPr>
                <w:ilvl w:val="0"/>
                <w:numId w:val="2"/>
              </w:numPr>
              <w:spacing w:after="0"/>
              <w:jc w:val="left"/>
              <w:rPr>
                <w:rFonts w:eastAsia="Calibri" w:cs="Segoe UI"/>
                <w:sz w:val="18"/>
                <w:szCs w:val="18"/>
              </w:rPr>
            </w:pPr>
            <w:r w:rsidRPr="00493DDD">
              <w:rPr>
                <w:rFonts w:eastAsia="Calibri" w:cs="Segoe UI"/>
                <w:sz w:val="18"/>
                <w:szCs w:val="18"/>
              </w:rPr>
              <w:t>DPFO z podnikania</w:t>
            </w:r>
          </w:p>
        </w:tc>
        <w:tc>
          <w:tcPr>
            <w:tcW w:w="703" w:type="pct"/>
            <w:vAlign w:val="center"/>
          </w:tcPr>
          <w:p w14:paraId="4A9E4DED" w14:textId="77777777" w:rsidR="009F5F8F" w:rsidRPr="00125972" w:rsidRDefault="009F5F8F" w:rsidP="00A930C7">
            <w:pPr>
              <w:spacing w:after="0"/>
              <w:jc w:val="right"/>
              <w:rPr>
                <w:rFonts w:eastAsia="Calibri" w:cs="Segoe UI"/>
                <w:sz w:val="18"/>
                <w:szCs w:val="18"/>
              </w:rPr>
            </w:pPr>
            <w:r>
              <w:rPr>
                <w:rFonts w:eastAsia="Calibri" w:cs="Segoe UI"/>
                <w:sz w:val="18"/>
                <w:szCs w:val="18"/>
              </w:rPr>
              <w:t>41 410</w:t>
            </w:r>
          </w:p>
        </w:tc>
        <w:tc>
          <w:tcPr>
            <w:tcW w:w="703" w:type="pct"/>
            <w:vAlign w:val="center"/>
          </w:tcPr>
          <w:p w14:paraId="36205F2E" w14:textId="77777777" w:rsidR="009F5F8F" w:rsidRPr="00125972" w:rsidRDefault="009F5F8F" w:rsidP="00A930C7">
            <w:pPr>
              <w:spacing w:after="0"/>
              <w:jc w:val="right"/>
              <w:rPr>
                <w:rFonts w:eastAsia="Calibri" w:cs="Segoe UI"/>
                <w:sz w:val="18"/>
                <w:szCs w:val="18"/>
              </w:rPr>
            </w:pPr>
            <w:r>
              <w:rPr>
                <w:rFonts w:eastAsia="Calibri" w:cs="Segoe UI"/>
                <w:sz w:val="18"/>
                <w:szCs w:val="18"/>
              </w:rPr>
              <w:t>105 521</w:t>
            </w:r>
          </w:p>
        </w:tc>
        <w:tc>
          <w:tcPr>
            <w:tcW w:w="703" w:type="pct"/>
            <w:vAlign w:val="center"/>
          </w:tcPr>
          <w:p w14:paraId="12F038A3" w14:textId="77777777" w:rsidR="009F5F8F" w:rsidRPr="00125972" w:rsidRDefault="009F5F8F" w:rsidP="00A930C7">
            <w:pPr>
              <w:spacing w:after="0"/>
              <w:jc w:val="right"/>
              <w:rPr>
                <w:rFonts w:eastAsia="Calibri" w:cs="Segoe UI"/>
                <w:sz w:val="18"/>
                <w:szCs w:val="18"/>
              </w:rPr>
            </w:pPr>
            <w:r>
              <w:rPr>
                <w:rFonts w:eastAsia="Calibri" w:cs="Segoe UI"/>
                <w:sz w:val="18"/>
                <w:szCs w:val="18"/>
              </w:rPr>
              <w:t>147 591</w:t>
            </w:r>
          </w:p>
        </w:tc>
        <w:tc>
          <w:tcPr>
            <w:tcW w:w="626" w:type="pct"/>
          </w:tcPr>
          <w:p w14:paraId="24B97F49"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42 070 </w:t>
            </w:r>
          </w:p>
        </w:tc>
        <w:tc>
          <w:tcPr>
            <w:tcW w:w="467" w:type="pct"/>
          </w:tcPr>
          <w:p w14:paraId="7B54E497"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356,4%</w:t>
            </w:r>
          </w:p>
        </w:tc>
      </w:tr>
      <w:tr w:rsidR="009F5F8F" w:rsidRPr="00125972" w14:paraId="1B37AB60" w14:textId="77777777" w:rsidTr="00A930C7">
        <w:trPr>
          <w:trHeight w:val="255"/>
        </w:trPr>
        <w:tc>
          <w:tcPr>
            <w:tcW w:w="1798" w:type="pct"/>
            <w:vAlign w:val="center"/>
          </w:tcPr>
          <w:p w14:paraId="5C3570F9"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 xml:space="preserve">Daň z príjmov právnických osôb </w:t>
            </w:r>
          </w:p>
        </w:tc>
        <w:tc>
          <w:tcPr>
            <w:tcW w:w="703" w:type="pct"/>
            <w:vAlign w:val="center"/>
          </w:tcPr>
          <w:p w14:paraId="093BF68D" w14:textId="77777777" w:rsidR="009F5F8F" w:rsidRPr="00125972" w:rsidRDefault="009F5F8F" w:rsidP="00A930C7">
            <w:pPr>
              <w:spacing w:after="0"/>
              <w:jc w:val="right"/>
              <w:rPr>
                <w:rFonts w:eastAsia="Calibri" w:cs="Segoe UI"/>
                <w:sz w:val="18"/>
                <w:szCs w:val="18"/>
              </w:rPr>
            </w:pPr>
            <w:r>
              <w:rPr>
                <w:rFonts w:eastAsia="Calibri" w:cs="Segoe UI"/>
                <w:sz w:val="18"/>
                <w:szCs w:val="18"/>
              </w:rPr>
              <w:t>2 859 372</w:t>
            </w:r>
          </w:p>
        </w:tc>
        <w:tc>
          <w:tcPr>
            <w:tcW w:w="703" w:type="pct"/>
            <w:vAlign w:val="center"/>
          </w:tcPr>
          <w:p w14:paraId="5C6E2D87" w14:textId="77777777" w:rsidR="009F5F8F" w:rsidRPr="00125972" w:rsidRDefault="009F5F8F" w:rsidP="00A930C7">
            <w:pPr>
              <w:spacing w:after="0"/>
              <w:jc w:val="right"/>
              <w:rPr>
                <w:rFonts w:eastAsia="Calibri" w:cs="Segoe UI"/>
                <w:sz w:val="18"/>
                <w:szCs w:val="18"/>
              </w:rPr>
            </w:pPr>
            <w:r>
              <w:rPr>
                <w:rFonts w:eastAsia="Calibri" w:cs="Segoe UI"/>
                <w:sz w:val="18"/>
                <w:szCs w:val="18"/>
              </w:rPr>
              <w:t>3 211 098</w:t>
            </w:r>
          </w:p>
        </w:tc>
        <w:tc>
          <w:tcPr>
            <w:tcW w:w="703" w:type="pct"/>
            <w:vAlign w:val="center"/>
          </w:tcPr>
          <w:p w14:paraId="09D577A0" w14:textId="77777777" w:rsidR="009F5F8F" w:rsidRPr="00125972" w:rsidRDefault="009F5F8F" w:rsidP="00A930C7">
            <w:pPr>
              <w:spacing w:after="0"/>
              <w:jc w:val="right"/>
              <w:rPr>
                <w:rFonts w:eastAsia="Calibri" w:cs="Segoe UI"/>
                <w:sz w:val="18"/>
                <w:szCs w:val="18"/>
              </w:rPr>
            </w:pPr>
            <w:r>
              <w:rPr>
                <w:rFonts w:eastAsia="Calibri" w:cs="Segoe UI"/>
                <w:sz w:val="18"/>
                <w:szCs w:val="18"/>
              </w:rPr>
              <w:t>3 588 462</w:t>
            </w:r>
          </w:p>
        </w:tc>
        <w:tc>
          <w:tcPr>
            <w:tcW w:w="626" w:type="pct"/>
          </w:tcPr>
          <w:p w14:paraId="5D5AF7F6"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377 364 </w:t>
            </w:r>
          </w:p>
        </w:tc>
        <w:tc>
          <w:tcPr>
            <w:tcW w:w="467" w:type="pct"/>
          </w:tcPr>
          <w:p w14:paraId="05E7731C"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125,5%</w:t>
            </w:r>
          </w:p>
        </w:tc>
      </w:tr>
      <w:tr w:rsidR="009F5F8F" w:rsidRPr="00125972" w14:paraId="30BE1555" w14:textId="77777777" w:rsidTr="00A930C7">
        <w:trPr>
          <w:trHeight w:val="255"/>
        </w:trPr>
        <w:tc>
          <w:tcPr>
            <w:tcW w:w="1798" w:type="pct"/>
            <w:vAlign w:val="center"/>
          </w:tcPr>
          <w:p w14:paraId="41B6502D"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 xml:space="preserve">Daň z príjmov vyberaná zrážkou </w:t>
            </w:r>
          </w:p>
        </w:tc>
        <w:tc>
          <w:tcPr>
            <w:tcW w:w="703" w:type="pct"/>
            <w:vAlign w:val="center"/>
          </w:tcPr>
          <w:p w14:paraId="0A2EA112" w14:textId="77777777" w:rsidR="009F5F8F" w:rsidRPr="00125972" w:rsidRDefault="009F5F8F" w:rsidP="00A930C7">
            <w:pPr>
              <w:spacing w:after="0"/>
              <w:jc w:val="right"/>
              <w:rPr>
                <w:rFonts w:eastAsia="Calibri" w:cs="Segoe UI"/>
                <w:sz w:val="18"/>
                <w:szCs w:val="18"/>
              </w:rPr>
            </w:pPr>
            <w:r>
              <w:rPr>
                <w:rFonts w:eastAsia="Calibri" w:cs="Segoe UI"/>
                <w:sz w:val="18"/>
                <w:szCs w:val="18"/>
              </w:rPr>
              <w:t>289 754</w:t>
            </w:r>
          </w:p>
        </w:tc>
        <w:tc>
          <w:tcPr>
            <w:tcW w:w="703" w:type="pct"/>
            <w:vAlign w:val="center"/>
          </w:tcPr>
          <w:p w14:paraId="39E5F765" w14:textId="77777777" w:rsidR="009F5F8F" w:rsidRPr="00125972" w:rsidRDefault="009F5F8F" w:rsidP="00A930C7">
            <w:pPr>
              <w:spacing w:after="0"/>
              <w:jc w:val="right"/>
              <w:rPr>
                <w:rFonts w:eastAsia="Calibri" w:cs="Segoe UI"/>
                <w:sz w:val="18"/>
                <w:szCs w:val="18"/>
              </w:rPr>
            </w:pPr>
            <w:r>
              <w:rPr>
                <w:rFonts w:eastAsia="Calibri" w:cs="Segoe UI"/>
                <w:sz w:val="18"/>
                <w:szCs w:val="18"/>
              </w:rPr>
              <w:t>290 450</w:t>
            </w:r>
          </w:p>
        </w:tc>
        <w:tc>
          <w:tcPr>
            <w:tcW w:w="703" w:type="pct"/>
            <w:vAlign w:val="center"/>
          </w:tcPr>
          <w:p w14:paraId="4650BEF3" w14:textId="77777777" w:rsidR="009F5F8F" w:rsidRPr="00125972" w:rsidRDefault="009F5F8F" w:rsidP="00A930C7">
            <w:pPr>
              <w:spacing w:after="0"/>
              <w:jc w:val="right"/>
              <w:rPr>
                <w:rFonts w:eastAsia="Calibri" w:cs="Segoe UI"/>
                <w:sz w:val="18"/>
                <w:szCs w:val="18"/>
              </w:rPr>
            </w:pPr>
            <w:r>
              <w:rPr>
                <w:rFonts w:eastAsia="Calibri" w:cs="Segoe UI"/>
                <w:sz w:val="18"/>
                <w:szCs w:val="18"/>
              </w:rPr>
              <w:t>314 764</w:t>
            </w:r>
          </w:p>
        </w:tc>
        <w:tc>
          <w:tcPr>
            <w:tcW w:w="626" w:type="pct"/>
          </w:tcPr>
          <w:p w14:paraId="22BA4147" w14:textId="77777777" w:rsidR="009F5F8F" w:rsidRPr="00782A92" w:rsidRDefault="009F5F8F" w:rsidP="00A930C7">
            <w:pPr>
              <w:spacing w:after="0"/>
              <w:jc w:val="right"/>
              <w:rPr>
                <w:rFonts w:eastAsia="Calibri" w:cs="Segoe UI"/>
                <w:sz w:val="18"/>
                <w:szCs w:val="18"/>
              </w:rPr>
            </w:pPr>
            <w:r w:rsidRPr="00270C98">
              <w:rPr>
                <w:rFonts w:eastAsia="Calibri" w:cs="Segoe UI"/>
                <w:sz w:val="18"/>
                <w:szCs w:val="18"/>
              </w:rPr>
              <w:t xml:space="preserve"> 24 314 </w:t>
            </w:r>
          </w:p>
        </w:tc>
        <w:tc>
          <w:tcPr>
            <w:tcW w:w="467" w:type="pct"/>
          </w:tcPr>
          <w:p w14:paraId="5E6701D4"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108,6%</w:t>
            </w:r>
          </w:p>
        </w:tc>
      </w:tr>
      <w:tr w:rsidR="009F5F8F" w:rsidRPr="00125972" w14:paraId="6A0111A8" w14:textId="77777777" w:rsidTr="00A930C7">
        <w:trPr>
          <w:trHeight w:val="255"/>
        </w:trPr>
        <w:tc>
          <w:tcPr>
            <w:tcW w:w="1798" w:type="pct"/>
            <w:vAlign w:val="center"/>
          </w:tcPr>
          <w:p w14:paraId="07452643"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Daň z pridanej hodnoty</w:t>
            </w:r>
          </w:p>
        </w:tc>
        <w:tc>
          <w:tcPr>
            <w:tcW w:w="703" w:type="pct"/>
            <w:vAlign w:val="center"/>
          </w:tcPr>
          <w:p w14:paraId="02D99DA7" w14:textId="77777777" w:rsidR="009F5F8F" w:rsidRPr="00125972" w:rsidRDefault="009F5F8F" w:rsidP="00A930C7">
            <w:pPr>
              <w:spacing w:after="0"/>
              <w:jc w:val="right"/>
              <w:rPr>
                <w:rFonts w:eastAsia="Calibri" w:cs="Segoe UI"/>
                <w:sz w:val="18"/>
                <w:szCs w:val="18"/>
              </w:rPr>
            </w:pPr>
            <w:r>
              <w:rPr>
                <w:rFonts w:eastAsia="Calibri" w:cs="Segoe UI"/>
                <w:sz w:val="18"/>
                <w:szCs w:val="18"/>
              </w:rPr>
              <w:t>7 760 691</w:t>
            </w:r>
          </w:p>
        </w:tc>
        <w:tc>
          <w:tcPr>
            <w:tcW w:w="703" w:type="pct"/>
            <w:vAlign w:val="center"/>
          </w:tcPr>
          <w:p w14:paraId="7181C3D1" w14:textId="77777777" w:rsidR="009F5F8F" w:rsidRPr="00125972" w:rsidRDefault="009F5F8F" w:rsidP="00A930C7">
            <w:pPr>
              <w:spacing w:after="0"/>
              <w:jc w:val="right"/>
              <w:rPr>
                <w:rFonts w:eastAsia="Calibri" w:cs="Segoe UI"/>
                <w:sz w:val="18"/>
                <w:szCs w:val="18"/>
              </w:rPr>
            </w:pPr>
            <w:r>
              <w:rPr>
                <w:rFonts w:eastAsia="Calibri" w:cs="Segoe UI"/>
                <w:sz w:val="18"/>
                <w:szCs w:val="18"/>
              </w:rPr>
              <w:t>7 988 815</w:t>
            </w:r>
          </w:p>
        </w:tc>
        <w:tc>
          <w:tcPr>
            <w:tcW w:w="703" w:type="pct"/>
            <w:vAlign w:val="center"/>
          </w:tcPr>
          <w:p w14:paraId="1A4212F4" w14:textId="77777777" w:rsidR="009F5F8F" w:rsidRPr="00125972" w:rsidRDefault="009F5F8F" w:rsidP="00A930C7">
            <w:pPr>
              <w:spacing w:after="0"/>
              <w:jc w:val="right"/>
              <w:rPr>
                <w:rFonts w:eastAsia="Calibri" w:cs="Segoe UI"/>
                <w:sz w:val="18"/>
                <w:szCs w:val="18"/>
              </w:rPr>
            </w:pPr>
            <w:r>
              <w:rPr>
                <w:rFonts w:eastAsia="Calibri" w:cs="Segoe UI"/>
                <w:sz w:val="18"/>
                <w:szCs w:val="18"/>
              </w:rPr>
              <w:t>8 484 450</w:t>
            </w:r>
          </w:p>
        </w:tc>
        <w:tc>
          <w:tcPr>
            <w:tcW w:w="626" w:type="pct"/>
          </w:tcPr>
          <w:p w14:paraId="73DDE5F1" w14:textId="77777777" w:rsidR="009F5F8F" w:rsidRPr="00782A92" w:rsidRDefault="009F5F8F" w:rsidP="00A930C7">
            <w:pPr>
              <w:spacing w:after="0"/>
              <w:jc w:val="right"/>
              <w:rPr>
                <w:rFonts w:eastAsia="Calibri" w:cs="Segoe UI"/>
                <w:sz w:val="18"/>
                <w:szCs w:val="18"/>
              </w:rPr>
            </w:pPr>
            <w:r w:rsidRPr="00270C98">
              <w:rPr>
                <w:rFonts w:eastAsia="Calibri" w:cs="Segoe UI"/>
                <w:sz w:val="18"/>
                <w:szCs w:val="18"/>
              </w:rPr>
              <w:t xml:space="preserve"> 495 635 </w:t>
            </w:r>
          </w:p>
        </w:tc>
        <w:tc>
          <w:tcPr>
            <w:tcW w:w="467" w:type="pct"/>
          </w:tcPr>
          <w:p w14:paraId="22CB3D72"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109,3%</w:t>
            </w:r>
          </w:p>
        </w:tc>
      </w:tr>
      <w:tr w:rsidR="009F5F8F" w:rsidRPr="00125972" w14:paraId="1E9FC882" w14:textId="77777777" w:rsidTr="00A930C7">
        <w:trPr>
          <w:trHeight w:val="255"/>
        </w:trPr>
        <w:tc>
          <w:tcPr>
            <w:tcW w:w="1798" w:type="pct"/>
            <w:vAlign w:val="center"/>
          </w:tcPr>
          <w:p w14:paraId="460F52AA"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Spotrebné dane</w:t>
            </w:r>
          </w:p>
        </w:tc>
        <w:tc>
          <w:tcPr>
            <w:tcW w:w="703" w:type="pct"/>
            <w:vAlign w:val="center"/>
          </w:tcPr>
          <w:p w14:paraId="54E32E88" w14:textId="77777777" w:rsidR="009F5F8F" w:rsidRPr="00125972" w:rsidRDefault="009F5F8F" w:rsidP="00A930C7">
            <w:pPr>
              <w:spacing w:after="0"/>
              <w:jc w:val="right"/>
              <w:rPr>
                <w:rFonts w:eastAsia="Calibri" w:cs="Segoe UI"/>
                <w:sz w:val="18"/>
                <w:szCs w:val="18"/>
              </w:rPr>
            </w:pPr>
            <w:r>
              <w:rPr>
                <w:rFonts w:eastAsia="Calibri" w:cs="Segoe UI"/>
                <w:sz w:val="18"/>
                <w:szCs w:val="18"/>
              </w:rPr>
              <w:t>2 369 824</w:t>
            </w:r>
          </w:p>
        </w:tc>
        <w:tc>
          <w:tcPr>
            <w:tcW w:w="703" w:type="pct"/>
            <w:vAlign w:val="center"/>
          </w:tcPr>
          <w:p w14:paraId="2A7CEB07" w14:textId="77777777" w:rsidR="009F5F8F" w:rsidRPr="00125972" w:rsidRDefault="009F5F8F" w:rsidP="00A930C7">
            <w:pPr>
              <w:spacing w:after="0"/>
              <w:jc w:val="right"/>
              <w:rPr>
                <w:rFonts w:eastAsia="Calibri" w:cs="Segoe UI"/>
                <w:sz w:val="18"/>
                <w:szCs w:val="18"/>
              </w:rPr>
            </w:pPr>
            <w:r>
              <w:rPr>
                <w:rFonts w:eastAsia="Calibri" w:cs="Segoe UI"/>
                <w:sz w:val="18"/>
                <w:szCs w:val="18"/>
              </w:rPr>
              <w:t>2 497 366</w:t>
            </w:r>
          </w:p>
        </w:tc>
        <w:tc>
          <w:tcPr>
            <w:tcW w:w="703" w:type="pct"/>
            <w:vAlign w:val="center"/>
          </w:tcPr>
          <w:p w14:paraId="15513A4C" w14:textId="77777777" w:rsidR="009F5F8F" w:rsidRPr="00125972" w:rsidRDefault="009F5F8F" w:rsidP="00A930C7">
            <w:pPr>
              <w:spacing w:after="0"/>
              <w:jc w:val="right"/>
              <w:rPr>
                <w:rFonts w:eastAsia="Calibri" w:cs="Segoe UI"/>
                <w:sz w:val="18"/>
                <w:szCs w:val="18"/>
              </w:rPr>
            </w:pPr>
            <w:r>
              <w:rPr>
                <w:rFonts w:eastAsia="Calibri" w:cs="Segoe UI"/>
                <w:sz w:val="18"/>
                <w:szCs w:val="18"/>
              </w:rPr>
              <w:t>2 531 014</w:t>
            </w:r>
          </w:p>
        </w:tc>
        <w:tc>
          <w:tcPr>
            <w:tcW w:w="626" w:type="pct"/>
          </w:tcPr>
          <w:p w14:paraId="68362569"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33 648 </w:t>
            </w:r>
          </w:p>
        </w:tc>
        <w:tc>
          <w:tcPr>
            <w:tcW w:w="467" w:type="pct"/>
          </w:tcPr>
          <w:p w14:paraId="00462901"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106,8%</w:t>
            </w:r>
          </w:p>
        </w:tc>
      </w:tr>
      <w:tr w:rsidR="009F5F8F" w:rsidRPr="00125972" w14:paraId="33957E1A" w14:textId="77777777" w:rsidTr="00A930C7">
        <w:trPr>
          <w:trHeight w:val="255"/>
        </w:trPr>
        <w:tc>
          <w:tcPr>
            <w:tcW w:w="1798" w:type="pct"/>
            <w:vAlign w:val="center"/>
          </w:tcPr>
          <w:p w14:paraId="72DBDF18" w14:textId="77777777" w:rsidR="009F5F8F" w:rsidRPr="00493DDD" w:rsidRDefault="009F5F8F" w:rsidP="003451D7">
            <w:pPr>
              <w:pStyle w:val="Odsekzoznamu"/>
              <w:numPr>
                <w:ilvl w:val="0"/>
                <w:numId w:val="2"/>
              </w:numPr>
              <w:spacing w:after="0"/>
              <w:jc w:val="left"/>
              <w:rPr>
                <w:rFonts w:eastAsia="Calibri" w:cs="Segoe UI"/>
                <w:sz w:val="18"/>
                <w:szCs w:val="18"/>
              </w:rPr>
            </w:pPr>
            <w:r w:rsidRPr="00493DDD">
              <w:rPr>
                <w:rFonts w:eastAsia="Calibri" w:cs="Segoe UI"/>
                <w:sz w:val="18"/>
                <w:szCs w:val="18"/>
              </w:rPr>
              <w:t>Z minerálnych olejov</w:t>
            </w:r>
          </w:p>
        </w:tc>
        <w:tc>
          <w:tcPr>
            <w:tcW w:w="703" w:type="pct"/>
            <w:vAlign w:val="center"/>
          </w:tcPr>
          <w:p w14:paraId="780A88F6" w14:textId="77777777" w:rsidR="009F5F8F" w:rsidRPr="00125972" w:rsidRDefault="009F5F8F" w:rsidP="00A930C7">
            <w:pPr>
              <w:spacing w:after="0"/>
              <w:jc w:val="right"/>
              <w:rPr>
                <w:rFonts w:eastAsia="Calibri" w:cs="Segoe UI"/>
                <w:sz w:val="18"/>
                <w:szCs w:val="18"/>
              </w:rPr>
            </w:pPr>
            <w:r>
              <w:rPr>
                <w:rFonts w:eastAsia="Calibri" w:cs="Segoe UI"/>
                <w:sz w:val="18"/>
                <w:szCs w:val="18"/>
              </w:rPr>
              <w:t>1 236 780</w:t>
            </w:r>
          </w:p>
        </w:tc>
        <w:tc>
          <w:tcPr>
            <w:tcW w:w="703" w:type="pct"/>
            <w:vAlign w:val="center"/>
          </w:tcPr>
          <w:p w14:paraId="47353F47" w14:textId="77777777" w:rsidR="009F5F8F" w:rsidRPr="00125972" w:rsidRDefault="009F5F8F" w:rsidP="00A930C7">
            <w:pPr>
              <w:spacing w:after="0"/>
              <w:jc w:val="right"/>
              <w:rPr>
                <w:rFonts w:eastAsia="Calibri" w:cs="Segoe UI"/>
                <w:sz w:val="18"/>
                <w:szCs w:val="18"/>
              </w:rPr>
            </w:pPr>
            <w:r>
              <w:rPr>
                <w:rFonts w:eastAsia="Calibri" w:cs="Segoe UI"/>
                <w:sz w:val="18"/>
                <w:szCs w:val="18"/>
              </w:rPr>
              <w:t>1 293 984</w:t>
            </w:r>
          </w:p>
        </w:tc>
        <w:tc>
          <w:tcPr>
            <w:tcW w:w="703" w:type="pct"/>
            <w:vAlign w:val="center"/>
          </w:tcPr>
          <w:p w14:paraId="60C94EA6" w14:textId="77777777" w:rsidR="009F5F8F" w:rsidRPr="00125972" w:rsidRDefault="009F5F8F" w:rsidP="00A930C7">
            <w:pPr>
              <w:spacing w:after="0"/>
              <w:jc w:val="right"/>
              <w:rPr>
                <w:rFonts w:eastAsia="Calibri" w:cs="Segoe UI"/>
                <w:sz w:val="18"/>
                <w:szCs w:val="18"/>
              </w:rPr>
            </w:pPr>
            <w:r>
              <w:rPr>
                <w:rFonts w:eastAsia="Calibri" w:cs="Segoe UI"/>
                <w:sz w:val="18"/>
                <w:szCs w:val="18"/>
              </w:rPr>
              <w:t>1 294 143</w:t>
            </w:r>
          </w:p>
        </w:tc>
        <w:tc>
          <w:tcPr>
            <w:tcW w:w="626" w:type="pct"/>
          </w:tcPr>
          <w:p w14:paraId="25DB1790"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159 </w:t>
            </w:r>
          </w:p>
        </w:tc>
        <w:tc>
          <w:tcPr>
            <w:tcW w:w="467" w:type="pct"/>
          </w:tcPr>
          <w:p w14:paraId="6123C04F"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104,6%</w:t>
            </w:r>
          </w:p>
        </w:tc>
      </w:tr>
      <w:tr w:rsidR="009F5F8F" w:rsidRPr="00125972" w14:paraId="240241CF" w14:textId="77777777" w:rsidTr="00A930C7">
        <w:trPr>
          <w:trHeight w:val="255"/>
        </w:trPr>
        <w:tc>
          <w:tcPr>
            <w:tcW w:w="1798" w:type="pct"/>
            <w:vAlign w:val="center"/>
          </w:tcPr>
          <w:p w14:paraId="09137866" w14:textId="77777777" w:rsidR="009F5F8F" w:rsidRPr="00493DDD" w:rsidRDefault="009F5F8F" w:rsidP="003451D7">
            <w:pPr>
              <w:pStyle w:val="Odsekzoznamu"/>
              <w:numPr>
                <w:ilvl w:val="0"/>
                <w:numId w:val="2"/>
              </w:numPr>
              <w:spacing w:after="0"/>
              <w:jc w:val="left"/>
              <w:rPr>
                <w:rFonts w:eastAsia="Calibri" w:cs="Segoe UI"/>
                <w:sz w:val="18"/>
                <w:szCs w:val="18"/>
              </w:rPr>
            </w:pPr>
            <w:r w:rsidRPr="00493DDD">
              <w:rPr>
                <w:rFonts w:eastAsia="Calibri" w:cs="Segoe UI"/>
                <w:sz w:val="18"/>
                <w:szCs w:val="18"/>
              </w:rPr>
              <w:t>Z tabaku a tabakových výrobkov</w:t>
            </w:r>
          </w:p>
        </w:tc>
        <w:tc>
          <w:tcPr>
            <w:tcW w:w="703" w:type="pct"/>
            <w:vAlign w:val="center"/>
          </w:tcPr>
          <w:p w14:paraId="4AFEA96F" w14:textId="77777777" w:rsidR="009F5F8F" w:rsidRPr="00125972" w:rsidRDefault="009F5F8F" w:rsidP="00A930C7">
            <w:pPr>
              <w:spacing w:after="0"/>
              <w:jc w:val="right"/>
              <w:rPr>
                <w:rFonts w:eastAsia="Calibri" w:cs="Segoe UI"/>
                <w:sz w:val="18"/>
                <w:szCs w:val="18"/>
              </w:rPr>
            </w:pPr>
            <w:r>
              <w:rPr>
                <w:rFonts w:eastAsia="Calibri" w:cs="Segoe UI"/>
                <w:sz w:val="18"/>
                <w:szCs w:val="18"/>
              </w:rPr>
              <w:t>823 107</w:t>
            </w:r>
          </w:p>
        </w:tc>
        <w:tc>
          <w:tcPr>
            <w:tcW w:w="703" w:type="pct"/>
            <w:vAlign w:val="center"/>
          </w:tcPr>
          <w:p w14:paraId="26B6F2FF" w14:textId="77777777" w:rsidR="009F5F8F" w:rsidRPr="00125972" w:rsidRDefault="009F5F8F" w:rsidP="00A930C7">
            <w:pPr>
              <w:spacing w:after="0"/>
              <w:jc w:val="right"/>
              <w:rPr>
                <w:rFonts w:eastAsia="Calibri" w:cs="Segoe UI"/>
                <w:sz w:val="18"/>
                <w:szCs w:val="18"/>
              </w:rPr>
            </w:pPr>
            <w:r>
              <w:rPr>
                <w:rFonts w:eastAsia="Calibri" w:cs="Segoe UI"/>
                <w:sz w:val="18"/>
                <w:szCs w:val="18"/>
              </w:rPr>
              <w:t>896 088</w:t>
            </w:r>
          </w:p>
        </w:tc>
        <w:tc>
          <w:tcPr>
            <w:tcW w:w="703" w:type="pct"/>
            <w:vAlign w:val="center"/>
          </w:tcPr>
          <w:p w14:paraId="5394FB26" w14:textId="77777777" w:rsidR="009F5F8F" w:rsidRPr="00125972" w:rsidRDefault="009F5F8F" w:rsidP="00A930C7">
            <w:pPr>
              <w:spacing w:after="0"/>
              <w:jc w:val="right"/>
              <w:rPr>
                <w:rFonts w:eastAsia="Calibri" w:cs="Segoe UI"/>
                <w:sz w:val="18"/>
                <w:szCs w:val="18"/>
              </w:rPr>
            </w:pPr>
            <w:r>
              <w:rPr>
                <w:rFonts w:eastAsia="Calibri" w:cs="Segoe UI"/>
                <w:sz w:val="18"/>
                <w:szCs w:val="18"/>
              </w:rPr>
              <w:t>901 198</w:t>
            </w:r>
          </w:p>
        </w:tc>
        <w:tc>
          <w:tcPr>
            <w:tcW w:w="626" w:type="pct"/>
          </w:tcPr>
          <w:p w14:paraId="1573CAD5"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5 110 </w:t>
            </w:r>
          </w:p>
        </w:tc>
        <w:tc>
          <w:tcPr>
            <w:tcW w:w="467" w:type="pct"/>
          </w:tcPr>
          <w:p w14:paraId="163901AF"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109,5%</w:t>
            </w:r>
          </w:p>
        </w:tc>
      </w:tr>
      <w:tr w:rsidR="009F5F8F" w:rsidRPr="00125972" w14:paraId="5DBDF5EE" w14:textId="77777777" w:rsidTr="00A930C7">
        <w:trPr>
          <w:trHeight w:val="255"/>
        </w:trPr>
        <w:tc>
          <w:tcPr>
            <w:tcW w:w="1798" w:type="pct"/>
            <w:vAlign w:val="center"/>
          </w:tcPr>
          <w:p w14:paraId="05A374A0"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Dane z majetku (nehnuteľnosti)</w:t>
            </w:r>
          </w:p>
        </w:tc>
        <w:tc>
          <w:tcPr>
            <w:tcW w:w="703" w:type="pct"/>
            <w:vAlign w:val="center"/>
          </w:tcPr>
          <w:p w14:paraId="6ABDCA1B" w14:textId="77777777" w:rsidR="009F5F8F" w:rsidRPr="00125972" w:rsidRDefault="009F5F8F" w:rsidP="00A930C7">
            <w:pPr>
              <w:spacing w:after="0"/>
              <w:jc w:val="right"/>
              <w:rPr>
                <w:rFonts w:eastAsia="Calibri" w:cs="Segoe UI"/>
                <w:sz w:val="18"/>
                <w:szCs w:val="18"/>
              </w:rPr>
            </w:pPr>
            <w:r>
              <w:rPr>
                <w:rFonts w:eastAsia="Calibri" w:cs="Segoe UI"/>
                <w:sz w:val="18"/>
                <w:szCs w:val="18"/>
              </w:rPr>
              <w:t>455 911</w:t>
            </w:r>
          </w:p>
        </w:tc>
        <w:tc>
          <w:tcPr>
            <w:tcW w:w="703" w:type="pct"/>
            <w:vAlign w:val="center"/>
          </w:tcPr>
          <w:p w14:paraId="0DFF5F8E" w14:textId="77777777" w:rsidR="009F5F8F" w:rsidRPr="00125972" w:rsidRDefault="009F5F8F" w:rsidP="00A930C7">
            <w:pPr>
              <w:spacing w:after="0"/>
              <w:jc w:val="right"/>
              <w:rPr>
                <w:rFonts w:eastAsia="Calibri" w:cs="Segoe UI"/>
                <w:sz w:val="18"/>
                <w:szCs w:val="18"/>
              </w:rPr>
            </w:pPr>
            <w:r>
              <w:rPr>
                <w:rFonts w:eastAsia="Calibri" w:cs="Segoe UI"/>
                <w:sz w:val="18"/>
                <w:szCs w:val="18"/>
              </w:rPr>
              <w:t>453 331</w:t>
            </w:r>
          </w:p>
        </w:tc>
        <w:tc>
          <w:tcPr>
            <w:tcW w:w="703" w:type="pct"/>
            <w:vAlign w:val="center"/>
          </w:tcPr>
          <w:p w14:paraId="190173B9" w14:textId="77777777" w:rsidR="009F5F8F" w:rsidRPr="00125972" w:rsidRDefault="009F5F8F" w:rsidP="00A930C7">
            <w:pPr>
              <w:spacing w:after="0"/>
              <w:jc w:val="right"/>
              <w:rPr>
                <w:rFonts w:eastAsia="Calibri" w:cs="Segoe UI"/>
                <w:sz w:val="18"/>
                <w:szCs w:val="18"/>
              </w:rPr>
            </w:pPr>
            <w:r>
              <w:rPr>
                <w:rFonts w:eastAsia="Calibri" w:cs="Segoe UI"/>
                <w:sz w:val="18"/>
                <w:szCs w:val="18"/>
              </w:rPr>
              <w:t>456 736</w:t>
            </w:r>
          </w:p>
        </w:tc>
        <w:tc>
          <w:tcPr>
            <w:tcW w:w="626" w:type="pct"/>
          </w:tcPr>
          <w:p w14:paraId="67C14F54"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3 405 </w:t>
            </w:r>
          </w:p>
        </w:tc>
        <w:tc>
          <w:tcPr>
            <w:tcW w:w="467" w:type="pct"/>
          </w:tcPr>
          <w:p w14:paraId="7E0D4285"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100,2%</w:t>
            </w:r>
          </w:p>
        </w:tc>
      </w:tr>
      <w:tr w:rsidR="009F5F8F" w:rsidRPr="00125972" w14:paraId="26E4B4DD" w14:textId="77777777" w:rsidTr="00A930C7">
        <w:trPr>
          <w:trHeight w:val="255"/>
        </w:trPr>
        <w:tc>
          <w:tcPr>
            <w:tcW w:w="1798" w:type="pct"/>
            <w:vAlign w:val="center"/>
          </w:tcPr>
          <w:p w14:paraId="5B9090FD"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Dane z medzinárodného obchodu</w:t>
            </w:r>
          </w:p>
        </w:tc>
        <w:tc>
          <w:tcPr>
            <w:tcW w:w="703" w:type="pct"/>
            <w:vAlign w:val="center"/>
          </w:tcPr>
          <w:p w14:paraId="54171878" w14:textId="77777777" w:rsidR="009F5F8F" w:rsidRPr="00125972" w:rsidRDefault="009F5F8F" w:rsidP="00A930C7">
            <w:pPr>
              <w:spacing w:after="0"/>
              <w:jc w:val="right"/>
              <w:rPr>
                <w:rFonts w:eastAsia="Calibri" w:cs="Segoe UI"/>
                <w:sz w:val="18"/>
                <w:szCs w:val="18"/>
              </w:rPr>
            </w:pPr>
            <w:r>
              <w:rPr>
                <w:rFonts w:eastAsia="Calibri" w:cs="Segoe UI"/>
                <w:sz w:val="18"/>
                <w:szCs w:val="18"/>
              </w:rPr>
              <w:t>448 206</w:t>
            </w:r>
          </w:p>
        </w:tc>
        <w:tc>
          <w:tcPr>
            <w:tcW w:w="703" w:type="pct"/>
            <w:vAlign w:val="center"/>
          </w:tcPr>
          <w:p w14:paraId="15129647" w14:textId="77777777" w:rsidR="009F5F8F" w:rsidRPr="00125972" w:rsidRDefault="009F5F8F" w:rsidP="00A930C7">
            <w:pPr>
              <w:spacing w:after="0"/>
              <w:jc w:val="right"/>
              <w:rPr>
                <w:rFonts w:eastAsia="Calibri" w:cs="Segoe UI"/>
                <w:sz w:val="18"/>
                <w:szCs w:val="18"/>
              </w:rPr>
            </w:pPr>
            <w:r>
              <w:rPr>
                <w:rFonts w:eastAsia="Calibri" w:cs="Segoe UI"/>
                <w:sz w:val="18"/>
                <w:szCs w:val="18"/>
              </w:rPr>
              <w:t>456 056</w:t>
            </w:r>
          </w:p>
        </w:tc>
        <w:tc>
          <w:tcPr>
            <w:tcW w:w="703" w:type="pct"/>
            <w:vAlign w:val="center"/>
          </w:tcPr>
          <w:p w14:paraId="051BDDBD" w14:textId="77777777" w:rsidR="009F5F8F" w:rsidRPr="00125972" w:rsidRDefault="009F5F8F" w:rsidP="00A930C7">
            <w:pPr>
              <w:spacing w:after="0"/>
              <w:jc w:val="right"/>
              <w:rPr>
                <w:rFonts w:eastAsia="Calibri" w:cs="Segoe UI"/>
                <w:sz w:val="18"/>
                <w:szCs w:val="18"/>
              </w:rPr>
            </w:pPr>
            <w:r>
              <w:rPr>
                <w:rFonts w:eastAsia="Calibri" w:cs="Segoe UI"/>
                <w:sz w:val="18"/>
                <w:szCs w:val="18"/>
              </w:rPr>
              <w:t>982 003</w:t>
            </w:r>
          </w:p>
        </w:tc>
        <w:tc>
          <w:tcPr>
            <w:tcW w:w="626" w:type="pct"/>
          </w:tcPr>
          <w:p w14:paraId="19165B21"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525 947 </w:t>
            </w:r>
          </w:p>
        </w:tc>
        <w:tc>
          <w:tcPr>
            <w:tcW w:w="467" w:type="pct"/>
          </w:tcPr>
          <w:p w14:paraId="09B2AEB3"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219,1%</w:t>
            </w:r>
          </w:p>
        </w:tc>
      </w:tr>
      <w:tr w:rsidR="009F5F8F" w:rsidRPr="00125972" w14:paraId="28B92D3D" w14:textId="77777777" w:rsidTr="00A930C7">
        <w:trPr>
          <w:trHeight w:val="255"/>
        </w:trPr>
        <w:tc>
          <w:tcPr>
            <w:tcW w:w="1798" w:type="pct"/>
            <w:tcBorders>
              <w:bottom w:val="single" w:sz="4" w:space="0" w:color="314364" w:themeColor="text2"/>
            </w:tcBorders>
            <w:vAlign w:val="center"/>
          </w:tcPr>
          <w:p w14:paraId="2EFB3FBA"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Ostatné dane a poplatky</w:t>
            </w:r>
          </w:p>
        </w:tc>
        <w:tc>
          <w:tcPr>
            <w:tcW w:w="703" w:type="pct"/>
            <w:tcBorders>
              <w:bottom w:val="single" w:sz="4" w:space="0" w:color="314364" w:themeColor="text2"/>
            </w:tcBorders>
            <w:vAlign w:val="center"/>
          </w:tcPr>
          <w:p w14:paraId="77C89A4F" w14:textId="77777777" w:rsidR="009F5F8F" w:rsidRPr="00125972" w:rsidRDefault="009F5F8F" w:rsidP="00A930C7">
            <w:pPr>
              <w:spacing w:after="0"/>
              <w:jc w:val="right"/>
              <w:rPr>
                <w:rFonts w:eastAsia="Calibri" w:cs="Segoe UI"/>
                <w:sz w:val="18"/>
                <w:szCs w:val="18"/>
              </w:rPr>
            </w:pPr>
            <w:r>
              <w:rPr>
                <w:rFonts w:eastAsia="Calibri" w:cs="Segoe UI"/>
                <w:b/>
                <w:sz w:val="18"/>
                <w:szCs w:val="18"/>
              </w:rPr>
              <w:t>12 948 779</w:t>
            </w:r>
          </w:p>
        </w:tc>
        <w:tc>
          <w:tcPr>
            <w:tcW w:w="703" w:type="pct"/>
            <w:tcBorders>
              <w:bottom w:val="single" w:sz="4" w:space="0" w:color="314364" w:themeColor="text2"/>
            </w:tcBorders>
            <w:vAlign w:val="center"/>
          </w:tcPr>
          <w:p w14:paraId="65D4BD6F" w14:textId="77777777" w:rsidR="009F5F8F" w:rsidRPr="00125972" w:rsidRDefault="009F5F8F" w:rsidP="00A930C7">
            <w:pPr>
              <w:spacing w:after="0"/>
              <w:jc w:val="right"/>
              <w:rPr>
                <w:rFonts w:eastAsia="Calibri" w:cs="Segoe UI"/>
                <w:sz w:val="18"/>
                <w:szCs w:val="18"/>
              </w:rPr>
            </w:pPr>
            <w:r>
              <w:rPr>
                <w:rFonts w:eastAsia="Calibri" w:cs="Segoe UI"/>
                <w:b/>
                <w:sz w:val="18"/>
                <w:szCs w:val="18"/>
              </w:rPr>
              <w:t>13 640 197</w:t>
            </w:r>
          </w:p>
        </w:tc>
        <w:tc>
          <w:tcPr>
            <w:tcW w:w="703" w:type="pct"/>
            <w:tcBorders>
              <w:bottom w:val="single" w:sz="4" w:space="0" w:color="314364" w:themeColor="text2"/>
            </w:tcBorders>
            <w:vAlign w:val="center"/>
          </w:tcPr>
          <w:p w14:paraId="2D744B87" w14:textId="77777777" w:rsidR="009F5F8F" w:rsidRPr="00125972" w:rsidRDefault="009F5F8F" w:rsidP="00A930C7">
            <w:pPr>
              <w:spacing w:after="0"/>
              <w:jc w:val="right"/>
              <w:rPr>
                <w:rFonts w:eastAsia="Calibri" w:cs="Segoe UI"/>
                <w:sz w:val="18"/>
                <w:szCs w:val="18"/>
              </w:rPr>
            </w:pPr>
            <w:r>
              <w:rPr>
                <w:rFonts w:eastAsia="Calibri" w:cs="Segoe UI"/>
                <w:b/>
                <w:sz w:val="18"/>
                <w:szCs w:val="18"/>
              </w:rPr>
              <w:t>14 223 548</w:t>
            </w:r>
          </w:p>
        </w:tc>
        <w:tc>
          <w:tcPr>
            <w:tcW w:w="626" w:type="pct"/>
            <w:tcBorders>
              <w:bottom w:val="single" w:sz="4" w:space="0" w:color="314364" w:themeColor="text2"/>
            </w:tcBorders>
          </w:tcPr>
          <w:p w14:paraId="61824BB7" w14:textId="77777777" w:rsidR="009F5F8F" w:rsidRPr="00125972" w:rsidRDefault="009F5F8F" w:rsidP="00A930C7">
            <w:pPr>
              <w:spacing w:after="0"/>
              <w:jc w:val="right"/>
              <w:rPr>
                <w:rFonts w:eastAsia="Calibri" w:cs="Segoe UI"/>
                <w:sz w:val="18"/>
                <w:szCs w:val="18"/>
              </w:rPr>
            </w:pPr>
            <w:r w:rsidRPr="00270C98">
              <w:rPr>
                <w:rFonts w:eastAsia="Calibri" w:cs="Segoe UI"/>
                <w:b/>
                <w:sz w:val="18"/>
                <w:szCs w:val="18"/>
              </w:rPr>
              <w:t xml:space="preserve"> 583 351 </w:t>
            </w:r>
          </w:p>
        </w:tc>
        <w:tc>
          <w:tcPr>
            <w:tcW w:w="467" w:type="pct"/>
            <w:tcBorders>
              <w:bottom w:val="single" w:sz="4" w:space="0" w:color="314364" w:themeColor="text2"/>
            </w:tcBorders>
          </w:tcPr>
          <w:p w14:paraId="5E9F84DE" w14:textId="77777777" w:rsidR="009F5F8F" w:rsidRPr="00125972" w:rsidRDefault="009F5F8F" w:rsidP="00A930C7">
            <w:pPr>
              <w:spacing w:after="0"/>
              <w:jc w:val="right"/>
              <w:rPr>
                <w:rFonts w:eastAsia="Calibri" w:cs="Segoe UI"/>
                <w:sz w:val="18"/>
                <w:szCs w:val="18"/>
              </w:rPr>
            </w:pPr>
            <w:r w:rsidRPr="00270C98">
              <w:rPr>
                <w:rFonts w:eastAsia="Calibri" w:cs="Segoe UI"/>
                <w:b/>
                <w:sz w:val="18"/>
                <w:szCs w:val="18"/>
              </w:rPr>
              <w:t>109,8%</w:t>
            </w:r>
          </w:p>
        </w:tc>
      </w:tr>
      <w:tr w:rsidR="009F5F8F" w:rsidRPr="00125972" w14:paraId="417BBA69" w14:textId="77777777" w:rsidTr="00A930C7">
        <w:trPr>
          <w:trHeight w:val="255"/>
        </w:trPr>
        <w:tc>
          <w:tcPr>
            <w:tcW w:w="1798" w:type="pct"/>
            <w:tcBorders>
              <w:top w:val="single" w:sz="4" w:space="0" w:color="314364" w:themeColor="text2"/>
            </w:tcBorders>
            <w:vAlign w:val="center"/>
          </w:tcPr>
          <w:p w14:paraId="630948E9" w14:textId="77777777" w:rsidR="009F5F8F" w:rsidRPr="00125972" w:rsidRDefault="009F5F8F" w:rsidP="00A930C7">
            <w:pPr>
              <w:spacing w:after="0"/>
              <w:jc w:val="left"/>
              <w:rPr>
                <w:rFonts w:eastAsia="Calibri" w:cs="Segoe UI"/>
                <w:b/>
                <w:sz w:val="18"/>
                <w:szCs w:val="18"/>
              </w:rPr>
            </w:pPr>
            <w:r w:rsidRPr="00125972">
              <w:rPr>
                <w:rFonts w:eastAsia="Calibri" w:cs="Segoe UI"/>
                <w:b/>
                <w:sz w:val="18"/>
                <w:szCs w:val="18"/>
              </w:rPr>
              <w:t>FSZP spolu</w:t>
            </w:r>
          </w:p>
        </w:tc>
        <w:tc>
          <w:tcPr>
            <w:tcW w:w="703" w:type="pct"/>
            <w:tcBorders>
              <w:top w:val="single" w:sz="4" w:space="0" w:color="314364" w:themeColor="text2"/>
            </w:tcBorders>
            <w:vAlign w:val="center"/>
          </w:tcPr>
          <w:p w14:paraId="763F04FB" w14:textId="77777777" w:rsidR="009F5F8F" w:rsidRPr="00125972" w:rsidRDefault="009F5F8F" w:rsidP="00A930C7">
            <w:pPr>
              <w:spacing w:after="0"/>
              <w:jc w:val="right"/>
              <w:rPr>
                <w:rFonts w:eastAsia="Calibri" w:cs="Segoe UI"/>
                <w:b/>
                <w:sz w:val="18"/>
                <w:szCs w:val="18"/>
              </w:rPr>
            </w:pPr>
            <w:r>
              <w:rPr>
                <w:rFonts w:eastAsia="Calibri" w:cs="Segoe UI"/>
                <w:sz w:val="18"/>
                <w:szCs w:val="18"/>
              </w:rPr>
              <w:t>8 614 843</w:t>
            </w:r>
          </w:p>
        </w:tc>
        <w:tc>
          <w:tcPr>
            <w:tcW w:w="703" w:type="pct"/>
            <w:tcBorders>
              <w:top w:val="single" w:sz="4" w:space="0" w:color="314364" w:themeColor="text2"/>
            </w:tcBorders>
            <w:vAlign w:val="center"/>
          </w:tcPr>
          <w:p w14:paraId="6AAF186D" w14:textId="77777777" w:rsidR="009F5F8F" w:rsidRPr="00125972" w:rsidRDefault="009F5F8F" w:rsidP="00A930C7">
            <w:pPr>
              <w:spacing w:after="0"/>
              <w:jc w:val="right"/>
              <w:rPr>
                <w:rFonts w:eastAsia="Calibri" w:cs="Segoe UI"/>
                <w:b/>
                <w:sz w:val="18"/>
                <w:szCs w:val="18"/>
              </w:rPr>
            </w:pPr>
            <w:r>
              <w:rPr>
                <w:rFonts w:eastAsia="Calibri" w:cs="Segoe UI"/>
                <w:sz w:val="18"/>
                <w:szCs w:val="18"/>
              </w:rPr>
              <w:t>9 083 009</w:t>
            </w:r>
          </w:p>
        </w:tc>
        <w:tc>
          <w:tcPr>
            <w:tcW w:w="703" w:type="pct"/>
            <w:tcBorders>
              <w:top w:val="single" w:sz="4" w:space="0" w:color="314364" w:themeColor="text2"/>
            </w:tcBorders>
            <w:vAlign w:val="center"/>
          </w:tcPr>
          <w:p w14:paraId="5A49088E" w14:textId="77777777" w:rsidR="009F5F8F" w:rsidRPr="00125972" w:rsidRDefault="009F5F8F" w:rsidP="00A930C7">
            <w:pPr>
              <w:spacing w:after="0"/>
              <w:jc w:val="right"/>
              <w:rPr>
                <w:rFonts w:eastAsia="Calibri" w:cs="Segoe UI"/>
                <w:b/>
                <w:sz w:val="18"/>
                <w:szCs w:val="18"/>
              </w:rPr>
            </w:pPr>
            <w:r>
              <w:rPr>
                <w:rFonts w:eastAsia="Calibri" w:cs="Segoe UI"/>
                <w:sz w:val="18"/>
                <w:szCs w:val="18"/>
              </w:rPr>
              <w:t>9 515 548</w:t>
            </w:r>
          </w:p>
        </w:tc>
        <w:tc>
          <w:tcPr>
            <w:tcW w:w="626" w:type="pct"/>
            <w:tcBorders>
              <w:top w:val="single" w:sz="4" w:space="0" w:color="314364" w:themeColor="text2"/>
            </w:tcBorders>
          </w:tcPr>
          <w:p w14:paraId="3EDA0C33" w14:textId="77777777" w:rsidR="009F5F8F" w:rsidRPr="00125972" w:rsidRDefault="009F5F8F" w:rsidP="00A930C7">
            <w:pPr>
              <w:spacing w:after="0"/>
              <w:jc w:val="right"/>
              <w:rPr>
                <w:rFonts w:eastAsia="Calibri" w:cs="Segoe UI"/>
                <w:b/>
                <w:sz w:val="18"/>
                <w:szCs w:val="18"/>
              </w:rPr>
            </w:pPr>
            <w:r w:rsidRPr="00270C98">
              <w:rPr>
                <w:rFonts w:eastAsia="Calibri" w:cs="Segoe UI"/>
                <w:sz w:val="18"/>
                <w:szCs w:val="18"/>
              </w:rPr>
              <w:t xml:space="preserve"> 432 539 </w:t>
            </w:r>
          </w:p>
        </w:tc>
        <w:tc>
          <w:tcPr>
            <w:tcW w:w="467" w:type="pct"/>
            <w:tcBorders>
              <w:top w:val="single" w:sz="4" w:space="0" w:color="314364" w:themeColor="text2"/>
            </w:tcBorders>
          </w:tcPr>
          <w:p w14:paraId="4E12C77C" w14:textId="77777777" w:rsidR="009F5F8F" w:rsidRPr="00125972" w:rsidRDefault="009F5F8F" w:rsidP="00A930C7">
            <w:pPr>
              <w:spacing w:after="0"/>
              <w:jc w:val="right"/>
              <w:rPr>
                <w:rFonts w:eastAsia="Calibri" w:cs="Segoe UI"/>
                <w:b/>
                <w:sz w:val="18"/>
                <w:szCs w:val="18"/>
              </w:rPr>
            </w:pPr>
            <w:r w:rsidRPr="00270C98">
              <w:rPr>
                <w:rFonts w:eastAsia="Calibri" w:cs="Segoe UI"/>
                <w:sz w:val="18"/>
                <w:szCs w:val="18"/>
              </w:rPr>
              <w:t>110,5%</w:t>
            </w:r>
          </w:p>
        </w:tc>
      </w:tr>
      <w:tr w:rsidR="009F5F8F" w:rsidRPr="00125972" w14:paraId="41614B7E" w14:textId="77777777" w:rsidTr="00A930C7">
        <w:trPr>
          <w:trHeight w:val="255"/>
        </w:trPr>
        <w:tc>
          <w:tcPr>
            <w:tcW w:w="1798" w:type="pct"/>
            <w:vAlign w:val="center"/>
          </w:tcPr>
          <w:p w14:paraId="42AB2A3B"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Sociálna poisťovňa</w:t>
            </w:r>
          </w:p>
        </w:tc>
        <w:tc>
          <w:tcPr>
            <w:tcW w:w="703" w:type="pct"/>
            <w:vAlign w:val="center"/>
          </w:tcPr>
          <w:p w14:paraId="3B7FFC57" w14:textId="77777777" w:rsidR="009F5F8F" w:rsidRPr="00125972" w:rsidRDefault="009F5F8F" w:rsidP="00A930C7">
            <w:pPr>
              <w:spacing w:after="0"/>
              <w:jc w:val="right"/>
              <w:rPr>
                <w:rFonts w:eastAsia="Calibri" w:cs="Segoe UI"/>
                <w:sz w:val="18"/>
                <w:szCs w:val="18"/>
              </w:rPr>
            </w:pPr>
            <w:r>
              <w:rPr>
                <w:rFonts w:eastAsia="Calibri" w:cs="Segoe UI"/>
                <w:sz w:val="18"/>
                <w:szCs w:val="18"/>
              </w:rPr>
              <w:t>4 333 936</w:t>
            </w:r>
          </w:p>
        </w:tc>
        <w:tc>
          <w:tcPr>
            <w:tcW w:w="703" w:type="pct"/>
            <w:vAlign w:val="center"/>
          </w:tcPr>
          <w:p w14:paraId="38006674" w14:textId="77777777" w:rsidR="009F5F8F" w:rsidRPr="00125972" w:rsidRDefault="009F5F8F" w:rsidP="00A930C7">
            <w:pPr>
              <w:spacing w:after="0"/>
              <w:jc w:val="right"/>
              <w:rPr>
                <w:rFonts w:eastAsia="Calibri" w:cs="Segoe UI"/>
                <w:sz w:val="18"/>
                <w:szCs w:val="18"/>
              </w:rPr>
            </w:pPr>
            <w:r>
              <w:rPr>
                <w:rFonts w:eastAsia="Calibri" w:cs="Segoe UI"/>
                <w:sz w:val="18"/>
                <w:szCs w:val="18"/>
              </w:rPr>
              <w:t>4 557 188</w:t>
            </w:r>
          </w:p>
        </w:tc>
        <w:tc>
          <w:tcPr>
            <w:tcW w:w="703" w:type="pct"/>
            <w:vAlign w:val="center"/>
          </w:tcPr>
          <w:p w14:paraId="0267499C" w14:textId="77777777" w:rsidR="009F5F8F" w:rsidRPr="00125972" w:rsidRDefault="009F5F8F" w:rsidP="00A930C7">
            <w:pPr>
              <w:spacing w:after="0"/>
              <w:jc w:val="right"/>
              <w:rPr>
                <w:rFonts w:eastAsia="Calibri" w:cs="Segoe UI"/>
                <w:sz w:val="18"/>
                <w:szCs w:val="18"/>
              </w:rPr>
            </w:pPr>
            <w:r>
              <w:rPr>
                <w:rFonts w:eastAsia="Calibri" w:cs="Segoe UI"/>
                <w:sz w:val="18"/>
                <w:szCs w:val="18"/>
              </w:rPr>
              <w:t>4 707 999</w:t>
            </w:r>
          </w:p>
        </w:tc>
        <w:tc>
          <w:tcPr>
            <w:tcW w:w="626" w:type="pct"/>
          </w:tcPr>
          <w:p w14:paraId="4F7F9480"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150 811 </w:t>
            </w:r>
          </w:p>
        </w:tc>
        <w:tc>
          <w:tcPr>
            <w:tcW w:w="467" w:type="pct"/>
          </w:tcPr>
          <w:p w14:paraId="6C70E07F"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108,6%</w:t>
            </w:r>
          </w:p>
        </w:tc>
      </w:tr>
      <w:tr w:rsidR="009F5F8F" w:rsidRPr="00125972" w14:paraId="74370674" w14:textId="77777777" w:rsidTr="00A930C7">
        <w:trPr>
          <w:trHeight w:val="255"/>
        </w:trPr>
        <w:tc>
          <w:tcPr>
            <w:tcW w:w="1798" w:type="pct"/>
            <w:tcBorders>
              <w:bottom w:val="single" w:sz="4" w:space="0" w:color="314364" w:themeColor="text2"/>
            </w:tcBorders>
            <w:vAlign w:val="center"/>
          </w:tcPr>
          <w:p w14:paraId="4C99F538" w14:textId="77777777" w:rsidR="009F5F8F" w:rsidRPr="00125972" w:rsidRDefault="009F5F8F" w:rsidP="00A930C7">
            <w:pPr>
              <w:spacing w:after="0"/>
              <w:jc w:val="left"/>
              <w:rPr>
                <w:rFonts w:eastAsia="Calibri" w:cs="Segoe UI"/>
                <w:sz w:val="18"/>
                <w:szCs w:val="18"/>
              </w:rPr>
            </w:pPr>
            <w:r w:rsidRPr="00125972">
              <w:rPr>
                <w:rFonts w:eastAsia="Calibri" w:cs="Segoe UI"/>
                <w:sz w:val="18"/>
                <w:szCs w:val="18"/>
              </w:rPr>
              <w:t>Zdravotné poisťovne</w:t>
            </w:r>
          </w:p>
        </w:tc>
        <w:tc>
          <w:tcPr>
            <w:tcW w:w="703" w:type="pct"/>
            <w:tcBorders>
              <w:bottom w:val="single" w:sz="4" w:space="0" w:color="314364" w:themeColor="text2"/>
            </w:tcBorders>
            <w:vAlign w:val="center"/>
          </w:tcPr>
          <w:p w14:paraId="49613405" w14:textId="77777777" w:rsidR="009F5F8F" w:rsidRPr="00125972" w:rsidRDefault="009F5F8F" w:rsidP="00A930C7">
            <w:pPr>
              <w:spacing w:after="0"/>
              <w:jc w:val="right"/>
              <w:rPr>
                <w:rFonts w:eastAsia="Calibri" w:cs="Segoe UI"/>
                <w:sz w:val="18"/>
                <w:szCs w:val="18"/>
              </w:rPr>
            </w:pPr>
            <w:r>
              <w:rPr>
                <w:rFonts w:eastAsia="Calibri" w:cs="Segoe UI"/>
                <w:b/>
                <w:sz w:val="18"/>
                <w:szCs w:val="18"/>
              </w:rPr>
              <w:t>30 702 620</w:t>
            </w:r>
          </w:p>
        </w:tc>
        <w:tc>
          <w:tcPr>
            <w:tcW w:w="703" w:type="pct"/>
            <w:tcBorders>
              <w:bottom w:val="single" w:sz="4" w:space="0" w:color="314364" w:themeColor="text2"/>
            </w:tcBorders>
            <w:vAlign w:val="center"/>
          </w:tcPr>
          <w:p w14:paraId="31157304" w14:textId="77777777" w:rsidR="009F5F8F" w:rsidRPr="00125972" w:rsidRDefault="009F5F8F" w:rsidP="00A930C7">
            <w:pPr>
              <w:spacing w:after="0"/>
              <w:jc w:val="right"/>
              <w:rPr>
                <w:rFonts w:eastAsia="Calibri" w:cs="Segoe UI"/>
                <w:sz w:val="18"/>
                <w:szCs w:val="18"/>
              </w:rPr>
            </w:pPr>
            <w:r>
              <w:rPr>
                <w:rFonts w:eastAsia="Calibri" w:cs="Segoe UI"/>
                <w:b/>
                <w:sz w:val="18"/>
                <w:szCs w:val="18"/>
              </w:rPr>
              <w:t>32 831 135</w:t>
            </w:r>
          </w:p>
        </w:tc>
        <w:tc>
          <w:tcPr>
            <w:tcW w:w="703" w:type="pct"/>
            <w:tcBorders>
              <w:bottom w:val="single" w:sz="4" w:space="0" w:color="314364" w:themeColor="text2"/>
            </w:tcBorders>
            <w:vAlign w:val="center"/>
          </w:tcPr>
          <w:p w14:paraId="1EEA3A12" w14:textId="77777777" w:rsidR="009F5F8F" w:rsidRPr="00125972" w:rsidRDefault="009F5F8F" w:rsidP="00A930C7">
            <w:pPr>
              <w:spacing w:after="0"/>
              <w:jc w:val="right"/>
              <w:rPr>
                <w:rFonts w:eastAsia="Calibri" w:cs="Segoe UI"/>
                <w:sz w:val="18"/>
                <w:szCs w:val="18"/>
              </w:rPr>
            </w:pPr>
            <w:r>
              <w:rPr>
                <w:rFonts w:eastAsia="Calibri" w:cs="Segoe UI"/>
                <w:b/>
                <w:sz w:val="18"/>
                <w:szCs w:val="18"/>
              </w:rPr>
              <w:t>35 046 444</w:t>
            </w:r>
          </w:p>
        </w:tc>
        <w:tc>
          <w:tcPr>
            <w:tcW w:w="626" w:type="pct"/>
            <w:tcBorders>
              <w:bottom w:val="single" w:sz="4" w:space="0" w:color="314364" w:themeColor="text2"/>
            </w:tcBorders>
          </w:tcPr>
          <w:p w14:paraId="1AC2814F" w14:textId="77777777" w:rsidR="009F5F8F" w:rsidRPr="00125972" w:rsidRDefault="009F5F8F" w:rsidP="00A930C7">
            <w:pPr>
              <w:spacing w:after="0"/>
              <w:jc w:val="right"/>
              <w:rPr>
                <w:rFonts w:eastAsia="Calibri" w:cs="Segoe UI"/>
                <w:sz w:val="18"/>
                <w:szCs w:val="18"/>
              </w:rPr>
            </w:pPr>
            <w:r w:rsidRPr="00270C98">
              <w:rPr>
                <w:rFonts w:eastAsia="Calibri" w:cs="Segoe UI"/>
                <w:sz w:val="18"/>
                <w:szCs w:val="18"/>
              </w:rPr>
              <w:t xml:space="preserve"> </w:t>
            </w:r>
            <w:r w:rsidRPr="00270C98">
              <w:rPr>
                <w:rFonts w:eastAsia="Calibri" w:cs="Segoe UI"/>
                <w:b/>
                <w:sz w:val="18"/>
                <w:szCs w:val="18"/>
              </w:rPr>
              <w:t xml:space="preserve">2 215 309 </w:t>
            </w:r>
          </w:p>
        </w:tc>
        <w:tc>
          <w:tcPr>
            <w:tcW w:w="467" w:type="pct"/>
            <w:tcBorders>
              <w:bottom w:val="single" w:sz="4" w:space="0" w:color="314364" w:themeColor="text2"/>
            </w:tcBorders>
          </w:tcPr>
          <w:p w14:paraId="32E77317" w14:textId="77777777" w:rsidR="009F5F8F" w:rsidRPr="00125972" w:rsidRDefault="009F5F8F" w:rsidP="00A930C7">
            <w:pPr>
              <w:spacing w:after="0"/>
              <w:jc w:val="right"/>
              <w:rPr>
                <w:rFonts w:eastAsia="Calibri" w:cs="Segoe UI"/>
                <w:sz w:val="18"/>
                <w:szCs w:val="18"/>
              </w:rPr>
            </w:pPr>
            <w:r w:rsidRPr="00270C98">
              <w:rPr>
                <w:rFonts w:eastAsia="Calibri" w:cs="Segoe UI"/>
                <w:b/>
                <w:sz w:val="18"/>
                <w:szCs w:val="18"/>
              </w:rPr>
              <w:t>114,1%</w:t>
            </w:r>
          </w:p>
        </w:tc>
      </w:tr>
      <w:tr w:rsidR="009F5F8F" w:rsidRPr="00125972" w14:paraId="2A9C10E5" w14:textId="77777777" w:rsidTr="00A930C7">
        <w:trPr>
          <w:trHeight w:val="255"/>
        </w:trPr>
        <w:tc>
          <w:tcPr>
            <w:tcW w:w="1798" w:type="pct"/>
            <w:tcBorders>
              <w:top w:val="single" w:sz="4" w:space="0" w:color="314364" w:themeColor="text2"/>
              <w:bottom w:val="single" w:sz="4" w:space="0" w:color="314364" w:themeColor="text2"/>
            </w:tcBorders>
            <w:vAlign w:val="center"/>
          </w:tcPr>
          <w:p w14:paraId="7DFF8CD1" w14:textId="77777777" w:rsidR="009F5F8F" w:rsidRPr="00125972" w:rsidRDefault="009F5F8F" w:rsidP="00A930C7">
            <w:pPr>
              <w:spacing w:after="0"/>
              <w:ind w:right="-109"/>
              <w:jc w:val="left"/>
              <w:rPr>
                <w:rFonts w:eastAsia="Calibri" w:cs="Segoe UI"/>
                <w:b/>
                <w:sz w:val="18"/>
                <w:szCs w:val="18"/>
              </w:rPr>
            </w:pPr>
            <w:r w:rsidRPr="00125972">
              <w:rPr>
                <w:rFonts w:eastAsia="Calibri" w:cs="Segoe UI"/>
                <w:b/>
                <w:sz w:val="18"/>
                <w:szCs w:val="18"/>
              </w:rPr>
              <w:t>Spolu daňové a odvodové príjmy</w:t>
            </w:r>
          </w:p>
        </w:tc>
        <w:tc>
          <w:tcPr>
            <w:tcW w:w="703" w:type="pct"/>
            <w:tcBorders>
              <w:top w:val="single" w:sz="4" w:space="0" w:color="314364" w:themeColor="text2"/>
              <w:bottom w:val="single" w:sz="4" w:space="0" w:color="314364" w:themeColor="text2"/>
            </w:tcBorders>
            <w:vAlign w:val="center"/>
          </w:tcPr>
          <w:p w14:paraId="4FCA37B8" w14:textId="77777777" w:rsidR="009F5F8F" w:rsidRPr="00125972" w:rsidRDefault="009F5F8F" w:rsidP="00A930C7">
            <w:pPr>
              <w:spacing w:after="0"/>
              <w:jc w:val="right"/>
              <w:rPr>
                <w:rFonts w:eastAsia="Calibri" w:cs="Segoe UI"/>
                <w:b/>
                <w:sz w:val="18"/>
                <w:szCs w:val="18"/>
              </w:rPr>
            </w:pPr>
            <w:r>
              <w:rPr>
                <w:rFonts w:cs="Segoe UI"/>
                <w:b/>
                <w:color w:val="FFFFFF" w:themeColor="background1"/>
                <w:sz w:val="18"/>
                <w:szCs w:val="18"/>
              </w:rPr>
              <w:t>2021 S</w:t>
            </w:r>
          </w:p>
        </w:tc>
        <w:tc>
          <w:tcPr>
            <w:tcW w:w="703" w:type="pct"/>
            <w:tcBorders>
              <w:top w:val="single" w:sz="4" w:space="0" w:color="314364" w:themeColor="text2"/>
              <w:bottom w:val="single" w:sz="4" w:space="0" w:color="314364" w:themeColor="text2"/>
            </w:tcBorders>
            <w:vAlign w:val="center"/>
          </w:tcPr>
          <w:p w14:paraId="1BC8692F" w14:textId="77777777" w:rsidR="009F5F8F" w:rsidRPr="00125972" w:rsidRDefault="009F5F8F" w:rsidP="00A930C7">
            <w:pPr>
              <w:spacing w:after="0"/>
              <w:jc w:val="right"/>
              <w:rPr>
                <w:rFonts w:eastAsia="Calibri" w:cs="Segoe UI"/>
                <w:b/>
                <w:sz w:val="18"/>
                <w:szCs w:val="18"/>
              </w:rPr>
            </w:pPr>
            <w:r w:rsidRPr="00950EDF">
              <w:rPr>
                <w:rFonts w:cs="Segoe UI"/>
                <w:b/>
                <w:color w:val="FFFFFF" w:themeColor="background1"/>
                <w:sz w:val="18"/>
                <w:szCs w:val="18"/>
              </w:rPr>
              <w:t>20</w:t>
            </w:r>
            <w:r>
              <w:rPr>
                <w:rFonts w:cs="Segoe UI"/>
                <w:b/>
                <w:color w:val="FFFFFF" w:themeColor="background1"/>
                <w:sz w:val="18"/>
                <w:szCs w:val="18"/>
              </w:rPr>
              <w:t>22 R</w:t>
            </w:r>
          </w:p>
        </w:tc>
        <w:tc>
          <w:tcPr>
            <w:tcW w:w="703" w:type="pct"/>
            <w:tcBorders>
              <w:top w:val="single" w:sz="4" w:space="0" w:color="314364" w:themeColor="text2"/>
              <w:bottom w:val="single" w:sz="4" w:space="0" w:color="314364" w:themeColor="text2"/>
            </w:tcBorders>
            <w:vAlign w:val="center"/>
          </w:tcPr>
          <w:p w14:paraId="7277F3A8" w14:textId="77777777" w:rsidR="009F5F8F" w:rsidRPr="00125972" w:rsidRDefault="009F5F8F" w:rsidP="00A930C7">
            <w:pPr>
              <w:spacing w:after="0"/>
              <w:jc w:val="right"/>
              <w:rPr>
                <w:rFonts w:eastAsia="Calibri" w:cs="Segoe UI"/>
                <w:b/>
                <w:sz w:val="18"/>
                <w:szCs w:val="18"/>
              </w:rPr>
            </w:pPr>
            <w:r>
              <w:rPr>
                <w:rFonts w:cs="Segoe UI"/>
                <w:b/>
                <w:color w:val="FFFFFF" w:themeColor="background1"/>
                <w:sz w:val="18"/>
                <w:szCs w:val="18"/>
              </w:rPr>
              <w:t>2022 S</w:t>
            </w:r>
          </w:p>
        </w:tc>
        <w:tc>
          <w:tcPr>
            <w:tcW w:w="626" w:type="pct"/>
            <w:tcBorders>
              <w:top w:val="single" w:sz="4" w:space="0" w:color="314364" w:themeColor="text2"/>
              <w:bottom w:val="single" w:sz="4" w:space="0" w:color="314364" w:themeColor="text2"/>
            </w:tcBorders>
            <w:vAlign w:val="center"/>
          </w:tcPr>
          <w:p w14:paraId="7ECB6E16" w14:textId="77777777" w:rsidR="009F5F8F" w:rsidRPr="00125972" w:rsidRDefault="009F5F8F" w:rsidP="00A930C7">
            <w:pPr>
              <w:spacing w:after="0"/>
              <w:jc w:val="right"/>
              <w:rPr>
                <w:rFonts w:eastAsia="Calibri" w:cs="Segoe UI"/>
                <w:b/>
                <w:sz w:val="18"/>
                <w:szCs w:val="18"/>
              </w:rPr>
            </w:pPr>
            <w:r>
              <w:rPr>
                <w:rFonts w:eastAsia="Calibri" w:cs="Segoe UI"/>
                <w:b/>
                <w:color w:val="FFFFFF"/>
                <w:sz w:val="18"/>
                <w:szCs w:val="18"/>
              </w:rPr>
              <w:t>22S - 22R</w:t>
            </w:r>
          </w:p>
        </w:tc>
        <w:tc>
          <w:tcPr>
            <w:tcW w:w="467" w:type="pct"/>
            <w:tcBorders>
              <w:top w:val="single" w:sz="4" w:space="0" w:color="314364" w:themeColor="text2"/>
              <w:bottom w:val="single" w:sz="4" w:space="0" w:color="314364" w:themeColor="text2"/>
            </w:tcBorders>
            <w:vAlign w:val="center"/>
          </w:tcPr>
          <w:p w14:paraId="5D4B3E26" w14:textId="77777777" w:rsidR="009F5F8F" w:rsidRPr="00125972" w:rsidRDefault="009F5F8F" w:rsidP="00A930C7">
            <w:pPr>
              <w:spacing w:after="0"/>
              <w:jc w:val="right"/>
              <w:rPr>
                <w:rFonts w:eastAsia="Calibri" w:cs="Segoe UI"/>
                <w:b/>
                <w:sz w:val="18"/>
                <w:szCs w:val="18"/>
              </w:rPr>
            </w:pPr>
            <w:r>
              <w:rPr>
                <w:rFonts w:eastAsia="Calibri" w:cs="Segoe UI"/>
                <w:b/>
                <w:color w:val="FFFFFF"/>
                <w:sz w:val="18"/>
                <w:szCs w:val="18"/>
              </w:rPr>
              <w:t>YoY</w:t>
            </w:r>
          </w:p>
        </w:tc>
      </w:tr>
    </w:tbl>
    <w:p w14:paraId="65B655A8" w14:textId="37B9DD9A" w:rsidR="009F5F8F" w:rsidRDefault="009F5F8F" w:rsidP="005074F1">
      <w:pPr>
        <w:pStyle w:val="Zdroj"/>
      </w:pPr>
      <w:r>
        <w:t>Zdroj: MF SR.</w:t>
      </w:r>
      <w:r>
        <w:br/>
        <w:t>S – skutočnosť, R – rozpočet, YoY – medziročná zmena</w:t>
      </w:r>
    </w:p>
    <w:p w14:paraId="7F411F36" w14:textId="460105DD" w:rsidR="00E51CD9" w:rsidRDefault="00E51CD9" w:rsidP="005074F1">
      <w:pPr>
        <w:pStyle w:val="Zdroj"/>
      </w:pPr>
      <w:r>
        <w:br w:type="page"/>
      </w:r>
    </w:p>
    <w:p w14:paraId="154CF606" w14:textId="77777777" w:rsidR="009F5F8F" w:rsidRDefault="009F5F8F" w:rsidP="009F5F8F">
      <w:pPr>
        <w:pStyle w:val="Popis"/>
        <w:keepNext/>
        <w:spacing w:after="120"/>
      </w:pPr>
      <w:r w:rsidRPr="00EA4CBA">
        <w:lastRenderedPageBreak/>
        <w:t>Tabuľka 3:</w:t>
      </w:r>
      <w:r>
        <w:t xml:space="preserve"> </w:t>
      </w:r>
      <w:r w:rsidRPr="00F47A20">
        <w:t>Maastrichtský dlh verejnej správy podľa jednotlivých subjektov</w:t>
      </w:r>
      <w:r>
        <w:t xml:space="preserve"> (v tis. eur)</w:t>
      </w:r>
    </w:p>
    <w:tbl>
      <w:tblPr>
        <w:tblW w:w="5037" w:type="pct"/>
        <w:tblCellMar>
          <w:left w:w="70" w:type="dxa"/>
          <w:right w:w="70" w:type="dxa"/>
        </w:tblCellMar>
        <w:tblLook w:val="04A0" w:firstRow="1" w:lastRow="0" w:firstColumn="1" w:lastColumn="0" w:noHBand="0" w:noVBand="1"/>
      </w:tblPr>
      <w:tblGrid>
        <w:gridCol w:w="5257"/>
        <w:gridCol w:w="1068"/>
        <w:gridCol w:w="1171"/>
        <w:gridCol w:w="965"/>
        <w:gridCol w:w="676"/>
      </w:tblGrid>
      <w:tr w:rsidR="009F5F8F" w:rsidRPr="006D7691" w14:paraId="0EFF74E2" w14:textId="77777777" w:rsidTr="00A930C7">
        <w:trPr>
          <w:trHeight w:val="255"/>
          <w:tblHeader/>
        </w:trPr>
        <w:tc>
          <w:tcPr>
            <w:tcW w:w="2877" w:type="pct"/>
            <w:shd w:val="clear" w:color="auto" w:fill="314364"/>
            <w:vAlign w:val="center"/>
            <w:hideMark/>
          </w:tcPr>
          <w:p w14:paraId="44870F68" w14:textId="77777777" w:rsidR="009F5F8F" w:rsidRPr="006D7691" w:rsidRDefault="009F5F8F" w:rsidP="00A930C7">
            <w:pPr>
              <w:spacing w:after="0" w:line="240" w:lineRule="auto"/>
              <w:jc w:val="left"/>
              <w:rPr>
                <w:rFonts w:eastAsia="Times New Roman" w:cs="Segoe UI"/>
                <w:b/>
                <w:bCs/>
                <w:color w:val="FFFFFF" w:themeColor="background1"/>
                <w:sz w:val="18"/>
                <w:szCs w:val="18"/>
              </w:rPr>
            </w:pPr>
            <w:r>
              <w:rPr>
                <w:rFonts w:eastAsia="Times New Roman" w:cs="Segoe UI"/>
                <w:b/>
                <w:bCs/>
                <w:color w:val="FFFFFF" w:themeColor="background1"/>
                <w:sz w:val="18"/>
                <w:szCs w:val="18"/>
              </w:rPr>
              <w:t>Subjekty verejnej správy</w:t>
            </w:r>
          </w:p>
        </w:tc>
        <w:tc>
          <w:tcPr>
            <w:tcW w:w="584" w:type="pct"/>
            <w:shd w:val="clear" w:color="auto" w:fill="314364"/>
            <w:vAlign w:val="center"/>
          </w:tcPr>
          <w:p w14:paraId="0C66F0B6" w14:textId="77777777" w:rsidR="009F5F8F" w:rsidRPr="006D7691" w:rsidRDefault="009F5F8F" w:rsidP="00A930C7">
            <w:pPr>
              <w:spacing w:after="0" w:line="240" w:lineRule="auto"/>
              <w:jc w:val="right"/>
              <w:rPr>
                <w:rFonts w:eastAsia="Times New Roman" w:cs="Segoe UI"/>
                <w:b/>
                <w:bCs/>
                <w:color w:val="FFFFFF" w:themeColor="background1"/>
                <w:sz w:val="18"/>
                <w:szCs w:val="18"/>
              </w:rPr>
            </w:pPr>
            <w:r>
              <w:rPr>
                <w:rFonts w:eastAsia="Times New Roman" w:cs="Segoe UI"/>
                <w:b/>
                <w:bCs/>
                <w:color w:val="FFFFFF" w:themeColor="background1"/>
                <w:sz w:val="18"/>
                <w:szCs w:val="18"/>
              </w:rPr>
              <w:t>2021</w:t>
            </w:r>
            <w:r w:rsidRPr="006D7691">
              <w:rPr>
                <w:rFonts w:eastAsia="Times New Roman" w:cs="Segoe UI"/>
                <w:b/>
                <w:bCs/>
                <w:color w:val="FFFFFF" w:themeColor="background1"/>
                <w:sz w:val="18"/>
                <w:szCs w:val="18"/>
              </w:rPr>
              <w:t xml:space="preserve"> S</w:t>
            </w:r>
          </w:p>
        </w:tc>
        <w:tc>
          <w:tcPr>
            <w:tcW w:w="641" w:type="pct"/>
            <w:shd w:val="clear" w:color="auto" w:fill="314364"/>
            <w:vAlign w:val="center"/>
          </w:tcPr>
          <w:p w14:paraId="642D271E" w14:textId="77777777" w:rsidR="009F5F8F" w:rsidRPr="006D7691" w:rsidRDefault="009F5F8F" w:rsidP="00A930C7">
            <w:pPr>
              <w:spacing w:after="0" w:line="240" w:lineRule="auto"/>
              <w:jc w:val="right"/>
              <w:rPr>
                <w:rFonts w:eastAsia="Times New Roman" w:cs="Segoe UI"/>
                <w:b/>
                <w:bCs/>
                <w:color w:val="FFFFFF" w:themeColor="background1"/>
                <w:sz w:val="18"/>
                <w:szCs w:val="18"/>
              </w:rPr>
            </w:pPr>
            <w:r>
              <w:rPr>
                <w:rFonts w:eastAsia="Times New Roman" w:cs="Segoe UI"/>
                <w:b/>
                <w:bCs/>
                <w:color w:val="FFFFFF" w:themeColor="background1"/>
                <w:sz w:val="18"/>
                <w:szCs w:val="18"/>
              </w:rPr>
              <w:t>2022</w:t>
            </w:r>
            <w:r w:rsidRPr="006D7691">
              <w:rPr>
                <w:rFonts w:eastAsia="Times New Roman" w:cs="Segoe UI"/>
                <w:b/>
                <w:bCs/>
                <w:color w:val="FFFFFF" w:themeColor="background1"/>
                <w:sz w:val="18"/>
                <w:szCs w:val="18"/>
              </w:rPr>
              <w:t xml:space="preserve"> S</w:t>
            </w:r>
          </w:p>
        </w:tc>
        <w:tc>
          <w:tcPr>
            <w:tcW w:w="528" w:type="pct"/>
            <w:shd w:val="clear" w:color="auto" w:fill="314364"/>
            <w:vAlign w:val="center"/>
          </w:tcPr>
          <w:p w14:paraId="3342A229" w14:textId="77777777" w:rsidR="009F5F8F" w:rsidRPr="006D7691" w:rsidRDefault="009F5F8F" w:rsidP="00A930C7">
            <w:pPr>
              <w:spacing w:after="0" w:line="240" w:lineRule="auto"/>
              <w:jc w:val="right"/>
              <w:rPr>
                <w:rFonts w:eastAsia="Times New Roman" w:cs="Segoe UI"/>
                <w:b/>
                <w:bCs/>
                <w:color w:val="FFFFFF" w:themeColor="background1"/>
                <w:sz w:val="18"/>
                <w:szCs w:val="18"/>
              </w:rPr>
            </w:pPr>
            <w:r>
              <w:rPr>
                <w:rFonts w:eastAsia="Times New Roman" w:cs="Segoe UI"/>
                <w:b/>
                <w:bCs/>
                <w:color w:val="FFFFFF" w:themeColor="background1"/>
                <w:sz w:val="18"/>
                <w:szCs w:val="18"/>
              </w:rPr>
              <w:t>22S - 21S</w:t>
            </w:r>
          </w:p>
        </w:tc>
        <w:tc>
          <w:tcPr>
            <w:tcW w:w="370" w:type="pct"/>
            <w:shd w:val="clear" w:color="auto" w:fill="314364"/>
            <w:vAlign w:val="center"/>
          </w:tcPr>
          <w:p w14:paraId="1E53C6D4" w14:textId="77777777" w:rsidR="009F5F8F" w:rsidRPr="006D7691" w:rsidRDefault="009F5F8F" w:rsidP="00A930C7">
            <w:pPr>
              <w:spacing w:after="0" w:line="240" w:lineRule="auto"/>
              <w:jc w:val="right"/>
              <w:rPr>
                <w:rFonts w:eastAsia="Times New Roman" w:cs="Segoe UI"/>
                <w:b/>
                <w:bCs/>
                <w:color w:val="FFFFFF" w:themeColor="background1"/>
                <w:sz w:val="18"/>
                <w:szCs w:val="18"/>
              </w:rPr>
            </w:pPr>
            <w:r>
              <w:rPr>
                <w:rFonts w:eastAsia="Times New Roman" w:cs="Segoe UI"/>
                <w:b/>
                <w:bCs/>
                <w:color w:val="FFFFFF" w:themeColor="background1"/>
                <w:sz w:val="18"/>
                <w:szCs w:val="18"/>
              </w:rPr>
              <w:t>YoY</w:t>
            </w:r>
          </w:p>
        </w:tc>
      </w:tr>
      <w:tr w:rsidR="009F5F8F" w:rsidRPr="00DD341C" w14:paraId="205CD87C" w14:textId="77777777" w:rsidTr="00A930C7">
        <w:trPr>
          <w:trHeight w:val="255"/>
        </w:trPr>
        <w:tc>
          <w:tcPr>
            <w:tcW w:w="2877" w:type="pct"/>
            <w:shd w:val="clear" w:color="auto" w:fill="auto"/>
            <w:noWrap/>
            <w:vAlign w:val="center"/>
            <w:hideMark/>
          </w:tcPr>
          <w:p w14:paraId="7933A89D" w14:textId="77777777" w:rsidR="009F5F8F" w:rsidRPr="00DD341C" w:rsidRDefault="009F5F8F" w:rsidP="00A930C7">
            <w:pPr>
              <w:spacing w:after="0" w:line="240" w:lineRule="auto"/>
              <w:jc w:val="left"/>
              <w:rPr>
                <w:rFonts w:eastAsia="Times New Roman" w:cs="Segoe UI"/>
                <w:b/>
                <w:bCs/>
                <w:sz w:val="18"/>
                <w:szCs w:val="18"/>
              </w:rPr>
            </w:pPr>
            <w:r w:rsidRPr="00DD341C">
              <w:rPr>
                <w:rFonts w:eastAsia="Times New Roman" w:cs="Segoe UI"/>
                <w:b/>
                <w:bCs/>
                <w:sz w:val="18"/>
                <w:szCs w:val="18"/>
              </w:rPr>
              <w:t>Ústredná správa</w:t>
            </w:r>
          </w:p>
        </w:tc>
        <w:tc>
          <w:tcPr>
            <w:tcW w:w="584" w:type="pct"/>
            <w:shd w:val="clear" w:color="auto" w:fill="auto"/>
            <w:noWrap/>
            <w:vAlign w:val="center"/>
          </w:tcPr>
          <w:p w14:paraId="4DD876CF" w14:textId="77777777" w:rsidR="009F5F8F" w:rsidRPr="00DD341C" w:rsidRDefault="009F5F8F" w:rsidP="00A930C7">
            <w:pPr>
              <w:spacing w:after="0" w:line="240" w:lineRule="auto"/>
              <w:jc w:val="right"/>
              <w:rPr>
                <w:rFonts w:eastAsia="Times New Roman" w:cs="Segoe UI"/>
                <w:sz w:val="18"/>
                <w:szCs w:val="18"/>
              </w:rPr>
            </w:pPr>
          </w:p>
        </w:tc>
        <w:tc>
          <w:tcPr>
            <w:tcW w:w="641" w:type="pct"/>
            <w:shd w:val="clear" w:color="auto" w:fill="auto"/>
            <w:noWrap/>
            <w:vAlign w:val="center"/>
          </w:tcPr>
          <w:p w14:paraId="0452D312" w14:textId="77777777" w:rsidR="009F5F8F" w:rsidRPr="00DD341C" w:rsidRDefault="009F5F8F" w:rsidP="00A930C7">
            <w:pPr>
              <w:spacing w:after="0" w:line="240" w:lineRule="auto"/>
              <w:jc w:val="right"/>
              <w:rPr>
                <w:rFonts w:eastAsia="Times New Roman" w:cs="Segoe UI"/>
                <w:sz w:val="18"/>
                <w:szCs w:val="18"/>
              </w:rPr>
            </w:pPr>
          </w:p>
        </w:tc>
        <w:tc>
          <w:tcPr>
            <w:tcW w:w="528" w:type="pct"/>
            <w:shd w:val="clear" w:color="auto" w:fill="auto"/>
            <w:noWrap/>
            <w:vAlign w:val="center"/>
          </w:tcPr>
          <w:p w14:paraId="78781448" w14:textId="77777777" w:rsidR="009F5F8F" w:rsidRPr="00DD341C" w:rsidRDefault="009F5F8F" w:rsidP="00A930C7">
            <w:pPr>
              <w:spacing w:after="0" w:line="240" w:lineRule="auto"/>
              <w:jc w:val="right"/>
              <w:rPr>
                <w:rFonts w:eastAsia="Times New Roman" w:cs="Segoe UI"/>
                <w:sz w:val="18"/>
                <w:szCs w:val="18"/>
              </w:rPr>
            </w:pPr>
          </w:p>
        </w:tc>
        <w:tc>
          <w:tcPr>
            <w:tcW w:w="370" w:type="pct"/>
            <w:shd w:val="clear" w:color="auto" w:fill="auto"/>
            <w:noWrap/>
            <w:vAlign w:val="center"/>
          </w:tcPr>
          <w:p w14:paraId="31AEF795" w14:textId="77777777" w:rsidR="009F5F8F" w:rsidRPr="00DD341C" w:rsidRDefault="009F5F8F" w:rsidP="00A930C7">
            <w:pPr>
              <w:spacing w:after="0" w:line="240" w:lineRule="auto"/>
              <w:jc w:val="right"/>
              <w:rPr>
                <w:rFonts w:eastAsia="Times New Roman" w:cs="Segoe UI"/>
                <w:sz w:val="18"/>
                <w:szCs w:val="18"/>
              </w:rPr>
            </w:pPr>
          </w:p>
        </w:tc>
      </w:tr>
      <w:tr w:rsidR="009F5F8F" w:rsidRPr="00DD341C" w14:paraId="3532267C" w14:textId="77777777" w:rsidTr="00A930C7">
        <w:trPr>
          <w:trHeight w:val="255"/>
        </w:trPr>
        <w:tc>
          <w:tcPr>
            <w:tcW w:w="2877" w:type="pct"/>
            <w:shd w:val="clear" w:color="auto" w:fill="auto"/>
            <w:noWrap/>
            <w:vAlign w:val="center"/>
            <w:hideMark/>
          </w:tcPr>
          <w:p w14:paraId="24E9E038"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Štátny dlh</w:t>
            </w:r>
            <w:r w:rsidRPr="00711EEA">
              <w:rPr>
                <w:vertAlign w:val="superscript"/>
                <w:lang w:eastAsia="sk-SK"/>
              </w:rPr>
              <w:sym w:font="Symbol" w:char="F02A"/>
            </w:r>
          </w:p>
        </w:tc>
        <w:tc>
          <w:tcPr>
            <w:tcW w:w="584" w:type="pct"/>
            <w:shd w:val="clear" w:color="auto" w:fill="auto"/>
            <w:noWrap/>
            <w:vAlign w:val="center"/>
          </w:tcPr>
          <w:p w14:paraId="3B4B8FA6"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59 244 402</w:t>
            </w:r>
          </w:p>
        </w:tc>
        <w:tc>
          <w:tcPr>
            <w:tcW w:w="641" w:type="pct"/>
            <w:tcBorders>
              <w:top w:val="nil"/>
              <w:left w:val="nil"/>
              <w:bottom w:val="nil"/>
              <w:right w:val="nil"/>
            </w:tcBorders>
            <w:shd w:val="clear" w:color="auto" w:fill="auto"/>
            <w:noWrap/>
            <w:vAlign w:val="center"/>
          </w:tcPr>
          <w:p w14:paraId="5CD29BD5"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61 204 864</w:t>
            </w:r>
          </w:p>
        </w:tc>
        <w:tc>
          <w:tcPr>
            <w:tcW w:w="528" w:type="pct"/>
            <w:tcBorders>
              <w:top w:val="nil"/>
              <w:left w:val="nil"/>
              <w:bottom w:val="nil"/>
              <w:right w:val="nil"/>
            </w:tcBorders>
            <w:shd w:val="clear" w:color="auto" w:fill="auto"/>
            <w:noWrap/>
          </w:tcPr>
          <w:p w14:paraId="16B133FE"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1 960 462</w:t>
            </w:r>
          </w:p>
        </w:tc>
        <w:tc>
          <w:tcPr>
            <w:tcW w:w="370" w:type="pct"/>
            <w:tcBorders>
              <w:top w:val="nil"/>
              <w:left w:val="nil"/>
              <w:bottom w:val="nil"/>
              <w:right w:val="nil"/>
            </w:tcBorders>
            <w:shd w:val="clear" w:color="auto" w:fill="auto"/>
            <w:noWrap/>
          </w:tcPr>
          <w:p w14:paraId="2724432F"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103,3</w:t>
            </w:r>
          </w:p>
        </w:tc>
      </w:tr>
      <w:tr w:rsidR="009F5F8F" w:rsidRPr="00DD341C" w14:paraId="45CC55EC" w14:textId="77777777" w:rsidTr="00A930C7">
        <w:trPr>
          <w:trHeight w:val="255"/>
        </w:trPr>
        <w:tc>
          <w:tcPr>
            <w:tcW w:w="2877" w:type="pct"/>
            <w:shd w:val="clear" w:color="auto" w:fill="auto"/>
            <w:noWrap/>
            <w:vAlign w:val="center"/>
            <w:hideMark/>
          </w:tcPr>
          <w:p w14:paraId="5FFB36AA"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Príspevkové organizácie ústrednej správy</w:t>
            </w:r>
          </w:p>
        </w:tc>
        <w:tc>
          <w:tcPr>
            <w:tcW w:w="584" w:type="pct"/>
            <w:shd w:val="clear" w:color="auto" w:fill="auto"/>
            <w:noWrap/>
            <w:vAlign w:val="center"/>
          </w:tcPr>
          <w:p w14:paraId="436D0CDF"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4 726</w:t>
            </w:r>
          </w:p>
        </w:tc>
        <w:tc>
          <w:tcPr>
            <w:tcW w:w="641" w:type="pct"/>
            <w:tcBorders>
              <w:top w:val="nil"/>
              <w:left w:val="nil"/>
              <w:bottom w:val="nil"/>
              <w:right w:val="nil"/>
            </w:tcBorders>
            <w:shd w:val="clear" w:color="auto" w:fill="auto"/>
            <w:noWrap/>
            <w:vAlign w:val="center"/>
          </w:tcPr>
          <w:p w14:paraId="49939D2E"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3 687</w:t>
            </w:r>
          </w:p>
        </w:tc>
        <w:tc>
          <w:tcPr>
            <w:tcW w:w="528" w:type="pct"/>
            <w:tcBorders>
              <w:top w:val="nil"/>
              <w:left w:val="nil"/>
              <w:bottom w:val="nil"/>
              <w:right w:val="nil"/>
            </w:tcBorders>
            <w:shd w:val="clear" w:color="auto" w:fill="auto"/>
            <w:noWrap/>
          </w:tcPr>
          <w:p w14:paraId="3F01C334"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-1 039</w:t>
            </w:r>
          </w:p>
        </w:tc>
        <w:tc>
          <w:tcPr>
            <w:tcW w:w="370" w:type="pct"/>
            <w:tcBorders>
              <w:top w:val="nil"/>
              <w:left w:val="nil"/>
              <w:bottom w:val="nil"/>
              <w:right w:val="nil"/>
            </w:tcBorders>
            <w:shd w:val="clear" w:color="auto" w:fill="auto"/>
            <w:noWrap/>
          </w:tcPr>
          <w:p w14:paraId="41AA8565"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78,0</w:t>
            </w:r>
          </w:p>
        </w:tc>
      </w:tr>
      <w:tr w:rsidR="009F5F8F" w:rsidRPr="00DD341C" w14:paraId="7C812BD3" w14:textId="77777777" w:rsidTr="00A930C7">
        <w:trPr>
          <w:trHeight w:val="255"/>
        </w:trPr>
        <w:tc>
          <w:tcPr>
            <w:tcW w:w="2877" w:type="pct"/>
            <w:shd w:val="clear" w:color="auto" w:fill="auto"/>
            <w:noWrap/>
            <w:vAlign w:val="center"/>
            <w:hideMark/>
          </w:tcPr>
          <w:p w14:paraId="4B091D98"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Exportno-importná banka SR</w:t>
            </w:r>
          </w:p>
        </w:tc>
        <w:tc>
          <w:tcPr>
            <w:tcW w:w="584" w:type="pct"/>
            <w:shd w:val="clear" w:color="auto" w:fill="auto"/>
            <w:noWrap/>
            <w:vAlign w:val="center"/>
          </w:tcPr>
          <w:p w14:paraId="37C12869"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174 305</w:t>
            </w:r>
          </w:p>
        </w:tc>
        <w:tc>
          <w:tcPr>
            <w:tcW w:w="641" w:type="pct"/>
            <w:tcBorders>
              <w:top w:val="nil"/>
              <w:left w:val="nil"/>
              <w:bottom w:val="nil"/>
              <w:right w:val="nil"/>
            </w:tcBorders>
            <w:shd w:val="clear" w:color="auto" w:fill="auto"/>
            <w:noWrap/>
            <w:vAlign w:val="center"/>
          </w:tcPr>
          <w:p w14:paraId="083815F8"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188 740</w:t>
            </w:r>
          </w:p>
        </w:tc>
        <w:tc>
          <w:tcPr>
            <w:tcW w:w="528" w:type="pct"/>
            <w:tcBorders>
              <w:top w:val="nil"/>
              <w:left w:val="nil"/>
              <w:bottom w:val="nil"/>
              <w:right w:val="nil"/>
            </w:tcBorders>
            <w:shd w:val="clear" w:color="auto" w:fill="auto"/>
            <w:noWrap/>
          </w:tcPr>
          <w:p w14:paraId="6AAF8C0E"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14 435</w:t>
            </w:r>
          </w:p>
        </w:tc>
        <w:tc>
          <w:tcPr>
            <w:tcW w:w="370" w:type="pct"/>
            <w:tcBorders>
              <w:top w:val="nil"/>
              <w:left w:val="nil"/>
              <w:bottom w:val="nil"/>
              <w:right w:val="nil"/>
            </w:tcBorders>
            <w:shd w:val="clear" w:color="auto" w:fill="auto"/>
            <w:noWrap/>
          </w:tcPr>
          <w:p w14:paraId="6B9CE16E"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108,3</w:t>
            </w:r>
          </w:p>
        </w:tc>
      </w:tr>
      <w:tr w:rsidR="009F5F8F" w:rsidRPr="00DD341C" w14:paraId="76C5F84D" w14:textId="77777777" w:rsidTr="00A930C7">
        <w:trPr>
          <w:trHeight w:val="255"/>
        </w:trPr>
        <w:tc>
          <w:tcPr>
            <w:tcW w:w="2877" w:type="pct"/>
            <w:shd w:val="clear" w:color="auto" w:fill="auto"/>
            <w:noWrap/>
            <w:vAlign w:val="center"/>
            <w:hideMark/>
          </w:tcPr>
          <w:p w14:paraId="027B2907"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Obchodné spoločnosti štátu</w:t>
            </w:r>
          </w:p>
        </w:tc>
        <w:tc>
          <w:tcPr>
            <w:tcW w:w="584" w:type="pct"/>
            <w:shd w:val="clear" w:color="auto" w:fill="auto"/>
            <w:noWrap/>
            <w:vAlign w:val="center"/>
          </w:tcPr>
          <w:p w14:paraId="49E1B042"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565 533</w:t>
            </w:r>
          </w:p>
        </w:tc>
        <w:tc>
          <w:tcPr>
            <w:tcW w:w="641" w:type="pct"/>
            <w:tcBorders>
              <w:top w:val="nil"/>
              <w:left w:val="nil"/>
              <w:bottom w:val="nil"/>
              <w:right w:val="nil"/>
            </w:tcBorders>
            <w:shd w:val="clear" w:color="auto" w:fill="auto"/>
            <w:noWrap/>
            <w:vAlign w:val="center"/>
          </w:tcPr>
          <w:p w14:paraId="7233AF17"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481 576</w:t>
            </w:r>
          </w:p>
        </w:tc>
        <w:tc>
          <w:tcPr>
            <w:tcW w:w="528" w:type="pct"/>
            <w:tcBorders>
              <w:top w:val="nil"/>
              <w:left w:val="nil"/>
              <w:bottom w:val="nil"/>
              <w:right w:val="nil"/>
            </w:tcBorders>
            <w:shd w:val="clear" w:color="auto" w:fill="auto"/>
            <w:noWrap/>
          </w:tcPr>
          <w:p w14:paraId="43D0F167"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-83 957</w:t>
            </w:r>
          </w:p>
        </w:tc>
        <w:tc>
          <w:tcPr>
            <w:tcW w:w="370" w:type="pct"/>
            <w:tcBorders>
              <w:top w:val="nil"/>
              <w:left w:val="nil"/>
              <w:bottom w:val="nil"/>
              <w:right w:val="nil"/>
            </w:tcBorders>
            <w:shd w:val="clear" w:color="auto" w:fill="auto"/>
            <w:noWrap/>
          </w:tcPr>
          <w:p w14:paraId="41C9D38F"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85,2</w:t>
            </w:r>
          </w:p>
        </w:tc>
      </w:tr>
      <w:tr w:rsidR="009F5F8F" w:rsidRPr="00DD341C" w14:paraId="3409A4F5" w14:textId="77777777" w:rsidTr="00A930C7">
        <w:trPr>
          <w:trHeight w:val="255"/>
        </w:trPr>
        <w:tc>
          <w:tcPr>
            <w:tcW w:w="2877" w:type="pct"/>
            <w:shd w:val="clear" w:color="auto" w:fill="auto"/>
            <w:noWrap/>
            <w:vAlign w:val="center"/>
            <w:hideMark/>
          </w:tcPr>
          <w:p w14:paraId="23D39CA2"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Verejné vysoké školy</w:t>
            </w:r>
          </w:p>
        </w:tc>
        <w:tc>
          <w:tcPr>
            <w:tcW w:w="584" w:type="pct"/>
            <w:shd w:val="clear" w:color="auto" w:fill="auto"/>
            <w:noWrap/>
            <w:vAlign w:val="center"/>
          </w:tcPr>
          <w:p w14:paraId="082CB3AB"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7 888</w:t>
            </w:r>
          </w:p>
        </w:tc>
        <w:tc>
          <w:tcPr>
            <w:tcW w:w="641" w:type="pct"/>
            <w:tcBorders>
              <w:top w:val="nil"/>
              <w:left w:val="nil"/>
              <w:bottom w:val="nil"/>
              <w:right w:val="nil"/>
            </w:tcBorders>
            <w:shd w:val="clear" w:color="auto" w:fill="auto"/>
            <w:noWrap/>
            <w:vAlign w:val="center"/>
          </w:tcPr>
          <w:p w14:paraId="35F55F2B"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12 060</w:t>
            </w:r>
          </w:p>
        </w:tc>
        <w:tc>
          <w:tcPr>
            <w:tcW w:w="528" w:type="pct"/>
            <w:tcBorders>
              <w:top w:val="nil"/>
              <w:left w:val="nil"/>
              <w:bottom w:val="nil"/>
              <w:right w:val="nil"/>
            </w:tcBorders>
            <w:shd w:val="clear" w:color="auto" w:fill="auto"/>
            <w:noWrap/>
          </w:tcPr>
          <w:p w14:paraId="2150C95E"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4 172</w:t>
            </w:r>
          </w:p>
        </w:tc>
        <w:tc>
          <w:tcPr>
            <w:tcW w:w="370" w:type="pct"/>
            <w:tcBorders>
              <w:top w:val="nil"/>
              <w:left w:val="nil"/>
              <w:bottom w:val="nil"/>
              <w:right w:val="nil"/>
            </w:tcBorders>
            <w:shd w:val="clear" w:color="auto" w:fill="auto"/>
            <w:noWrap/>
          </w:tcPr>
          <w:p w14:paraId="3349DF56"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152,9</w:t>
            </w:r>
          </w:p>
        </w:tc>
      </w:tr>
      <w:tr w:rsidR="009F5F8F" w:rsidRPr="00DD341C" w14:paraId="2BB57296" w14:textId="77777777" w:rsidTr="00A930C7">
        <w:trPr>
          <w:trHeight w:val="255"/>
        </w:trPr>
        <w:tc>
          <w:tcPr>
            <w:tcW w:w="2877" w:type="pct"/>
            <w:shd w:val="clear" w:color="auto" w:fill="auto"/>
            <w:noWrap/>
            <w:vAlign w:val="center"/>
          </w:tcPr>
          <w:p w14:paraId="710A261D"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Pr>
                <w:rFonts w:eastAsia="Times New Roman" w:cs="Segoe UI"/>
                <w:sz w:val="18"/>
                <w:szCs w:val="18"/>
                <w:lang w:eastAsia="sk-SK"/>
              </w:rPr>
              <w:t>Verejné výskumné inštitúcie</w:t>
            </w:r>
          </w:p>
        </w:tc>
        <w:tc>
          <w:tcPr>
            <w:tcW w:w="584" w:type="pct"/>
            <w:shd w:val="clear" w:color="auto" w:fill="auto"/>
            <w:noWrap/>
            <w:vAlign w:val="center"/>
          </w:tcPr>
          <w:p w14:paraId="2D6521F2" w14:textId="77777777" w:rsidR="009F5F8F" w:rsidRPr="001826D3" w:rsidRDefault="009F5F8F" w:rsidP="00A930C7">
            <w:pPr>
              <w:spacing w:after="0" w:line="240" w:lineRule="auto"/>
              <w:jc w:val="right"/>
              <w:rPr>
                <w:rFonts w:eastAsia="Times New Roman" w:cs="Segoe UI"/>
                <w:sz w:val="18"/>
                <w:szCs w:val="18"/>
              </w:rPr>
            </w:pPr>
          </w:p>
        </w:tc>
        <w:tc>
          <w:tcPr>
            <w:tcW w:w="641" w:type="pct"/>
            <w:tcBorders>
              <w:top w:val="nil"/>
              <w:left w:val="nil"/>
              <w:bottom w:val="nil"/>
              <w:right w:val="nil"/>
            </w:tcBorders>
            <w:shd w:val="clear" w:color="auto" w:fill="auto"/>
            <w:noWrap/>
            <w:vAlign w:val="center"/>
          </w:tcPr>
          <w:p w14:paraId="1BD3FAB0"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2 563</w:t>
            </w:r>
          </w:p>
        </w:tc>
        <w:tc>
          <w:tcPr>
            <w:tcW w:w="528" w:type="pct"/>
            <w:tcBorders>
              <w:top w:val="nil"/>
              <w:left w:val="nil"/>
              <w:bottom w:val="nil"/>
              <w:right w:val="nil"/>
            </w:tcBorders>
            <w:shd w:val="clear" w:color="auto" w:fill="auto"/>
            <w:noWrap/>
          </w:tcPr>
          <w:p w14:paraId="2E44E723"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2 563</w:t>
            </w:r>
          </w:p>
        </w:tc>
        <w:tc>
          <w:tcPr>
            <w:tcW w:w="370" w:type="pct"/>
            <w:tcBorders>
              <w:top w:val="nil"/>
              <w:left w:val="nil"/>
              <w:bottom w:val="nil"/>
              <w:right w:val="nil"/>
            </w:tcBorders>
            <w:shd w:val="clear" w:color="auto" w:fill="auto"/>
            <w:noWrap/>
          </w:tcPr>
          <w:p w14:paraId="24640235" w14:textId="77777777" w:rsidR="009F5F8F" w:rsidRPr="001826D3" w:rsidRDefault="009F5F8F" w:rsidP="00A930C7">
            <w:pPr>
              <w:spacing w:after="0" w:line="240" w:lineRule="auto"/>
              <w:jc w:val="right"/>
              <w:rPr>
                <w:rFonts w:eastAsia="Times New Roman" w:cs="Segoe UI"/>
                <w:sz w:val="18"/>
                <w:szCs w:val="18"/>
              </w:rPr>
            </w:pPr>
          </w:p>
        </w:tc>
      </w:tr>
      <w:tr w:rsidR="009F5F8F" w:rsidRPr="00DD341C" w14:paraId="77BBC1D7" w14:textId="77777777" w:rsidTr="00A930C7">
        <w:trPr>
          <w:trHeight w:val="255"/>
        </w:trPr>
        <w:tc>
          <w:tcPr>
            <w:tcW w:w="2877" w:type="pct"/>
            <w:shd w:val="clear" w:color="auto" w:fill="auto"/>
            <w:noWrap/>
            <w:vAlign w:val="center"/>
            <w:hideMark/>
          </w:tcPr>
          <w:p w14:paraId="6AF9BB55"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Zdravotnícke zariadenia ústrednej správy</w:t>
            </w:r>
          </w:p>
        </w:tc>
        <w:tc>
          <w:tcPr>
            <w:tcW w:w="584" w:type="pct"/>
            <w:shd w:val="clear" w:color="auto" w:fill="auto"/>
            <w:noWrap/>
            <w:vAlign w:val="center"/>
          </w:tcPr>
          <w:p w14:paraId="099499BA"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212 235</w:t>
            </w:r>
          </w:p>
        </w:tc>
        <w:tc>
          <w:tcPr>
            <w:tcW w:w="641" w:type="pct"/>
            <w:tcBorders>
              <w:top w:val="nil"/>
              <w:left w:val="nil"/>
              <w:bottom w:val="nil"/>
              <w:right w:val="nil"/>
            </w:tcBorders>
            <w:shd w:val="clear" w:color="auto" w:fill="auto"/>
            <w:noWrap/>
            <w:vAlign w:val="center"/>
          </w:tcPr>
          <w:p w14:paraId="24DA3323"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193 477</w:t>
            </w:r>
          </w:p>
        </w:tc>
        <w:tc>
          <w:tcPr>
            <w:tcW w:w="528" w:type="pct"/>
            <w:tcBorders>
              <w:top w:val="nil"/>
              <w:left w:val="nil"/>
              <w:bottom w:val="nil"/>
              <w:right w:val="nil"/>
            </w:tcBorders>
            <w:shd w:val="clear" w:color="auto" w:fill="auto"/>
            <w:noWrap/>
          </w:tcPr>
          <w:p w14:paraId="61E892E4"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-18 758</w:t>
            </w:r>
          </w:p>
        </w:tc>
        <w:tc>
          <w:tcPr>
            <w:tcW w:w="370" w:type="pct"/>
            <w:tcBorders>
              <w:top w:val="nil"/>
              <w:left w:val="nil"/>
              <w:bottom w:val="nil"/>
              <w:right w:val="nil"/>
            </w:tcBorders>
            <w:shd w:val="clear" w:color="auto" w:fill="auto"/>
            <w:noWrap/>
          </w:tcPr>
          <w:p w14:paraId="3258121D"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91,2</w:t>
            </w:r>
          </w:p>
        </w:tc>
      </w:tr>
      <w:tr w:rsidR="009F5F8F" w:rsidRPr="00DD341C" w14:paraId="66EE608A" w14:textId="77777777" w:rsidTr="00A930C7">
        <w:trPr>
          <w:trHeight w:val="255"/>
        </w:trPr>
        <w:tc>
          <w:tcPr>
            <w:tcW w:w="2877" w:type="pct"/>
            <w:shd w:val="clear" w:color="auto" w:fill="auto"/>
            <w:noWrap/>
            <w:vAlign w:val="center"/>
            <w:hideMark/>
          </w:tcPr>
          <w:p w14:paraId="7908571A"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Agentúra pre núdzové zásoby ropy a ropných výrobkov</w:t>
            </w:r>
          </w:p>
        </w:tc>
        <w:tc>
          <w:tcPr>
            <w:tcW w:w="584" w:type="pct"/>
            <w:shd w:val="clear" w:color="auto" w:fill="auto"/>
            <w:noWrap/>
            <w:vAlign w:val="center"/>
          </w:tcPr>
          <w:p w14:paraId="50028657"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281 551</w:t>
            </w:r>
          </w:p>
        </w:tc>
        <w:tc>
          <w:tcPr>
            <w:tcW w:w="641" w:type="pct"/>
            <w:tcBorders>
              <w:top w:val="nil"/>
              <w:left w:val="nil"/>
              <w:bottom w:val="nil"/>
              <w:right w:val="nil"/>
            </w:tcBorders>
            <w:shd w:val="clear" w:color="auto" w:fill="auto"/>
            <w:noWrap/>
            <w:vAlign w:val="center"/>
          </w:tcPr>
          <w:p w14:paraId="0BE8A83A"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241 357</w:t>
            </w:r>
          </w:p>
        </w:tc>
        <w:tc>
          <w:tcPr>
            <w:tcW w:w="528" w:type="pct"/>
            <w:tcBorders>
              <w:top w:val="nil"/>
              <w:left w:val="nil"/>
              <w:bottom w:val="nil"/>
              <w:right w:val="nil"/>
            </w:tcBorders>
            <w:shd w:val="clear" w:color="auto" w:fill="auto"/>
            <w:noWrap/>
          </w:tcPr>
          <w:p w14:paraId="778A6CC5"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-40 194</w:t>
            </w:r>
          </w:p>
        </w:tc>
        <w:tc>
          <w:tcPr>
            <w:tcW w:w="370" w:type="pct"/>
            <w:tcBorders>
              <w:top w:val="nil"/>
              <w:left w:val="nil"/>
              <w:bottom w:val="nil"/>
              <w:right w:val="nil"/>
            </w:tcBorders>
            <w:shd w:val="clear" w:color="auto" w:fill="auto"/>
            <w:noWrap/>
          </w:tcPr>
          <w:p w14:paraId="147BA825"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85,7</w:t>
            </w:r>
          </w:p>
        </w:tc>
      </w:tr>
      <w:tr w:rsidR="009F5F8F" w:rsidRPr="00DD341C" w14:paraId="5C869A05" w14:textId="77777777" w:rsidTr="00A930C7">
        <w:trPr>
          <w:trHeight w:val="255"/>
        </w:trPr>
        <w:tc>
          <w:tcPr>
            <w:tcW w:w="2877" w:type="pct"/>
            <w:shd w:val="clear" w:color="auto" w:fill="auto"/>
            <w:noWrap/>
            <w:vAlign w:val="center"/>
            <w:hideMark/>
          </w:tcPr>
          <w:p w14:paraId="61FA8AD0"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Ostatné subjekty ústrednej správy</w:t>
            </w:r>
          </w:p>
        </w:tc>
        <w:tc>
          <w:tcPr>
            <w:tcW w:w="584" w:type="pct"/>
            <w:shd w:val="clear" w:color="auto" w:fill="auto"/>
            <w:noWrap/>
            <w:vAlign w:val="center"/>
          </w:tcPr>
          <w:p w14:paraId="63AC30FE"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10 072</w:t>
            </w:r>
          </w:p>
        </w:tc>
        <w:tc>
          <w:tcPr>
            <w:tcW w:w="641" w:type="pct"/>
            <w:tcBorders>
              <w:top w:val="nil"/>
              <w:left w:val="nil"/>
              <w:bottom w:val="nil"/>
              <w:right w:val="nil"/>
            </w:tcBorders>
            <w:shd w:val="clear" w:color="auto" w:fill="auto"/>
            <w:noWrap/>
            <w:vAlign w:val="center"/>
          </w:tcPr>
          <w:p w14:paraId="5FE05B89"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25 169</w:t>
            </w:r>
          </w:p>
        </w:tc>
        <w:tc>
          <w:tcPr>
            <w:tcW w:w="528" w:type="pct"/>
            <w:tcBorders>
              <w:top w:val="nil"/>
              <w:left w:val="nil"/>
              <w:bottom w:val="nil"/>
              <w:right w:val="nil"/>
            </w:tcBorders>
            <w:shd w:val="clear" w:color="auto" w:fill="auto"/>
            <w:noWrap/>
          </w:tcPr>
          <w:p w14:paraId="3D2479C0"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15 097</w:t>
            </w:r>
          </w:p>
        </w:tc>
        <w:tc>
          <w:tcPr>
            <w:tcW w:w="370" w:type="pct"/>
            <w:tcBorders>
              <w:top w:val="nil"/>
              <w:left w:val="nil"/>
              <w:bottom w:val="nil"/>
              <w:right w:val="nil"/>
            </w:tcBorders>
            <w:shd w:val="clear" w:color="auto" w:fill="auto"/>
            <w:noWrap/>
          </w:tcPr>
          <w:p w14:paraId="3B5F9291"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249,9</w:t>
            </w:r>
          </w:p>
        </w:tc>
      </w:tr>
      <w:tr w:rsidR="009F5F8F" w:rsidRPr="00DD341C" w14:paraId="477AB9DE" w14:textId="77777777" w:rsidTr="00A930C7">
        <w:trPr>
          <w:trHeight w:val="255"/>
        </w:trPr>
        <w:tc>
          <w:tcPr>
            <w:tcW w:w="2877" w:type="pct"/>
            <w:shd w:val="clear" w:color="auto" w:fill="auto"/>
            <w:noWrap/>
            <w:vAlign w:val="center"/>
            <w:hideMark/>
          </w:tcPr>
          <w:p w14:paraId="32CF8763" w14:textId="77777777" w:rsidR="009F5F8F" w:rsidRPr="00DD341C" w:rsidRDefault="009F5F8F" w:rsidP="00A930C7">
            <w:pPr>
              <w:spacing w:after="0" w:line="240" w:lineRule="auto"/>
              <w:jc w:val="left"/>
              <w:rPr>
                <w:rFonts w:eastAsia="Times New Roman" w:cs="Segoe UI"/>
                <w:b/>
                <w:bCs/>
                <w:sz w:val="18"/>
                <w:szCs w:val="18"/>
              </w:rPr>
            </w:pPr>
            <w:r w:rsidRPr="00DD341C">
              <w:rPr>
                <w:rFonts w:eastAsia="Times New Roman" w:cs="Segoe UI"/>
                <w:b/>
                <w:bCs/>
                <w:sz w:val="18"/>
                <w:szCs w:val="18"/>
              </w:rPr>
              <w:t>Územná samospráva</w:t>
            </w:r>
          </w:p>
        </w:tc>
        <w:tc>
          <w:tcPr>
            <w:tcW w:w="584" w:type="pct"/>
            <w:shd w:val="clear" w:color="auto" w:fill="auto"/>
            <w:noWrap/>
            <w:vAlign w:val="center"/>
          </w:tcPr>
          <w:p w14:paraId="5E89A513" w14:textId="77777777" w:rsidR="009F5F8F" w:rsidRPr="001826D3" w:rsidRDefault="009F5F8F" w:rsidP="00A930C7">
            <w:pPr>
              <w:spacing w:after="0" w:line="240" w:lineRule="auto"/>
              <w:jc w:val="right"/>
              <w:rPr>
                <w:rFonts w:eastAsia="Times New Roman" w:cs="Segoe UI"/>
                <w:sz w:val="18"/>
                <w:szCs w:val="18"/>
              </w:rPr>
            </w:pPr>
          </w:p>
        </w:tc>
        <w:tc>
          <w:tcPr>
            <w:tcW w:w="641" w:type="pct"/>
            <w:tcBorders>
              <w:top w:val="nil"/>
              <w:left w:val="nil"/>
              <w:bottom w:val="nil"/>
              <w:right w:val="nil"/>
            </w:tcBorders>
            <w:shd w:val="clear" w:color="auto" w:fill="auto"/>
            <w:noWrap/>
            <w:vAlign w:val="bottom"/>
          </w:tcPr>
          <w:p w14:paraId="618EA803" w14:textId="77777777" w:rsidR="009F5F8F" w:rsidRPr="001826D3" w:rsidRDefault="009F5F8F" w:rsidP="00A930C7">
            <w:pPr>
              <w:spacing w:after="0" w:line="240" w:lineRule="auto"/>
              <w:jc w:val="right"/>
              <w:rPr>
                <w:rFonts w:eastAsia="Times New Roman" w:cs="Segoe UI"/>
                <w:sz w:val="18"/>
                <w:szCs w:val="18"/>
              </w:rPr>
            </w:pPr>
          </w:p>
        </w:tc>
        <w:tc>
          <w:tcPr>
            <w:tcW w:w="528" w:type="pct"/>
            <w:tcBorders>
              <w:top w:val="nil"/>
              <w:left w:val="nil"/>
              <w:bottom w:val="nil"/>
              <w:right w:val="nil"/>
            </w:tcBorders>
            <w:shd w:val="clear" w:color="auto" w:fill="auto"/>
            <w:noWrap/>
          </w:tcPr>
          <w:p w14:paraId="38D05A53" w14:textId="77777777" w:rsidR="009F5F8F" w:rsidRPr="001826D3" w:rsidRDefault="009F5F8F" w:rsidP="00A930C7">
            <w:pPr>
              <w:spacing w:after="0" w:line="240" w:lineRule="auto"/>
              <w:jc w:val="right"/>
              <w:rPr>
                <w:rFonts w:eastAsia="Times New Roman" w:cs="Segoe UI"/>
                <w:sz w:val="18"/>
                <w:szCs w:val="18"/>
              </w:rPr>
            </w:pPr>
          </w:p>
        </w:tc>
        <w:tc>
          <w:tcPr>
            <w:tcW w:w="370" w:type="pct"/>
            <w:tcBorders>
              <w:top w:val="nil"/>
              <w:left w:val="nil"/>
              <w:bottom w:val="nil"/>
              <w:right w:val="nil"/>
            </w:tcBorders>
            <w:shd w:val="clear" w:color="auto" w:fill="auto"/>
            <w:noWrap/>
          </w:tcPr>
          <w:p w14:paraId="2C25F6D3" w14:textId="77777777" w:rsidR="009F5F8F" w:rsidRPr="001826D3" w:rsidRDefault="009F5F8F" w:rsidP="00A930C7">
            <w:pPr>
              <w:spacing w:after="0" w:line="240" w:lineRule="auto"/>
              <w:jc w:val="right"/>
              <w:rPr>
                <w:rFonts w:eastAsia="Times New Roman" w:cs="Segoe UI"/>
                <w:sz w:val="18"/>
                <w:szCs w:val="18"/>
              </w:rPr>
            </w:pPr>
          </w:p>
        </w:tc>
      </w:tr>
      <w:tr w:rsidR="009F5F8F" w:rsidRPr="00DD341C" w14:paraId="239A7F6C" w14:textId="77777777" w:rsidTr="00A930C7">
        <w:trPr>
          <w:trHeight w:val="255"/>
        </w:trPr>
        <w:tc>
          <w:tcPr>
            <w:tcW w:w="2877" w:type="pct"/>
            <w:shd w:val="clear" w:color="auto" w:fill="auto"/>
            <w:noWrap/>
            <w:vAlign w:val="center"/>
            <w:hideMark/>
          </w:tcPr>
          <w:p w14:paraId="4A3962D9"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Obce a ich rozpočtové organizácie</w:t>
            </w:r>
          </w:p>
        </w:tc>
        <w:tc>
          <w:tcPr>
            <w:tcW w:w="584" w:type="pct"/>
            <w:shd w:val="clear" w:color="auto" w:fill="auto"/>
            <w:noWrap/>
            <w:vAlign w:val="center"/>
          </w:tcPr>
          <w:p w14:paraId="1691F993"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1 644 707</w:t>
            </w:r>
          </w:p>
        </w:tc>
        <w:tc>
          <w:tcPr>
            <w:tcW w:w="641" w:type="pct"/>
            <w:tcBorders>
              <w:top w:val="nil"/>
              <w:left w:val="nil"/>
              <w:bottom w:val="nil"/>
              <w:right w:val="nil"/>
            </w:tcBorders>
            <w:shd w:val="clear" w:color="auto" w:fill="auto"/>
            <w:noWrap/>
            <w:vAlign w:val="center"/>
          </w:tcPr>
          <w:p w14:paraId="79202E9A"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1 751 497</w:t>
            </w:r>
          </w:p>
        </w:tc>
        <w:tc>
          <w:tcPr>
            <w:tcW w:w="528" w:type="pct"/>
            <w:tcBorders>
              <w:top w:val="nil"/>
              <w:left w:val="nil"/>
              <w:bottom w:val="nil"/>
              <w:right w:val="nil"/>
            </w:tcBorders>
            <w:shd w:val="clear" w:color="auto" w:fill="auto"/>
            <w:noWrap/>
          </w:tcPr>
          <w:p w14:paraId="62A8BE9B"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106 790</w:t>
            </w:r>
          </w:p>
        </w:tc>
        <w:tc>
          <w:tcPr>
            <w:tcW w:w="370" w:type="pct"/>
            <w:tcBorders>
              <w:top w:val="nil"/>
              <w:left w:val="nil"/>
              <w:bottom w:val="nil"/>
              <w:right w:val="nil"/>
            </w:tcBorders>
            <w:shd w:val="clear" w:color="auto" w:fill="auto"/>
            <w:noWrap/>
          </w:tcPr>
          <w:p w14:paraId="7EA53977"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106,5</w:t>
            </w:r>
          </w:p>
        </w:tc>
      </w:tr>
      <w:tr w:rsidR="009F5F8F" w:rsidRPr="00DD341C" w14:paraId="6FBE06DC" w14:textId="77777777" w:rsidTr="00A930C7">
        <w:trPr>
          <w:trHeight w:val="255"/>
        </w:trPr>
        <w:tc>
          <w:tcPr>
            <w:tcW w:w="2877" w:type="pct"/>
            <w:shd w:val="clear" w:color="auto" w:fill="auto"/>
            <w:noWrap/>
            <w:vAlign w:val="center"/>
            <w:hideMark/>
          </w:tcPr>
          <w:p w14:paraId="79170901"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Vyššie územné celky a ich rozpočtové organizácie</w:t>
            </w:r>
          </w:p>
        </w:tc>
        <w:tc>
          <w:tcPr>
            <w:tcW w:w="584" w:type="pct"/>
            <w:shd w:val="clear" w:color="auto" w:fill="auto"/>
            <w:noWrap/>
            <w:vAlign w:val="center"/>
          </w:tcPr>
          <w:p w14:paraId="03C1631A"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507 705</w:t>
            </w:r>
          </w:p>
        </w:tc>
        <w:tc>
          <w:tcPr>
            <w:tcW w:w="641" w:type="pct"/>
            <w:tcBorders>
              <w:top w:val="nil"/>
              <w:left w:val="nil"/>
              <w:bottom w:val="nil"/>
              <w:right w:val="nil"/>
            </w:tcBorders>
            <w:shd w:val="clear" w:color="auto" w:fill="auto"/>
            <w:noWrap/>
            <w:vAlign w:val="center"/>
          </w:tcPr>
          <w:p w14:paraId="2D039A1D"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565 287</w:t>
            </w:r>
          </w:p>
        </w:tc>
        <w:tc>
          <w:tcPr>
            <w:tcW w:w="528" w:type="pct"/>
            <w:tcBorders>
              <w:top w:val="nil"/>
              <w:left w:val="nil"/>
              <w:bottom w:val="nil"/>
              <w:right w:val="nil"/>
            </w:tcBorders>
            <w:shd w:val="clear" w:color="auto" w:fill="auto"/>
            <w:noWrap/>
          </w:tcPr>
          <w:p w14:paraId="7E3C10D0"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57 582</w:t>
            </w:r>
          </w:p>
        </w:tc>
        <w:tc>
          <w:tcPr>
            <w:tcW w:w="370" w:type="pct"/>
            <w:tcBorders>
              <w:top w:val="nil"/>
              <w:left w:val="nil"/>
              <w:bottom w:val="nil"/>
              <w:right w:val="nil"/>
            </w:tcBorders>
            <w:shd w:val="clear" w:color="auto" w:fill="auto"/>
            <w:noWrap/>
          </w:tcPr>
          <w:p w14:paraId="615E0A4D"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111,3</w:t>
            </w:r>
          </w:p>
        </w:tc>
      </w:tr>
      <w:tr w:rsidR="009F5F8F" w:rsidRPr="00DD341C" w14:paraId="7A4D1BB8" w14:textId="77777777" w:rsidTr="00A930C7">
        <w:trPr>
          <w:trHeight w:val="255"/>
        </w:trPr>
        <w:tc>
          <w:tcPr>
            <w:tcW w:w="2877" w:type="pct"/>
            <w:shd w:val="clear" w:color="auto" w:fill="auto"/>
            <w:noWrap/>
            <w:vAlign w:val="center"/>
            <w:hideMark/>
          </w:tcPr>
          <w:p w14:paraId="681A0C6C"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Príspevkové organizácie obcí</w:t>
            </w:r>
          </w:p>
        </w:tc>
        <w:tc>
          <w:tcPr>
            <w:tcW w:w="584" w:type="pct"/>
            <w:shd w:val="clear" w:color="auto" w:fill="auto"/>
            <w:noWrap/>
            <w:vAlign w:val="center"/>
          </w:tcPr>
          <w:p w14:paraId="4A5B77A8"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2 270</w:t>
            </w:r>
          </w:p>
        </w:tc>
        <w:tc>
          <w:tcPr>
            <w:tcW w:w="641" w:type="pct"/>
            <w:tcBorders>
              <w:top w:val="nil"/>
              <w:left w:val="nil"/>
              <w:bottom w:val="nil"/>
              <w:right w:val="nil"/>
            </w:tcBorders>
            <w:shd w:val="clear" w:color="auto" w:fill="auto"/>
            <w:noWrap/>
            <w:vAlign w:val="center"/>
          </w:tcPr>
          <w:p w14:paraId="320A3B81"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1 722</w:t>
            </w:r>
          </w:p>
        </w:tc>
        <w:tc>
          <w:tcPr>
            <w:tcW w:w="528" w:type="pct"/>
            <w:tcBorders>
              <w:top w:val="nil"/>
              <w:left w:val="nil"/>
              <w:bottom w:val="nil"/>
              <w:right w:val="nil"/>
            </w:tcBorders>
            <w:shd w:val="clear" w:color="auto" w:fill="auto"/>
            <w:noWrap/>
          </w:tcPr>
          <w:p w14:paraId="4D9984AD"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-548</w:t>
            </w:r>
          </w:p>
        </w:tc>
        <w:tc>
          <w:tcPr>
            <w:tcW w:w="370" w:type="pct"/>
            <w:tcBorders>
              <w:top w:val="nil"/>
              <w:left w:val="nil"/>
              <w:bottom w:val="nil"/>
              <w:right w:val="nil"/>
            </w:tcBorders>
            <w:shd w:val="clear" w:color="auto" w:fill="auto"/>
            <w:noWrap/>
          </w:tcPr>
          <w:p w14:paraId="1583BF43"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75,9</w:t>
            </w:r>
          </w:p>
        </w:tc>
      </w:tr>
      <w:tr w:rsidR="009F5F8F" w:rsidRPr="00DD341C" w14:paraId="3FAAC0D6" w14:textId="77777777" w:rsidTr="00A930C7">
        <w:trPr>
          <w:trHeight w:val="255"/>
        </w:trPr>
        <w:tc>
          <w:tcPr>
            <w:tcW w:w="2877" w:type="pct"/>
            <w:shd w:val="clear" w:color="auto" w:fill="auto"/>
            <w:noWrap/>
            <w:vAlign w:val="center"/>
            <w:hideMark/>
          </w:tcPr>
          <w:p w14:paraId="7B2D4C63"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Príspevkové organizácie VÚC</w:t>
            </w:r>
          </w:p>
        </w:tc>
        <w:tc>
          <w:tcPr>
            <w:tcW w:w="584" w:type="pct"/>
            <w:shd w:val="clear" w:color="auto" w:fill="auto"/>
            <w:noWrap/>
            <w:vAlign w:val="center"/>
          </w:tcPr>
          <w:p w14:paraId="13D87D8F"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1 009</w:t>
            </w:r>
          </w:p>
        </w:tc>
        <w:tc>
          <w:tcPr>
            <w:tcW w:w="641" w:type="pct"/>
            <w:tcBorders>
              <w:top w:val="nil"/>
              <w:left w:val="nil"/>
              <w:bottom w:val="nil"/>
              <w:right w:val="nil"/>
            </w:tcBorders>
            <w:shd w:val="clear" w:color="auto" w:fill="auto"/>
            <w:noWrap/>
            <w:vAlign w:val="center"/>
          </w:tcPr>
          <w:p w14:paraId="735599B5"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1 246</w:t>
            </w:r>
          </w:p>
        </w:tc>
        <w:tc>
          <w:tcPr>
            <w:tcW w:w="528" w:type="pct"/>
            <w:tcBorders>
              <w:top w:val="nil"/>
              <w:left w:val="nil"/>
              <w:bottom w:val="nil"/>
              <w:right w:val="nil"/>
            </w:tcBorders>
            <w:shd w:val="clear" w:color="auto" w:fill="auto"/>
            <w:noWrap/>
          </w:tcPr>
          <w:p w14:paraId="35F6AEE3"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237</w:t>
            </w:r>
          </w:p>
        </w:tc>
        <w:tc>
          <w:tcPr>
            <w:tcW w:w="370" w:type="pct"/>
            <w:tcBorders>
              <w:top w:val="nil"/>
              <w:left w:val="nil"/>
              <w:bottom w:val="nil"/>
              <w:right w:val="nil"/>
            </w:tcBorders>
            <w:shd w:val="clear" w:color="auto" w:fill="auto"/>
            <w:noWrap/>
          </w:tcPr>
          <w:p w14:paraId="53A0174D"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123,5</w:t>
            </w:r>
          </w:p>
        </w:tc>
      </w:tr>
      <w:tr w:rsidR="009F5F8F" w:rsidRPr="00DD341C" w14:paraId="6A0F589E" w14:textId="77777777" w:rsidTr="00A930C7">
        <w:trPr>
          <w:trHeight w:val="255"/>
        </w:trPr>
        <w:tc>
          <w:tcPr>
            <w:tcW w:w="2877" w:type="pct"/>
            <w:shd w:val="clear" w:color="auto" w:fill="auto"/>
            <w:noWrap/>
            <w:vAlign w:val="center"/>
            <w:hideMark/>
          </w:tcPr>
          <w:p w14:paraId="14B49FBF"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Dopravné podniky</w:t>
            </w:r>
          </w:p>
        </w:tc>
        <w:tc>
          <w:tcPr>
            <w:tcW w:w="584" w:type="pct"/>
            <w:shd w:val="clear" w:color="auto" w:fill="auto"/>
            <w:noWrap/>
            <w:vAlign w:val="center"/>
          </w:tcPr>
          <w:p w14:paraId="7061193B"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65 327</w:t>
            </w:r>
          </w:p>
        </w:tc>
        <w:tc>
          <w:tcPr>
            <w:tcW w:w="641" w:type="pct"/>
            <w:tcBorders>
              <w:top w:val="nil"/>
              <w:left w:val="nil"/>
              <w:bottom w:val="nil"/>
              <w:right w:val="nil"/>
            </w:tcBorders>
            <w:shd w:val="clear" w:color="auto" w:fill="auto"/>
            <w:noWrap/>
            <w:vAlign w:val="center"/>
          </w:tcPr>
          <w:p w14:paraId="5811EB23"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108 950</w:t>
            </w:r>
          </w:p>
        </w:tc>
        <w:tc>
          <w:tcPr>
            <w:tcW w:w="528" w:type="pct"/>
            <w:tcBorders>
              <w:top w:val="nil"/>
              <w:left w:val="nil"/>
              <w:bottom w:val="nil"/>
              <w:right w:val="nil"/>
            </w:tcBorders>
            <w:shd w:val="clear" w:color="auto" w:fill="auto"/>
            <w:noWrap/>
          </w:tcPr>
          <w:p w14:paraId="42767D8C"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43 623</w:t>
            </w:r>
          </w:p>
        </w:tc>
        <w:tc>
          <w:tcPr>
            <w:tcW w:w="370" w:type="pct"/>
            <w:tcBorders>
              <w:top w:val="nil"/>
              <w:left w:val="nil"/>
              <w:bottom w:val="nil"/>
              <w:right w:val="nil"/>
            </w:tcBorders>
            <w:shd w:val="clear" w:color="auto" w:fill="auto"/>
            <w:noWrap/>
          </w:tcPr>
          <w:p w14:paraId="56BB49E9"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166,8</w:t>
            </w:r>
          </w:p>
        </w:tc>
      </w:tr>
      <w:tr w:rsidR="009F5F8F" w:rsidRPr="00DD341C" w14:paraId="0ED1948F" w14:textId="77777777" w:rsidTr="00A930C7">
        <w:trPr>
          <w:trHeight w:val="255"/>
        </w:trPr>
        <w:tc>
          <w:tcPr>
            <w:tcW w:w="2877" w:type="pct"/>
            <w:shd w:val="clear" w:color="auto" w:fill="auto"/>
            <w:noWrap/>
            <w:vAlign w:val="center"/>
            <w:hideMark/>
          </w:tcPr>
          <w:p w14:paraId="69C79198"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Zdravotnícke zariadenia miestnej samosprávy</w:t>
            </w:r>
          </w:p>
        </w:tc>
        <w:tc>
          <w:tcPr>
            <w:tcW w:w="584" w:type="pct"/>
            <w:shd w:val="clear" w:color="auto" w:fill="auto"/>
            <w:noWrap/>
            <w:vAlign w:val="center"/>
          </w:tcPr>
          <w:p w14:paraId="28295926"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3 321</w:t>
            </w:r>
          </w:p>
        </w:tc>
        <w:tc>
          <w:tcPr>
            <w:tcW w:w="641" w:type="pct"/>
            <w:tcBorders>
              <w:top w:val="nil"/>
              <w:left w:val="nil"/>
              <w:bottom w:val="nil"/>
              <w:right w:val="nil"/>
            </w:tcBorders>
            <w:shd w:val="clear" w:color="auto" w:fill="auto"/>
            <w:noWrap/>
            <w:vAlign w:val="center"/>
          </w:tcPr>
          <w:p w14:paraId="554DD3FB"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3 362</w:t>
            </w:r>
          </w:p>
        </w:tc>
        <w:tc>
          <w:tcPr>
            <w:tcW w:w="528" w:type="pct"/>
            <w:tcBorders>
              <w:top w:val="nil"/>
              <w:left w:val="nil"/>
              <w:bottom w:val="nil"/>
              <w:right w:val="nil"/>
            </w:tcBorders>
            <w:shd w:val="clear" w:color="auto" w:fill="auto"/>
            <w:noWrap/>
          </w:tcPr>
          <w:p w14:paraId="25CA2179"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41</w:t>
            </w:r>
          </w:p>
        </w:tc>
        <w:tc>
          <w:tcPr>
            <w:tcW w:w="370" w:type="pct"/>
            <w:tcBorders>
              <w:top w:val="nil"/>
              <w:left w:val="nil"/>
              <w:bottom w:val="nil"/>
              <w:right w:val="nil"/>
            </w:tcBorders>
            <w:shd w:val="clear" w:color="auto" w:fill="auto"/>
            <w:noWrap/>
          </w:tcPr>
          <w:p w14:paraId="5672D7E7"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101,2</w:t>
            </w:r>
          </w:p>
        </w:tc>
      </w:tr>
      <w:tr w:rsidR="009F5F8F" w:rsidRPr="00DD341C" w14:paraId="464400E6" w14:textId="77777777" w:rsidTr="00A930C7">
        <w:trPr>
          <w:trHeight w:val="255"/>
        </w:trPr>
        <w:tc>
          <w:tcPr>
            <w:tcW w:w="2877" w:type="pct"/>
            <w:shd w:val="clear" w:color="auto" w:fill="auto"/>
            <w:noWrap/>
            <w:vAlign w:val="center"/>
            <w:hideMark/>
          </w:tcPr>
          <w:p w14:paraId="193CEB0C"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Ostatné subjekty miestnej samosprávy</w:t>
            </w:r>
          </w:p>
        </w:tc>
        <w:tc>
          <w:tcPr>
            <w:tcW w:w="584" w:type="pct"/>
            <w:shd w:val="clear" w:color="auto" w:fill="auto"/>
            <w:noWrap/>
            <w:vAlign w:val="center"/>
          </w:tcPr>
          <w:p w14:paraId="5111EE92"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4 756</w:t>
            </w:r>
          </w:p>
        </w:tc>
        <w:tc>
          <w:tcPr>
            <w:tcW w:w="641" w:type="pct"/>
            <w:tcBorders>
              <w:top w:val="nil"/>
              <w:left w:val="nil"/>
              <w:bottom w:val="nil"/>
              <w:right w:val="nil"/>
            </w:tcBorders>
            <w:shd w:val="clear" w:color="auto" w:fill="auto"/>
            <w:noWrap/>
            <w:vAlign w:val="center"/>
          </w:tcPr>
          <w:p w14:paraId="37FA2E42"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4 756</w:t>
            </w:r>
          </w:p>
        </w:tc>
        <w:tc>
          <w:tcPr>
            <w:tcW w:w="528" w:type="pct"/>
            <w:tcBorders>
              <w:top w:val="nil"/>
              <w:left w:val="nil"/>
              <w:bottom w:val="nil"/>
              <w:right w:val="nil"/>
            </w:tcBorders>
            <w:shd w:val="clear" w:color="auto" w:fill="auto"/>
            <w:noWrap/>
          </w:tcPr>
          <w:p w14:paraId="13CD5DF1"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0</w:t>
            </w:r>
          </w:p>
        </w:tc>
        <w:tc>
          <w:tcPr>
            <w:tcW w:w="370" w:type="pct"/>
            <w:tcBorders>
              <w:top w:val="nil"/>
              <w:left w:val="nil"/>
              <w:bottom w:val="nil"/>
              <w:right w:val="nil"/>
            </w:tcBorders>
            <w:shd w:val="clear" w:color="auto" w:fill="auto"/>
            <w:noWrap/>
          </w:tcPr>
          <w:p w14:paraId="4899905C"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100,0</w:t>
            </w:r>
          </w:p>
        </w:tc>
      </w:tr>
      <w:tr w:rsidR="009F5F8F" w:rsidRPr="00DD341C" w14:paraId="04ABD5E7" w14:textId="77777777" w:rsidTr="00A930C7">
        <w:trPr>
          <w:trHeight w:val="255"/>
        </w:trPr>
        <w:tc>
          <w:tcPr>
            <w:tcW w:w="2877" w:type="pct"/>
            <w:shd w:val="clear" w:color="auto" w:fill="auto"/>
            <w:noWrap/>
            <w:vAlign w:val="center"/>
            <w:hideMark/>
          </w:tcPr>
          <w:p w14:paraId="39E34B7A" w14:textId="77777777" w:rsidR="009F5F8F" w:rsidRPr="00DD341C" w:rsidRDefault="009F5F8F" w:rsidP="00A930C7">
            <w:pPr>
              <w:spacing w:after="0" w:line="240" w:lineRule="auto"/>
              <w:jc w:val="left"/>
              <w:rPr>
                <w:rFonts w:eastAsia="Times New Roman" w:cs="Segoe UI"/>
                <w:b/>
                <w:bCs/>
                <w:sz w:val="18"/>
                <w:szCs w:val="18"/>
              </w:rPr>
            </w:pPr>
            <w:r w:rsidRPr="00DD341C">
              <w:rPr>
                <w:rFonts w:eastAsia="Times New Roman" w:cs="Segoe UI"/>
                <w:b/>
                <w:bCs/>
                <w:sz w:val="18"/>
                <w:szCs w:val="18"/>
              </w:rPr>
              <w:t>Fondy sociálneho zabezpečenia</w:t>
            </w:r>
          </w:p>
        </w:tc>
        <w:tc>
          <w:tcPr>
            <w:tcW w:w="584" w:type="pct"/>
            <w:shd w:val="clear" w:color="auto" w:fill="auto"/>
            <w:noWrap/>
            <w:vAlign w:val="center"/>
          </w:tcPr>
          <w:p w14:paraId="5FD34B94" w14:textId="77777777" w:rsidR="009F5F8F" w:rsidRPr="001826D3" w:rsidRDefault="009F5F8F" w:rsidP="00A930C7">
            <w:pPr>
              <w:spacing w:after="0" w:line="240" w:lineRule="auto"/>
              <w:jc w:val="right"/>
              <w:rPr>
                <w:rFonts w:eastAsia="Times New Roman" w:cs="Segoe UI"/>
                <w:sz w:val="18"/>
                <w:szCs w:val="18"/>
              </w:rPr>
            </w:pPr>
          </w:p>
        </w:tc>
        <w:tc>
          <w:tcPr>
            <w:tcW w:w="641" w:type="pct"/>
            <w:tcBorders>
              <w:top w:val="nil"/>
              <w:left w:val="nil"/>
              <w:bottom w:val="nil"/>
              <w:right w:val="nil"/>
            </w:tcBorders>
            <w:shd w:val="clear" w:color="auto" w:fill="auto"/>
            <w:noWrap/>
            <w:vAlign w:val="center"/>
          </w:tcPr>
          <w:p w14:paraId="480758D0" w14:textId="77777777" w:rsidR="009F5F8F" w:rsidRPr="001826D3" w:rsidRDefault="009F5F8F" w:rsidP="00A930C7">
            <w:pPr>
              <w:spacing w:after="0" w:line="240" w:lineRule="auto"/>
              <w:jc w:val="right"/>
              <w:rPr>
                <w:rFonts w:eastAsia="Times New Roman" w:cs="Segoe UI"/>
                <w:sz w:val="18"/>
                <w:szCs w:val="18"/>
              </w:rPr>
            </w:pPr>
          </w:p>
        </w:tc>
        <w:tc>
          <w:tcPr>
            <w:tcW w:w="528" w:type="pct"/>
            <w:tcBorders>
              <w:top w:val="nil"/>
              <w:left w:val="nil"/>
              <w:bottom w:val="nil"/>
              <w:right w:val="nil"/>
            </w:tcBorders>
            <w:shd w:val="clear" w:color="auto" w:fill="auto"/>
            <w:noWrap/>
          </w:tcPr>
          <w:p w14:paraId="5CE6FA8E"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0</w:t>
            </w:r>
          </w:p>
        </w:tc>
        <w:tc>
          <w:tcPr>
            <w:tcW w:w="370" w:type="pct"/>
            <w:tcBorders>
              <w:top w:val="nil"/>
              <w:left w:val="nil"/>
              <w:bottom w:val="nil"/>
              <w:right w:val="nil"/>
            </w:tcBorders>
            <w:shd w:val="clear" w:color="auto" w:fill="auto"/>
            <w:noWrap/>
          </w:tcPr>
          <w:p w14:paraId="2426EF02" w14:textId="77777777" w:rsidR="009F5F8F" w:rsidRPr="001826D3" w:rsidRDefault="009F5F8F" w:rsidP="00A930C7">
            <w:pPr>
              <w:spacing w:after="0" w:line="240" w:lineRule="auto"/>
              <w:jc w:val="right"/>
              <w:rPr>
                <w:rFonts w:eastAsia="Times New Roman" w:cs="Segoe UI"/>
                <w:sz w:val="18"/>
                <w:szCs w:val="18"/>
              </w:rPr>
            </w:pPr>
          </w:p>
        </w:tc>
      </w:tr>
      <w:tr w:rsidR="009F5F8F" w:rsidRPr="00DD341C" w14:paraId="3523EDE3" w14:textId="77777777" w:rsidTr="00A930C7">
        <w:trPr>
          <w:trHeight w:val="255"/>
        </w:trPr>
        <w:tc>
          <w:tcPr>
            <w:tcW w:w="2877" w:type="pct"/>
            <w:shd w:val="clear" w:color="auto" w:fill="auto"/>
            <w:noWrap/>
            <w:vAlign w:val="center"/>
            <w:hideMark/>
          </w:tcPr>
          <w:p w14:paraId="4F39BEE8"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Sociálna poisťovňa</w:t>
            </w:r>
          </w:p>
        </w:tc>
        <w:tc>
          <w:tcPr>
            <w:tcW w:w="584" w:type="pct"/>
            <w:shd w:val="clear" w:color="auto" w:fill="auto"/>
            <w:noWrap/>
            <w:vAlign w:val="center"/>
          </w:tcPr>
          <w:p w14:paraId="755DA8C3"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790</w:t>
            </w:r>
          </w:p>
        </w:tc>
        <w:tc>
          <w:tcPr>
            <w:tcW w:w="641" w:type="pct"/>
            <w:tcBorders>
              <w:top w:val="nil"/>
              <w:left w:val="nil"/>
              <w:bottom w:val="nil"/>
              <w:right w:val="nil"/>
            </w:tcBorders>
            <w:shd w:val="clear" w:color="auto" w:fill="auto"/>
            <w:noWrap/>
            <w:vAlign w:val="center"/>
          </w:tcPr>
          <w:p w14:paraId="252042EB"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586</w:t>
            </w:r>
          </w:p>
        </w:tc>
        <w:tc>
          <w:tcPr>
            <w:tcW w:w="528" w:type="pct"/>
            <w:tcBorders>
              <w:top w:val="nil"/>
              <w:left w:val="nil"/>
              <w:bottom w:val="nil"/>
              <w:right w:val="nil"/>
            </w:tcBorders>
            <w:shd w:val="clear" w:color="auto" w:fill="auto"/>
            <w:noWrap/>
          </w:tcPr>
          <w:p w14:paraId="61B3F16F"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-204</w:t>
            </w:r>
          </w:p>
        </w:tc>
        <w:tc>
          <w:tcPr>
            <w:tcW w:w="370" w:type="pct"/>
            <w:tcBorders>
              <w:top w:val="nil"/>
              <w:left w:val="nil"/>
              <w:bottom w:val="nil"/>
              <w:right w:val="nil"/>
            </w:tcBorders>
            <w:shd w:val="clear" w:color="auto" w:fill="auto"/>
            <w:noWrap/>
          </w:tcPr>
          <w:p w14:paraId="4F4214C7"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74,2</w:t>
            </w:r>
          </w:p>
        </w:tc>
      </w:tr>
      <w:tr w:rsidR="009F5F8F" w:rsidRPr="00DD341C" w14:paraId="59396ADD" w14:textId="77777777" w:rsidTr="00A930C7">
        <w:trPr>
          <w:trHeight w:val="255"/>
        </w:trPr>
        <w:tc>
          <w:tcPr>
            <w:tcW w:w="2877" w:type="pct"/>
            <w:shd w:val="clear" w:color="auto" w:fill="auto"/>
            <w:noWrap/>
            <w:vAlign w:val="center"/>
            <w:hideMark/>
          </w:tcPr>
          <w:p w14:paraId="3E69DDE7" w14:textId="77777777" w:rsidR="009F5F8F" w:rsidRPr="00801780" w:rsidRDefault="009F5F8F" w:rsidP="003451D7">
            <w:pPr>
              <w:pStyle w:val="Odsekzoznamu"/>
              <w:numPr>
                <w:ilvl w:val="0"/>
                <w:numId w:val="3"/>
              </w:numPr>
              <w:spacing w:after="0" w:line="240" w:lineRule="auto"/>
              <w:jc w:val="left"/>
              <w:rPr>
                <w:rFonts w:eastAsia="Times New Roman" w:cs="Segoe UI"/>
                <w:sz w:val="18"/>
                <w:szCs w:val="18"/>
                <w:lang w:eastAsia="sk-SK"/>
              </w:rPr>
            </w:pPr>
            <w:r w:rsidRPr="00801780">
              <w:rPr>
                <w:rFonts w:eastAsia="Times New Roman" w:cs="Segoe UI"/>
                <w:sz w:val="18"/>
                <w:szCs w:val="18"/>
                <w:lang w:eastAsia="sk-SK"/>
              </w:rPr>
              <w:t>Verejné zdravotné poistenie</w:t>
            </w:r>
          </w:p>
        </w:tc>
        <w:tc>
          <w:tcPr>
            <w:tcW w:w="584" w:type="pct"/>
            <w:shd w:val="clear" w:color="auto" w:fill="auto"/>
            <w:noWrap/>
            <w:vAlign w:val="center"/>
          </w:tcPr>
          <w:p w14:paraId="7E72C8D9"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222</w:t>
            </w:r>
          </w:p>
        </w:tc>
        <w:tc>
          <w:tcPr>
            <w:tcW w:w="641" w:type="pct"/>
            <w:tcBorders>
              <w:top w:val="nil"/>
              <w:left w:val="nil"/>
              <w:bottom w:val="nil"/>
              <w:right w:val="nil"/>
            </w:tcBorders>
            <w:shd w:val="clear" w:color="auto" w:fill="auto"/>
            <w:noWrap/>
            <w:vAlign w:val="center"/>
          </w:tcPr>
          <w:p w14:paraId="1490162F"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345</w:t>
            </w:r>
          </w:p>
        </w:tc>
        <w:tc>
          <w:tcPr>
            <w:tcW w:w="528" w:type="pct"/>
            <w:tcBorders>
              <w:top w:val="nil"/>
              <w:left w:val="nil"/>
              <w:bottom w:val="nil"/>
              <w:right w:val="nil"/>
            </w:tcBorders>
            <w:shd w:val="clear" w:color="auto" w:fill="auto"/>
            <w:noWrap/>
          </w:tcPr>
          <w:p w14:paraId="76AFCB88"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123</w:t>
            </w:r>
          </w:p>
        </w:tc>
        <w:tc>
          <w:tcPr>
            <w:tcW w:w="370" w:type="pct"/>
            <w:tcBorders>
              <w:top w:val="nil"/>
              <w:left w:val="nil"/>
              <w:bottom w:val="nil"/>
              <w:right w:val="nil"/>
            </w:tcBorders>
            <w:shd w:val="clear" w:color="auto" w:fill="auto"/>
            <w:noWrap/>
          </w:tcPr>
          <w:p w14:paraId="51202507"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155,4</w:t>
            </w:r>
          </w:p>
        </w:tc>
      </w:tr>
      <w:tr w:rsidR="009F5F8F" w:rsidRPr="00DD341C" w14:paraId="786958F9" w14:textId="77777777" w:rsidTr="00A930C7">
        <w:trPr>
          <w:trHeight w:val="255"/>
        </w:trPr>
        <w:tc>
          <w:tcPr>
            <w:tcW w:w="2877" w:type="pct"/>
            <w:shd w:val="clear" w:color="auto" w:fill="auto"/>
            <w:noWrap/>
            <w:vAlign w:val="center"/>
            <w:hideMark/>
          </w:tcPr>
          <w:p w14:paraId="0AC57AA7" w14:textId="77777777" w:rsidR="009F5F8F" w:rsidRPr="00DD341C" w:rsidRDefault="009F5F8F" w:rsidP="00A930C7">
            <w:pPr>
              <w:spacing w:after="0" w:line="240" w:lineRule="auto"/>
              <w:jc w:val="left"/>
              <w:rPr>
                <w:rFonts w:eastAsia="Times New Roman" w:cs="Segoe UI"/>
                <w:b/>
                <w:bCs/>
                <w:sz w:val="18"/>
                <w:szCs w:val="18"/>
              </w:rPr>
            </w:pPr>
            <w:r w:rsidRPr="00DD341C">
              <w:rPr>
                <w:rFonts w:eastAsia="Times New Roman" w:cs="Segoe UI"/>
                <w:b/>
                <w:bCs/>
                <w:sz w:val="18"/>
                <w:szCs w:val="18"/>
              </w:rPr>
              <w:t>Verejná správa spolu</w:t>
            </w:r>
          </w:p>
        </w:tc>
        <w:tc>
          <w:tcPr>
            <w:tcW w:w="584" w:type="pct"/>
            <w:shd w:val="clear" w:color="auto" w:fill="auto"/>
            <w:noWrap/>
            <w:vAlign w:val="center"/>
          </w:tcPr>
          <w:p w14:paraId="54FF0E64" w14:textId="77777777" w:rsidR="009F5F8F" w:rsidRPr="001826D3" w:rsidRDefault="009F5F8F" w:rsidP="00A930C7">
            <w:pPr>
              <w:spacing w:after="0" w:line="240" w:lineRule="auto"/>
              <w:jc w:val="right"/>
              <w:rPr>
                <w:rFonts w:eastAsia="Times New Roman" w:cs="Segoe UI"/>
                <w:b/>
                <w:bCs/>
                <w:sz w:val="18"/>
                <w:szCs w:val="18"/>
              </w:rPr>
            </w:pPr>
            <w:r w:rsidRPr="001826D3">
              <w:rPr>
                <w:rFonts w:eastAsia="Times New Roman" w:cs="Segoe UI"/>
                <w:b/>
                <w:bCs/>
                <w:sz w:val="18"/>
                <w:szCs w:val="18"/>
              </w:rPr>
              <w:t>62 730 819</w:t>
            </w:r>
          </w:p>
        </w:tc>
        <w:tc>
          <w:tcPr>
            <w:tcW w:w="641" w:type="pct"/>
            <w:tcBorders>
              <w:top w:val="nil"/>
              <w:left w:val="nil"/>
              <w:bottom w:val="nil"/>
              <w:right w:val="nil"/>
            </w:tcBorders>
            <w:shd w:val="clear" w:color="auto" w:fill="auto"/>
            <w:noWrap/>
            <w:vAlign w:val="center"/>
          </w:tcPr>
          <w:p w14:paraId="57D7F53B" w14:textId="77777777" w:rsidR="009F5F8F" w:rsidRPr="001826D3" w:rsidRDefault="009F5F8F" w:rsidP="00A930C7">
            <w:pPr>
              <w:spacing w:after="0" w:line="240" w:lineRule="auto"/>
              <w:jc w:val="right"/>
              <w:rPr>
                <w:rFonts w:eastAsia="Times New Roman" w:cs="Segoe UI"/>
                <w:b/>
                <w:bCs/>
                <w:sz w:val="18"/>
                <w:szCs w:val="18"/>
              </w:rPr>
            </w:pPr>
            <w:r w:rsidRPr="001826D3">
              <w:rPr>
                <w:rFonts w:cs="Segoe UI"/>
                <w:b/>
                <w:bCs/>
                <w:color w:val="000000"/>
                <w:sz w:val="18"/>
                <w:szCs w:val="18"/>
              </w:rPr>
              <w:t>64 791 244</w:t>
            </w:r>
          </w:p>
        </w:tc>
        <w:tc>
          <w:tcPr>
            <w:tcW w:w="528" w:type="pct"/>
            <w:tcBorders>
              <w:top w:val="nil"/>
              <w:left w:val="nil"/>
              <w:bottom w:val="nil"/>
              <w:right w:val="nil"/>
            </w:tcBorders>
            <w:shd w:val="clear" w:color="auto" w:fill="auto"/>
            <w:noWrap/>
          </w:tcPr>
          <w:p w14:paraId="12E7CFA6" w14:textId="77777777" w:rsidR="009F5F8F" w:rsidRPr="001826D3" w:rsidRDefault="009F5F8F" w:rsidP="00A930C7">
            <w:pPr>
              <w:spacing w:after="0" w:line="240" w:lineRule="auto"/>
              <w:jc w:val="right"/>
              <w:rPr>
                <w:rFonts w:eastAsia="Times New Roman" w:cs="Segoe UI"/>
                <w:b/>
                <w:bCs/>
                <w:sz w:val="18"/>
                <w:szCs w:val="18"/>
              </w:rPr>
            </w:pPr>
            <w:r w:rsidRPr="001826D3">
              <w:rPr>
                <w:rFonts w:cs="Segoe UI"/>
                <w:b/>
                <w:sz w:val="18"/>
                <w:szCs w:val="18"/>
              </w:rPr>
              <w:t>2 060 425</w:t>
            </w:r>
          </w:p>
        </w:tc>
        <w:tc>
          <w:tcPr>
            <w:tcW w:w="370" w:type="pct"/>
            <w:tcBorders>
              <w:top w:val="nil"/>
              <w:left w:val="nil"/>
              <w:bottom w:val="nil"/>
              <w:right w:val="nil"/>
            </w:tcBorders>
            <w:shd w:val="clear" w:color="auto" w:fill="auto"/>
            <w:noWrap/>
          </w:tcPr>
          <w:p w14:paraId="6215C667" w14:textId="77777777" w:rsidR="009F5F8F" w:rsidRPr="001826D3" w:rsidRDefault="009F5F8F" w:rsidP="00A930C7">
            <w:pPr>
              <w:spacing w:after="0" w:line="240" w:lineRule="auto"/>
              <w:jc w:val="right"/>
              <w:rPr>
                <w:rFonts w:eastAsia="Times New Roman" w:cs="Segoe UI"/>
                <w:b/>
                <w:sz w:val="18"/>
                <w:szCs w:val="18"/>
              </w:rPr>
            </w:pPr>
            <w:r w:rsidRPr="001826D3">
              <w:rPr>
                <w:rFonts w:cs="Segoe UI"/>
                <w:b/>
                <w:sz w:val="18"/>
                <w:szCs w:val="18"/>
              </w:rPr>
              <w:t>103,3</w:t>
            </w:r>
          </w:p>
        </w:tc>
      </w:tr>
      <w:tr w:rsidR="009F5F8F" w:rsidRPr="00DD341C" w14:paraId="160F2367" w14:textId="77777777" w:rsidTr="00A930C7">
        <w:trPr>
          <w:trHeight w:val="255"/>
        </w:trPr>
        <w:tc>
          <w:tcPr>
            <w:tcW w:w="2877" w:type="pct"/>
            <w:shd w:val="clear" w:color="auto" w:fill="auto"/>
            <w:noWrap/>
            <w:vAlign w:val="center"/>
            <w:hideMark/>
          </w:tcPr>
          <w:p w14:paraId="7C873673" w14:textId="77777777" w:rsidR="009F5F8F" w:rsidRPr="00DD341C" w:rsidRDefault="009F5F8F" w:rsidP="00A930C7">
            <w:pPr>
              <w:spacing w:after="0" w:line="240" w:lineRule="auto"/>
              <w:jc w:val="left"/>
              <w:rPr>
                <w:rFonts w:eastAsia="Times New Roman" w:cs="Segoe UI"/>
                <w:i/>
                <w:iCs/>
                <w:sz w:val="18"/>
                <w:szCs w:val="18"/>
              </w:rPr>
            </w:pPr>
            <w:r w:rsidRPr="00DD341C">
              <w:rPr>
                <w:rFonts w:eastAsia="Times New Roman" w:cs="Segoe UI"/>
                <w:i/>
                <w:iCs/>
                <w:sz w:val="18"/>
                <w:szCs w:val="18"/>
              </w:rPr>
              <w:t>Konsolidácia</w:t>
            </w:r>
          </w:p>
        </w:tc>
        <w:tc>
          <w:tcPr>
            <w:tcW w:w="584" w:type="pct"/>
            <w:shd w:val="clear" w:color="auto" w:fill="auto"/>
            <w:noWrap/>
            <w:vAlign w:val="center"/>
          </w:tcPr>
          <w:p w14:paraId="6A40CC7E" w14:textId="77777777" w:rsidR="009F5F8F" w:rsidRPr="001826D3" w:rsidRDefault="009F5F8F" w:rsidP="00A930C7">
            <w:pPr>
              <w:spacing w:after="0" w:line="240" w:lineRule="auto"/>
              <w:jc w:val="right"/>
              <w:rPr>
                <w:rFonts w:eastAsia="Times New Roman" w:cs="Segoe UI"/>
                <w:sz w:val="18"/>
                <w:szCs w:val="18"/>
              </w:rPr>
            </w:pPr>
            <w:r w:rsidRPr="001826D3">
              <w:rPr>
                <w:rFonts w:eastAsia="Times New Roman" w:cs="Segoe UI"/>
                <w:sz w:val="18"/>
                <w:szCs w:val="18"/>
              </w:rPr>
              <w:t>1 493 456</w:t>
            </w:r>
          </w:p>
        </w:tc>
        <w:tc>
          <w:tcPr>
            <w:tcW w:w="641" w:type="pct"/>
            <w:tcBorders>
              <w:top w:val="nil"/>
              <w:left w:val="nil"/>
              <w:bottom w:val="nil"/>
              <w:right w:val="nil"/>
            </w:tcBorders>
            <w:shd w:val="clear" w:color="auto" w:fill="auto"/>
            <w:noWrap/>
            <w:vAlign w:val="center"/>
          </w:tcPr>
          <w:p w14:paraId="52F1DB35" w14:textId="77777777" w:rsidR="009F5F8F" w:rsidRPr="001826D3" w:rsidRDefault="009F5F8F" w:rsidP="00A930C7">
            <w:pPr>
              <w:spacing w:after="0" w:line="240" w:lineRule="auto"/>
              <w:jc w:val="right"/>
              <w:rPr>
                <w:rFonts w:eastAsia="Times New Roman" w:cs="Segoe UI"/>
                <w:sz w:val="18"/>
                <w:szCs w:val="18"/>
              </w:rPr>
            </w:pPr>
            <w:r w:rsidRPr="001826D3">
              <w:rPr>
                <w:rFonts w:cs="Segoe UI"/>
                <w:color w:val="000000"/>
                <w:sz w:val="18"/>
                <w:szCs w:val="18"/>
              </w:rPr>
              <w:t>1 412 462</w:t>
            </w:r>
          </w:p>
        </w:tc>
        <w:tc>
          <w:tcPr>
            <w:tcW w:w="528" w:type="pct"/>
            <w:tcBorders>
              <w:top w:val="nil"/>
              <w:left w:val="nil"/>
              <w:bottom w:val="nil"/>
              <w:right w:val="nil"/>
            </w:tcBorders>
            <w:shd w:val="clear" w:color="auto" w:fill="auto"/>
            <w:noWrap/>
          </w:tcPr>
          <w:p w14:paraId="23736D80"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-80 994</w:t>
            </w:r>
          </w:p>
        </w:tc>
        <w:tc>
          <w:tcPr>
            <w:tcW w:w="370" w:type="pct"/>
            <w:tcBorders>
              <w:top w:val="nil"/>
              <w:left w:val="nil"/>
              <w:bottom w:val="nil"/>
              <w:right w:val="nil"/>
            </w:tcBorders>
            <w:shd w:val="clear" w:color="auto" w:fill="auto"/>
            <w:noWrap/>
          </w:tcPr>
          <w:p w14:paraId="1E3C9AE6" w14:textId="77777777" w:rsidR="009F5F8F" w:rsidRPr="001826D3" w:rsidRDefault="009F5F8F" w:rsidP="00A930C7">
            <w:pPr>
              <w:spacing w:after="0" w:line="240" w:lineRule="auto"/>
              <w:jc w:val="right"/>
              <w:rPr>
                <w:rFonts w:eastAsia="Times New Roman" w:cs="Segoe UI"/>
                <w:sz w:val="18"/>
                <w:szCs w:val="18"/>
              </w:rPr>
            </w:pPr>
            <w:r w:rsidRPr="001826D3">
              <w:rPr>
                <w:rFonts w:cs="Segoe UI"/>
                <w:sz w:val="18"/>
                <w:szCs w:val="18"/>
              </w:rPr>
              <w:t>94,6</w:t>
            </w:r>
          </w:p>
        </w:tc>
      </w:tr>
      <w:tr w:rsidR="009F5F8F" w:rsidRPr="00DD341C" w14:paraId="6DEF2B27" w14:textId="77777777" w:rsidTr="00A930C7">
        <w:trPr>
          <w:trHeight w:val="255"/>
        </w:trPr>
        <w:tc>
          <w:tcPr>
            <w:tcW w:w="2877" w:type="pct"/>
            <w:shd w:val="clear" w:color="auto" w:fill="auto"/>
            <w:noWrap/>
            <w:vAlign w:val="center"/>
            <w:hideMark/>
          </w:tcPr>
          <w:p w14:paraId="5DCDE295" w14:textId="77777777" w:rsidR="009F5F8F" w:rsidRPr="00DD341C" w:rsidRDefault="009F5F8F" w:rsidP="00A930C7">
            <w:pPr>
              <w:spacing w:after="0" w:line="240" w:lineRule="auto"/>
              <w:jc w:val="left"/>
              <w:rPr>
                <w:rFonts w:eastAsia="Times New Roman" w:cs="Segoe UI"/>
                <w:b/>
                <w:bCs/>
                <w:sz w:val="18"/>
                <w:szCs w:val="18"/>
              </w:rPr>
            </w:pPr>
            <w:r w:rsidRPr="00DD341C">
              <w:rPr>
                <w:rFonts w:eastAsia="Times New Roman" w:cs="Segoe UI"/>
                <w:b/>
                <w:bCs/>
                <w:sz w:val="18"/>
                <w:szCs w:val="18"/>
              </w:rPr>
              <w:t>Verejná správa spolu konsolidovaná</w:t>
            </w:r>
          </w:p>
        </w:tc>
        <w:tc>
          <w:tcPr>
            <w:tcW w:w="584" w:type="pct"/>
            <w:shd w:val="clear" w:color="auto" w:fill="auto"/>
            <w:noWrap/>
            <w:vAlign w:val="center"/>
          </w:tcPr>
          <w:p w14:paraId="3E7A68DD" w14:textId="77777777" w:rsidR="009F5F8F" w:rsidRPr="001826D3" w:rsidRDefault="009F5F8F" w:rsidP="00A930C7">
            <w:pPr>
              <w:spacing w:after="0" w:line="240" w:lineRule="auto"/>
              <w:jc w:val="right"/>
              <w:rPr>
                <w:rFonts w:eastAsia="Times New Roman" w:cs="Segoe UI"/>
                <w:b/>
                <w:bCs/>
                <w:sz w:val="18"/>
                <w:szCs w:val="18"/>
              </w:rPr>
            </w:pPr>
            <w:r w:rsidRPr="001826D3">
              <w:rPr>
                <w:rFonts w:eastAsia="Times New Roman" w:cs="Segoe UI"/>
                <w:b/>
                <w:bCs/>
                <w:sz w:val="18"/>
                <w:szCs w:val="18"/>
              </w:rPr>
              <w:t>61 237 363</w:t>
            </w:r>
          </w:p>
        </w:tc>
        <w:tc>
          <w:tcPr>
            <w:tcW w:w="641" w:type="pct"/>
            <w:tcBorders>
              <w:top w:val="nil"/>
              <w:left w:val="nil"/>
              <w:bottom w:val="nil"/>
              <w:right w:val="nil"/>
            </w:tcBorders>
            <w:shd w:val="clear" w:color="auto" w:fill="auto"/>
            <w:noWrap/>
            <w:vAlign w:val="center"/>
          </w:tcPr>
          <w:p w14:paraId="7915ADFD" w14:textId="77777777" w:rsidR="009F5F8F" w:rsidRPr="001826D3" w:rsidRDefault="009F5F8F" w:rsidP="00A930C7">
            <w:pPr>
              <w:spacing w:after="0" w:line="240" w:lineRule="auto"/>
              <w:jc w:val="right"/>
              <w:rPr>
                <w:rFonts w:eastAsia="Times New Roman" w:cs="Segoe UI"/>
                <w:b/>
                <w:bCs/>
                <w:sz w:val="18"/>
                <w:szCs w:val="18"/>
              </w:rPr>
            </w:pPr>
            <w:r w:rsidRPr="001826D3">
              <w:rPr>
                <w:rFonts w:cs="Segoe UI"/>
                <w:b/>
                <w:bCs/>
                <w:color w:val="000000"/>
                <w:sz w:val="18"/>
                <w:szCs w:val="18"/>
              </w:rPr>
              <w:t>63 378 782</w:t>
            </w:r>
          </w:p>
        </w:tc>
        <w:tc>
          <w:tcPr>
            <w:tcW w:w="528" w:type="pct"/>
            <w:tcBorders>
              <w:top w:val="nil"/>
              <w:left w:val="nil"/>
              <w:bottom w:val="nil"/>
              <w:right w:val="nil"/>
            </w:tcBorders>
            <w:shd w:val="clear" w:color="auto" w:fill="auto"/>
            <w:noWrap/>
          </w:tcPr>
          <w:p w14:paraId="4FC0BC98" w14:textId="77777777" w:rsidR="009F5F8F" w:rsidRPr="001826D3" w:rsidRDefault="009F5F8F" w:rsidP="00A930C7">
            <w:pPr>
              <w:spacing w:after="0" w:line="240" w:lineRule="auto"/>
              <w:jc w:val="right"/>
              <w:rPr>
                <w:rFonts w:eastAsia="Times New Roman" w:cs="Segoe UI"/>
                <w:b/>
                <w:bCs/>
                <w:sz w:val="18"/>
                <w:szCs w:val="18"/>
              </w:rPr>
            </w:pPr>
            <w:r w:rsidRPr="001826D3">
              <w:rPr>
                <w:rFonts w:cs="Segoe UI"/>
                <w:b/>
                <w:sz w:val="18"/>
                <w:szCs w:val="18"/>
              </w:rPr>
              <w:t>2 141 419</w:t>
            </w:r>
          </w:p>
        </w:tc>
        <w:tc>
          <w:tcPr>
            <w:tcW w:w="370" w:type="pct"/>
            <w:tcBorders>
              <w:top w:val="nil"/>
              <w:left w:val="nil"/>
              <w:bottom w:val="nil"/>
              <w:right w:val="nil"/>
            </w:tcBorders>
            <w:shd w:val="clear" w:color="auto" w:fill="auto"/>
            <w:noWrap/>
          </w:tcPr>
          <w:p w14:paraId="300FEC76" w14:textId="77777777" w:rsidR="009F5F8F" w:rsidRPr="001826D3" w:rsidRDefault="009F5F8F" w:rsidP="00A930C7">
            <w:pPr>
              <w:spacing w:after="0" w:line="240" w:lineRule="auto"/>
              <w:jc w:val="right"/>
              <w:rPr>
                <w:rFonts w:eastAsia="Times New Roman" w:cs="Segoe UI"/>
                <w:b/>
                <w:sz w:val="18"/>
                <w:szCs w:val="18"/>
              </w:rPr>
            </w:pPr>
            <w:r w:rsidRPr="001826D3">
              <w:rPr>
                <w:rFonts w:cs="Segoe UI"/>
                <w:b/>
                <w:sz w:val="18"/>
                <w:szCs w:val="18"/>
              </w:rPr>
              <w:t>103,5</w:t>
            </w:r>
          </w:p>
        </w:tc>
      </w:tr>
      <w:tr w:rsidR="009F5F8F" w:rsidRPr="00DD341C" w14:paraId="5209B09F" w14:textId="77777777" w:rsidTr="00A930C7">
        <w:trPr>
          <w:trHeight w:val="255"/>
        </w:trPr>
        <w:tc>
          <w:tcPr>
            <w:tcW w:w="2877" w:type="pct"/>
            <w:tcBorders>
              <w:bottom w:val="single" w:sz="4" w:space="0" w:color="314364" w:themeColor="text2"/>
            </w:tcBorders>
            <w:shd w:val="clear" w:color="auto" w:fill="auto"/>
            <w:noWrap/>
            <w:vAlign w:val="center"/>
            <w:hideMark/>
          </w:tcPr>
          <w:p w14:paraId="0B577188" w14:textId="77777777" w:rsidR="009F5F8F" w:rsidRPr="00DD341C" w:rsidRDefault="009F5F8F" w:rsidP="00A930C7">
            <w:pPr>
              <w:spacing w:after="0" w:line="240" w:lineRule="auto"/>
              <w:jc w:val="left"/>
              <w:rPr>
                <w:rFonts w:eastAsia="Times New Roman" w:cs="Segoe UI"/>
                <w:b/>
                <w:bCs/>
                <w:sz w:val="18"/>
                <w:szCs w:val="18"/>
              </w:rPr>
            </w:pPr>
            <w:r w:rsidRPr="00DD341C">
              <w:rPr>
                <w:rFonts w:eastAsia="Times New Roman" w:cs="Segoe UI"/>
                <w:b/>
                <w:bCs/>
                <w:sz w:val="18"/>
                <w:szCs w:val="18"/>
              </w:rPr>
              <w:t>% z HDP</w:t>
            </w:r>
          </w:p>
        </w:tc>
        <w:tc>
          <w:tcPr>
            <w:tcW w:w="584" w:type="pct"/>
            <w:tcBorders>
              <w:bottom w:val="single" w:sz="4" w:space="0" w:color="314364" w:themeColor="text2"/>
            </w:tcBorders>
            <w:shd w:val="clear" w:color="auto" w:fill="auto"/>
            <w:noWrap/>
            <w:vAlign w:val="center"/>
          </w:tcPr>
          <w:p w14:paraId="34AB1359" w14:textId="77777777" w:rsidR="009F5F8F" w:rsidRPr="001826D3" w:rsidRDefault="009F5F8F" w:rsidP="00A930C7">
            <w:pPr>
              <w:spacing w:after="0" w:line="240" w:lineRule="auto"/>
              <w:jc w:val="right"/>
              <w:rPr>
                <w:rFonts w:eastAsia="Times New Roman" w:cs="Segoe UI"/>
                <w:b/>
                <w:bCs/>
                <w:sz w:val="18"/>
                <w:szCs w:val="18"/>
              </w:rPr>
            </w:pPr>
            <w:r w:rsidRPr="001826D3">
              <w:rPr>
                <w:rFonts w:eastAsia="Times New Roman" w:cs="Segoe UI"/>
                <w:b/>
                <w:bCs/>
                <w:sz w:val="18"/>
                <w:szCs w:val="18"/>
              </w:rPr>
              <w:t>61,0</w:t>
            </w:r>
          </w:p>
        </w:tc>
        <w:tc>
          <w:tcPr>
            <w:tcW w:w="641" w:type="pct"/>
            <w:tcBorders>
              <w:top w:val="nil"/>
              <w:left w:val="nil"/>
              <w:bottom w:val="single" w:sz="8" w:space="0" w:color="314364"/>
              <w:right w:val="nil"/>
            </w:tcBorders>
            <w:shd w:val="clear" w:color="auto" w:fill="auto"/>
            <w:noWrap/>
            <w:vAlign w:val="center"/>
          </w:tcPr>
          <w:p w14:paraId="221205DD" w14:textId="77777777" w:rsidR="009F5F8F" w:rsidRPr="001826D3" w:rsidRDefault="009F5F8F" w:rsidP="00A930C7">
            <w:pPr>
              <w:spacing w:after="0" w:line="240" w:lineRule="auto"/>
              <w:jc w:val="right"/>
              <w:rPr>
                <w:rFonts w:eastAsia="Times New Roman" w:cs="Segoe UI"/>
                <w:b/>
                <w:bCs/>
                <w:sz w:val="18"/>
                <w:szCs w:val="18"/>
              </w:rPr>
            </w:pPr>
            <w:r w:rsidRPr="001826D3">
              <w:rPr>
                <w:rFonts w:cs="Segoe UI"/>
                <w:b/>
                <w:bCs/>
                <w:color w:val="000000"/>
                <w:sz w:val="18"/>
                <w:szCs w:val="18"/>
              </w:rPr>
              <w:t>57,8</w:t>
            </w:r>
          </w:p>
        </w:tc>
        <w:tc>
          <w:tcPr>
            <w:tcW w:w="528" w:type="pct"/>
            <w:tcBorders>
              <w:top w:val="nil"/>
              <w:left w:val="nil"/>
              <w:bottom w:val="single" w:sz="8" w:space="0" w:color="314364"/>
              <w:right w:val="nil"/>
            </w:tcBorders>
            <w:shd w:val="clear" w:color="auto" w:fill="auto"/>
            <w:noWrap/>
          </w:tcPr>
          <w:p w14:paraId="2877C288" w14:textId="77777777" w:rsidR="009F5F8F" w:rsidRPr="001826D3" w:rsidRDefault="009F5F8F" w:rsidP="00A930C7">
            <w:pPr>
              <w:spacing w:after="0" w:line="240" w:lineRule="auto"/>
              <w:jc w:val="right"/>
              <w:rPr>
                <w:rFonts w:eastAsia="Times New Roman" w:cs="Segoe UI"/>
                <w:b/>
                <w:bCs/>
                <w:sz w:val="18"/>
                <w:szCs w:val="18"/>
              </w:rPr>
            </w:pPr>
            <w:r w:rsidRPr="001826D3">
              <w:rPr>
                <w:rFonts w:cs="Segoe UI"/>
                <w:b/>
                <w:sz w:val="18"/>
                <w:szCs w:val="18"/>
              </w:rPr>
              <w:t>-3,2</w:t>
            </w:r>
          </w:p>
        </w:tc>
        <w:tc>
          <w:tcPr>
            <w:tcW w:w="370" w:type="pct"/>
            <w:tcBorders>
              <w:top w:val="nil"/>
              <w:left w:val="nil"/>
              <w:bottom w:val="single" w:sz="8" w:space="0" w:color="314364"/>
              <w:right w:val="nil"/>
            </w:tcBorders>
            <w:shd w:val="clear" w:color="auto" w:fill="auto"/>
            <w:noWrap/>
          </w:tcPr>
          <w:p w14:paraId="156EADAE" w14:textId="77777777" w:rsidR="009F5F8F" w:rsidRPr="001826D3" w:rsidRDefault="009F5F8F" w:rsidP="00A930C7">
            <w:pPr>
              <w:spacing w:after="0" w:line="240" w:lineRule="auto"/>
              <w:jc w:val="right"/>
              <w:rPr>
                <w:rFonts w:eastAsia="Times New Roman" w:cs="Segoe UI"/>
                <w:b/>
                <w:sz w:val="18"/>
                <w:szCs w:val="18"/>
              </w:rPr>
            </w:pPr>
            <w:r w:rsidRPr="001826D3">
              <w:rPr>
                <w:rFonts w:cs="Segoe UI"/>
                <w:b/>
                <w:sz w:val="18"/>
                <w:szCs w:val="18"/>
              </w:rPr>
              <w:t>94,8</w:t>
            </w:r>
          </w:p>
        </w:tc>
      </w:tr>
    </w:tbl>
    <w:p w14:paraId="58C99761" w14:textId="61109069" w:rsidR="009F5F8F" w:rsidRPr="00801780" w:rsidRDefault="009F5F8F" w:rsidP="009F5F8F">
      <w:pPr>
        <w:pStyle w:val="Zdroj"/>
      </w:pPr>
      <w:r w:rsidRPr="00801780">
        <w:t>Zdroj: MF SR</w:t>
      </w:r>
      <w:r>
        <w:t>.</w:t>
      </w:r>
      <w:r w:rsidRPr="00801780">
        <w:br/>
        <w:t>*1) Bez tzv. refinančného systému a záväzkov z vkladov subjektov verejnej správy v Štátnej pokladnici</w:t>
      </w:r>
      <w:r>
        <w:br/>
        <w:t>S – skutočnosť, R – rozpočet, YoY – medziročná zmena</w:t>
      </w:r>
      <w:r w:rsidRPr="00801780">
        <w:t xml:space="preserve"> </w:t>
      </w:r>
    </w:p>
    <w:p w14:paraId="5D3C5ACF" w14:textId="77777777" w:rsidR="00DF3B44" w:rsidRDefault="00DF3B44" w:rsidP="005074F1">
      <w:pPr>
        <w:pStyle w:val="Popis"/>
        <w:keepNext/>
        <w:spacing w:after="120"/>
      </w:pPr>
    </w:p>
    <w:p w14:paraId="06865A7A" w14:textId="77777777" w:rsidR="00DF3B44" w:rsidRDefault="00DF3B44" w:rsidP="00DF3B44">
      <w:pPr>
        <w:pStyle w:val="Popis"/>
        <w:keepNext/>
        <w:spacing w:after="120"/>
        <w:rPr>
          <w:rFonts w:eastAsia="Calibri"/>
        </w:rPr>
      </w:pPr>
      <w:r>
        <w:t xml:space="preserve">Tabuľka 4: </w:t>
      </w:r>
      <w:r>
        <w:rPr>
          <w:rFonts w:eastAsia="Calibri"/>
        </w:rPr>
        <w:t xml:space="preserve">Prehľad o plnení hotovostných daňových príjmov ŠR </w:t>
      </w:r>
      <w:r w:rsidRPr="002A0D3F">
        <w:rPr>
          <w:rFonts w:eastAsia="Calibri"/>
        </w:rPr>
        <w:t>(v tis. eur)</w:t>
      </w:r>
    </w:p>
    <w:tbl>
      <w:tblPr>
        <w:tblW w:w="5001" w:type="pct"/>
        <w:tblBorders>
          <w:bottom w:val="single" w:sz="4" w:space="0" w:color="314364" w:themeColor="text2"/>
        </w:tblBorders>
        <w:tblCellMar>
          <w:left w:w="70" w:type="dxa"/>
          <w:right w:w="70" w:type="dxa"/>
        </w:tblCellMar>
        <w:tblLook w:val="04A0" w:firstRow="1" w:lastRow="0" w:firstColumn="1" w:lastColumn="0" w:noHBand="0" w:noVBand="1"/>
      </w:tblPr>
      <w:tblGrid>
        <w:gridCol w:w="3574"/>
        <w:gridCol w:w="965"/>
        <w:gridCol w:w="965"/>
        <w:gridCol w:w="57"/>
        <w:gridCol w:w="909"/>
        <w:gridCol w:w="57"/>
        <w:gridCol w:w="909"/>
        <w:gridCol w:w="56"/>
        <w:gridCol w:w="933"/>
        <w:gridCol w:w="56"/>
        <w:gridCol w:w="591"/>
      </w:tblGrid>
      <w:tr w:rsidR="00DF3B44" w:rsidRPr="00A03342" w14:paraId="406AA430" w14:textId="77777777" w:rsidTr="00A930C7">
        <w:trPr>
          <w:trHeight w:val="240"/>
        </w:trPr>
        <w:tc>
          <w:tcPr>
            <w:tcW w:w="1970" w:type="pct"/>
            <w:shd w:val="clear" w:color="auto" w:fill="314364"/>
            <w:noWrap/>
            <w:vAlign w:val="center"/>
          </w:tcPr>
          <w:p w14:paraId="6B49AFD2" w14:textId="77777777" w:rsidR="00DF3B44" w:rsidRPr="00A03342" w:rsidRDefault="00DF3B44" w:rsidP="00A930C7">
            <w:pPr>
              <w:spacing w:after="0"/>
              <w:jc w:val="left"/>
              <w:rPr>
                <w:rFonts w:eastAsia="Calibri" w:cs="Segoe UI"/>
                <w:b/>
                <w:bCs/>
                <w:color w:val="FFFFFF"/>
                <w:sz w:val="18"/>
                <w:szCs w:val="18"/>
              </w:rPr>
            </w:pPr>
            <w:r>
              <w:rPr>
                <w:rFonts w:eastAsia="Calibri" w:cs="Segoe UI"/>
                <w:b/>
                <w:bCs/>
                <w:color w:val="FFFFFF"/>
                <w:sz w:val="18"/>
                <w:szCs w:val="18"/>
              </w:rPr>
              <w:t>Ukazovateľ</w:t>
            </w:r>
          </w:p>
        </w:tc>
        <w:tc>
          <w:tcPr>
            <w:tcW w:w="532" w:type="pct"/>
            <w:shd w:val="clear" w:color="auto" w:fill="314364"/>
            <w:noWrap/>
            <w:vAlign w:val="center"/>
          </w:tcPr>
          <w:p w14:paraId="04EAF049" w14:textId="77777777" w:rsidR="00DF3B44" w:rsidRPr="00A03342" w:rsidRDefault="00DF3B44" w:rsidP="00A930C7">
            <w:pPr>
              <w:spacing w:after="0"/>
              <w:jc w:val="center"/>
              <w:rPr>
                <w:rFonts w:eastAsia="Calibri" w:cs="Segoe UI"/>
                <w:b/>
                <w:bCs/>
                <w:color w:val="FFFFFF"/>
                <w:sz w:val="18"/>
                <w:szCs w:val="18"/>
              </w:rPr>
            </w:pPr>
            <w:r w:rsidRPr="00A03342">
              <w:rPr>
                <w:rFonts w:eastAsia="Calibri" w:cs="Segoe UI"/>
                <w:b/>
                <w:bCs/>
                <w:color w:val="FFFFFF"/>
                <w:sz w:val="18"/>
                <w:szCs w:val="18"/>
              </w:rPr>
              <w:t>2021 S</w:t>
            </w:r>
          </w:p>
        </w:tc>
        <w:tc>
          <w:tcPr>
            <w:tcW w:w="563" w:type="pct"/>
            <w:gridSpan w:val="2"/>
            <w:shd w:val="clear" w:color="auto" w:fill="314364"/>
            <w:noWrap/>
            <w:vAlign w:val="center"/>
          </w:tcPr>
          <w:p w14:paraId="4410E587" w14:textId="77777777" w:rsidR="00DF3B44" w:rsidRPr="00A03342" w:rsidRDefault="00DF3B44" w:rsidP="00A930C7">
            <w:pPr>
              <w:spacing w:after="0"/>
              <w:jc w:val="center"/>
              <w:rPr>
                <w:rFonts w:eastAsia="Calibri" w:cs="Segoe UI"/>
                <w:b/>
                <w:bCs/>
                <w:color w:val="FFFFFF"/>
                <w:sz w:val="18"/>
                <w:szCs w:val="18"/>
              </w:rPr>
            </w:pPr>
            <w:r w:rsidRPr="00A03342">
              <w:rPr>
                <w:rFonts w:eastAsia="Calibri" w:cs="Segoe UI"/>
                <w:b/>
                <w:bCs/>
                <w:color w:val="FFFFFF"/>
                <w:sz w:val="18"/>
                <w:szCs w:val="18"/>
              </w:rPr>
              <w:t>2022 R</w:t>
            </w:r>
          </w:p>
        </w:tc>
        <w:tc>
          <w:tcPr>
            <w:tcW w:w="532" w:type="pct"/>
            <w:gridSpan w:val="2"/>
            <w:shd w:val="clear" w:color="auto" w:fill="314364"/>
            <w:noWrap/>
            <w:vAlign w:val="center"/>
          </w:tcPr>
          <w:p w14:paraId="5742510C" w14:textId="77777777" w:rsidR="00DF3B44" w:rsidRPr="00A03342" w:rsidRDefault="00DF3B44" w:rsidP="00A930C7">
            <w:pPr>
              <w:spacing w:after="0"/>
              <w:jc w:val="center"/>
              <w:rPr>
                <w:rFonts w:eastAsia="Calibri" w:cs="Segoe UI"/>
                <w:b/>
                <w:bCs/>
                <w:color w:val="FFFFFF"/>
                <w:sz w:val="18"/>
                <w:szCs w:val="18"/>
              </w:rPr>
            </w:pPr>
            <w:r w:rsidRPr="00A03342">
              <w:rPr>
                <w:rFonts w:eastAsia="Calibri" w:cs="Segoe UI"/>
                <w:b/>
                <w:bCs/>
                <w:color w:val="FFFFFF"/>
                <w:sz w:val="18"/>
                <w:szCs w:val="18"/>
              </w:rPr>
              <w:t xml:space="preserve">2022 </w:t>
            </w:r>
            <w:r>
              <w:rPr>
                <w:rFonts w:eastAsia="Calibri" w:cs="Segoe UI"/>
                <w:b/>
                <w:bCs/>
                <w:color w:val="FFFFFF"/>
                <w:sz w:val="18"/>
                <w:szCs w:val="18"/>
              </w:rPr>
              <w:t>N</w:t>
            </w:r>
            <w:r w:rsidRPr="00A03342">
              <w:rPr>
                <w:rFonts w:eastAsia="Calibri" w:cs="Segoe UI"/>
                <w:b/>
                <w:bCs/>
                <w:color w:val="FFFFFF"/>
                <w:sz w:val="18"/>
                <w:szCs w:val="18"/>
              </w:rPr>
              <w:t>R</w:t>
            </w:r>
          </w:p>
        </w:tc>
        <w:tc>
          <w:tcPr>
            <w:tcW w:w="532" w:type="pct"/>
            <w:gridSpan w:val="2"/>
            <w:shd w:val="clear" w:color="auto" w:fill="314364"/>
            <w:noWrap/>
            <w:vAlign w:val="center"/>
          </w:tcPr>
          <w:p w14:paraId="262C0D81" w14:textId="77777777" w:rsidR="00DF3B44" w:rsidRPr="00A03342" w:rsidRDefault="00DF3B44" w:rsidP="00A930C7">
            <w:pPr>
              <w:spacing w:after="0"/>
              <w:jc w:val="center"/>
              <w:rPr>
                <w:rFonts w:eastAsia="Calibri" w:cs="Segoe UI"/>
                <w:b/>
                <w:bCs/>
                <w:color w:val="FFFFFF"/>
                <w:sz w:val="18"/>
                <w:szCs w:val="18"/>
              </w:rPr>
            </w:pPr>
            <w:r w:rsidRPr="00A03342">
              <w:rPr>
                <w:rFonts w:eastAsia="Calibri" w:cs="Segoe UI"/>
                <w:b/>
                <w:bCs/>
                <w:color w:val="FFFFFF"/>
                <w:sz w:val="18"/>
                <w:szCs w:val="18"/>
              </w:rPr>
              <w:t>2022 S</w:t>
            </w:r>
          </w:p>
        </w:tc>
        <w:tc>
          <w:tcPr>
            <w:tcW w:w="545" w:type="pct"/>
            <w:gridSpan w:val="2"/>
            <w:shd w:val="clear" w:color="auto" w:fill="314364"/>
            <w:noWrap/>
            <w:vAlign w:val="center"/>
          </w:tcPr>
          <w:p w14:paraId="030EE708" w14:textId="77777777" w:rsidR="00DF3B44" w:rsidRPr="00A03342" w:rsidRDefault="00DF3B44" w:rsidP="00A930C7">
            <w:pPr>
              <w:spacing w:after="0"/>
              <w:jc w:val="center"/>
              <w:rPr>
                <w:rFonts w:eastAsia="Calibri" w:cs="Segoe UI"/>
                <w:b/>
                <w:bCs/>
                <w:color w:val="FFFFFF"/>
                <w:sz w:val="18"/>
                <w:szCs w:val="18"/>
              </w:rPr>
            </w:pPr>
            <w:r w:rsidRPr="00A03342">
              <w:rPr>
                <w:rFonts w:eastAsia="Calibri" w:cs="Segoe UI"/>
                <w:b/>
                <w:bCs/>
                <w:color w:val="FFFFFF"/>
                <w:sz w:val="18"/>
                <w:szCs w:val="18"/>
              </w:rPr>
              <w:t>22S</w:t>
            </w:r>
            <w:r>
              <w:rPr>
                <w:rFonts w:eastAsia="Calibri" w:cs="Segoe UI"/>
                <w:b/>
                <w:bCs/>
                <w:color w:val="FFFFFF"/>
                <w:sz w:val="18"/>
                <w:szCs w:val="18"/>
              </w:rPr>
              <w:t>-</w:t>
            </w:r>
            <w:r w:rsidRPr="00A03342">
              <w:rPr>
                <w:rFonts w:eastAsia="Calibri" w:cs="Segoe UI"/>
                <w:b/>
                <w:bCs/>
                <w:color w:val="FFFFFF"/>
                <w:sz w:val="18"/>
                <w:szCs w:val="18"/>
              </w:rPr>
              <w:t>22</w:t>
            </w:r>
            <w:r>
              <w:rPr>
                <w:rFonts w:eastAsia="Calibri" w:cs="Segoe UI"/>
                <w:b/>
                <w:bCs/>
                <w:color w:val="FFFFFF"/>
                <w:sz w:val="18"/>
                <w:szCs w:val="18"/>
              </w:rPr>
              <w:t>N</w:t>
            </w:r>
            <w:r w:rsidRPr="00A03342">
              <w:rPr>
                <w:rFonts w:eastAsia="Calibri" w:cs="Segoe UI"/>
                <w:b/>
                <w:bCs/>
                <w:color w:val="FFFFFF"/>
                <w:sz w:val="18"/>
                <w:szCs w:val="18"/>
              </w:rPr>
              <w:t>R</w:t>
            </w:r>
          </w:p>
        </w:tc>
        <w:tc>
          <w:tcPr>
            <w:tcW w:w="326" w:type="pct"/>
            <w:shd w:val="clear" w:color="auto" w:fill="314364"/>
            <w:noWrap/>
            <w:vAlign w:val="center"/>
          </w:tcPr>
          <w:p w14:paraId="6DC1D739" w14:textId="77777777" w:rsidR="00DF3B44" w:rsidRPr="00A03342" w:rsidRDefault="00DF3B44" w:rsidP="00A930C7">
            <w:pPr>
              <w:spacing w:after="0"/>
              <w:jc w:val="center"/>
              <w:rPr>
                <w:rFonts w:eastAsia="Calibri" w:cs="Segoe UI"/>
                <w:b/>
                <w:bCs/>
                <w:color w:val="FFFFFF"/>
                <w:sz w:val="18"/>
                <w:szCs w:val="18"/>
              </w:rPr>
            </w:pPr>
            <w:r w:rsidRPr="00A03342">
              <w:rPr>
                <w:rFonts w:eastAsia="Calibri" w:cs="Segoe UI"/>
                <w:b/>
                <w:bCs/>
                <w:color w:val="FFFFFF"/>
                <w:sz w:val="18"/>
                <w:szCs w:val="18"/>
              </w:rPr>
              <w:t>YoY</w:t>
            </w:r>
          </w:p>
        </w:tc>
      </w:tr>
      <w:tr w:rsidR="00DF3B44" w:rsidRPr="00F4056D" w14:paraId="709E1AEC" w14:textId="77777777" w:rsidTr="00A930C7">
        <w:trPr>
          <w:trHeight w:val="240"/>
        </w:trPr>
        <w:tc>
          <w:tcPr>
            <w:tcW w:w="1970" w:type="pct"/>
            <w:shd w:val="clear" w:color="auto" w:fill="auto"/>
            <w:noWrap/>
            <w:vAlign w:val="bottom"/>
          </w:tcPr>
          <w:p w14:paraId="5629A75E" w14:textId="77777777" w:rsidR="00DF3B44" w:rsidRPr="00F4056D" w:rsidRDefault="00DF3B44" w:rsidP="00A930C7">
            <w:pPr>
              <w:spacing w:after="0" w:line="240" w:lineRule="auto"/>
              <w:jc w:val="left"/>
              <w:rPr>
                <w:rFonts w:eastAsia="Times New Roman" w:cs="Segoe UI"/>
                <w:b/>
                <w:bCs/>
                <w:sz w:val="16"/>
                <w:szCs w:val="16"/>
                <w:lang w:eastAsia="sk-SK"/>
              </w:rPr>
            </w:pPr>
            <w:r>
              <w:rPr>
                <w:rFonts w:eastAsia="Times New Roman" w:cs="Segoe UI"/>
                <w:b/>
                <w:bCs/>
                <w:sz w:val="16"/>
                <w:szCs w:val="16"/>
                <w:lang w:eastAsia="sk-SK"/>
              </w:rPr>
              <w:t>Daňové príjmy spolu</w:t>
            </w:r>
          </w:p>
        </w:tc>
        <w:tc>
          <w:tcPr>
            <w:tcW w:w="532" w:type="pct"/>
            <w:shd w:val="clear" w:color="auto" w:fill="auto"/>
            <w:noWrap/>
            <w:vAlign w:val="bottom"/>
          </w:tcPr>
          <w:p w14:paraId="1706AA80" w14:textId="77777777" w:rsidR="00DF3B44" w:rsidRPr="00F4056D" w:rsidRDefault="00DF3B44" w:rsidP="00A930C7">
            <w:pPr>
              <w:spacing w:after="0" w:line="240" w:lineRule="auto"/>
              <w:jc w:val="right"/>
              <w:rPr>
                <w:rFonts w:eastAsia="Times New Roman" w:cs="Segoe UI"/>
                <w:b/>
                <w:bCs/>
                <w:sz w:val="16"/>
                <w:szCs w:val="16"/>
                <w:lang w:eastAsia="sk-SK"/>
              </w:rPr>
            </w:pPr>
            <w:r w:rsidRPr="00371357">
              <w:rPr>
                <w:rFonts w:eastAsia="Times New Roman" w:cs="Segoe UI"/>
                <w:b/>
                <w:bCs/>
                <w:sz w:val="16"/>
                <w:szCs w:val="16"/>
                <w:lang w:eastAsia="sk-SK"/>
              </w:rPr>
              <w:t>13 546</w:t>
            </w:r>
            <w:r>
              <w:rPr>
                <w:rFonts w:eastAsia="Times New Roman" w:cs="Segoe UI"/>
                <w:b/>
                <w:bCs/>
                <w:sz w:val="16"/>
                <w:szCs w:val="16"/>
                <w:lang w:eastAsia="sk-SK"/>
              </w:rPr>
              <w:t> </w:t>
            </w:r>
            <w:r w:rsidRPr="00371357">
              <w:rPr>
                <w:rFonts w:eastAsia="Times New Roman" w:cs="Segoe UI"/>
                <w:b/>
                <w:bCs/>
                <w:sz w:val="16"/>
                <w:szCs w:val="16"/>
                <w:lang w:eastAsia="sk-SK"/>
              </w:rPr>
              <w:t>039</w:t>
            </w:r>
          </w:p>
        </w:tc>
        <w:tc>
          <w:tcPr>
            <w:tcW w:w="532" w:type="pct"/>
            <w:shd w:val="clear" w:color="auto" w:fill="auto"/>
            <w:noWrap/>
            <w:vAlign w:val="bottom"/>
          </w:tcPr>
          <w:p w14:paraId="75C7B2CF" w14:textId="77777777" w:rsidR="00DF3B44" w:rsidRPr="00371357" w:rsidRDefault="00DF3B44" w:rsidP="00A930C7">
            <w:pPr>
              <w:spacing w:after="0" w:line="240" w:lineRule="auto"/>
              <w:jc w:val="right"/>
              <w:rPr>
                <w:rFonts w:eastAsia="Times New Roman" w:cs="Segoe UI"/>
                <w:b/>
                <w:bCs/>
                <w:sz w:val="16"/>
                <w:szCs w:val="16"/>
                <w:lang w:eastAsia="sk-SK"/>
              </w:rPr>
            </w:pPr>
            <w:r w:rsidRPr="00061861">
              <w:rPr>
                <w:rFonts w:eastAsia="Times New Roman" w:cs="Times New Roman"/>
                <w:b/>
                <w:color w:val="000000"/>
                <w:sz w:val="16"/>
                <w:szCs w:val="16"/>
                <w:lang w:eastAsia="sk-SK"/>
              </w:rPr>
              <w:t>14 348 197</w:t>
            </w:r>
          </w:p>
        </w:tc>
        <w:tc>
          <w:tcPr>
            <w:tcW w:w="532" w:type="pct"/>
            <w:gridSpan w:val="2"/>
            <w:shd w:val="clear" w:color="auto" w:fill="auto"/>
            <w:noWrap/>
            <w:vAlign w:val="bottom"/>
          </w:tcPr>
          <w:p w14:paraId="0923A5E4" w14:textId="77777777" w:rsidR="00DF3B44" w:rsidRPr="00F4056D" w:rsidRDefault="00DF3B44" w:rsidP="00A930C7">
            <w:pPr>
              <w:spacing w:after="0" w:line="240" w:lineRule="auto"/>
              <w:jc w:val="right"/>
              <w:rPr>
                <w:rFonts w:eastAsia="Times New Roman" w:cs="Segoe UI"/>
                <w:b/>
                <w:bCs/>
                <w:sz w:val="16"/>
                <w:szCs w:val="16"/>
                <w:lang w:eastAsia="sk-SK"/>
              </w:rPr>
            </w:pPr>
            <w:r w:rsidRPr="00371357">
              <w:rPr>
                <w:rFonts w:eastAsia="Times New Roman" w:cs="Segoe UI"/>
                <w:b/>
                <w:bCs/>
                <w:sz w:val="16"/>
                <w:szCs w:val="16"/>
                <w:lang w:eastAsia="sk-SK"/>
              </w:rPr>
              <w:t>15 845 854</w:t>
            </w:r>
          </w:p>
        </w:tc>
        <w:tc>
          <w:tcPr>
            <w:tcW w:w="532" w:type="pct"/>
            <w:gridSpan w:val="2"/>
            <w:shd w:val="clear" w:color="auto" w:fill="auto"/>
            <w:noWrap/>
            <w:vAlign w:val="bottom"/>
          </w:tcPr>
          <w:p w14:paraId="379FC484" w14:textId="77777777" w:rsidR="00DF3B44" w:rsidRPr="00F4056D" w:rsidRDefault="00DF3B44" w:rsidP="00A930C7">
            <w:pPr>
              <w:spacing w:after="0" w:line="240" w:lineRule="auto"/>
              <w:jc w:val="right"/>
              <w:rPr>
                <w:rFonts w:eastAsia="Times New Roman" w:cs="Segoe UI"/>
                <w:b/>
                <w:bCs/>
                <w:sz w:val="16"/>
                <w:szCs w:val="16"/>
                <w:lang w:eastAsia="sk-SK"/>
              </w:rPr>
            </w:pPr>
            <w:r w:rsidRPr="00371357">
              <w:rPr>
                <w:rFonts w:eastAsia="Times New Roman" w:cs="Segoe UI"/>
                <w:b/>
                <w:bCs/>
                <w:sz w:val="16"/>
                <w:szCs w:val="16"/>
                <w:lang w:eastAsia="sk-SK"/>
              </w:rPr>
              <w:t>15 517 036</w:t>
            </w:r>
          </w:p>
        </w:tc>
        <w:tc>
          <w:tcPr>
            <w:tcW w:w="545" w:type="pct"/>
            <w:gridSpan w:val="2"/>
            <w:shd w:val="clear" w:color="auto" w:fill="auto"/>
            <w:noWrap/>
            <w:vAlign w:val="bottom"/>
          </w:tcPr>
          <w:p w14:paraId="0742C7A2" w14:textId="77777777" w:rsidR="00DF3B44" w:rsidRPr="00F4056D" w:rsidRDefault="00DF3B44" w:rsidP="00A930C7">
            <w:pPr>
              <w:spacing w:after="0" w:line="240" w:lineRule="auto"/>
              <w:jc w:val="right"/>
              <w:rPr>
                <w:rFonts w:eastAsia="Times New Roman" w:cs="Segoe UI"/>
                <w:b/>
                <w:bCs/>
                <w:sz w:val="16"/>
                <w:szCs w:val="16"/>
                <w:lang w:eastAsia="sk-SK"/>
              </w:rPr>
            </w:pPr>
            <w:r w:rsidRPr="00371357">
              <w:rPr>
                <w:rFonts w:eastAsia="Times New Roman" w:cs="Segoe UI"/>
                <w:b/>
                <w:bCs/>
                <w:sz w:val="16"/>
                <w:szCs w:val="16"/>
                <w:lang w:eastAsia="sk-SK"/>
              </w:rPr>
              <w:t>-328 818</w:t>
            </w:r>
          </w:p>
        </w:tc>
        <w:tc>
          <w:tcPr>
            <w:tcW w:w="357" w:type="pct"/>
            <w:gridSpan w:val="2"/>
            <w:shd w:val="clear" w:color="auto" w:fill="auto"/>
            <w:noWrap/>
            <w:vAlign w:val="bottom"/>
          </w:tcPr>
          <w:p w14:paraId="27F156DD" w14:textId="77777777" w:rsidR="00DF3B44" w:rsidRPr="00F4056D" w:rsidRDefault="00DF3B44" w:rsidP="00A930C7">
            <w:pPr>
              <w:spacing w:after="0" w:line="240" w:lineRule="auto"/>
              <w:jc w:val="right"/>
              <w:rPr>
                <w:rFonts w:eastAsia="Times New Roman" w:cs="Segoe UI"/>
                <w:b/>
                <w:bCs/>
                <w:sz w:val="16"/>
                <w:szCs w:val="16"/>
                <w:lang w:eastAsia="sk-SK"/>
              </w:rPr>
            </w:pPr>
            <w:r w:rsidRPr="00371357">
              <w:rPr>
                <w:rFonts w:eastAsia="Times New Roman" w:cs="Segoe UI"/>
                <w:b/>
                <w:bCs/>
                <w:sz w:val="16"/>
                <w:szCs w:val="16"/>
                <w:lang w:eastAsia="sk-SK"/>
              </w:rPr>
              <w:t>114,6</w:t>
            </w:r>
          </w:p>
        </w:tc>
      </w:tr>
      <w:tr w:rsidR="00DF3B44" w:rsidRPr="00F4056D" w14:paraId="28171001" w14:textId="77777777" w:rsidTr="00A930C7">
        <w:trPr>
          <w:trHeight w:val="240"/>
        </w:trPr>
        <w:tc>
          <w:tcPr>
            <w:tcW w:w="1970" w:type="pct"/>
            <w:shd w:val="clear" w:color="auto" w:fill="auto"/>
            <w:noWrap/>
            <w:vAlign w:val="bottom"/>
            <w:hideMark/>
          </w:tcPr>
          <w:p w14:paraId="7C7BCA3D" w14:textId="77777777" w:rsidR="00DF3B44" w:rsidRPr="00F4056D" w:rsidRDefault="00DF3B44" w:rsidP="00A930C7">
            <w:pPr>
              <w:spacing w:after="0" w:line="240" w:lineRule="auto"/>
              <w:jc w:val="left"/>
              <w:rPr>
                <w:rFonts w:eastAsia="Times New Roman" w:cs="Segoe UI"/>
                <w:b/>
                <w:bCs/>
                <w:sz w:val="16"/>
                <w:szCs w:val="16"/>
                <w:lang w:eastAsia="sk-SK"/>
              </w:rPr>
            </w:pPr>
            <w:r w:rsidRPr="00F4056D">
              <w:rPr>
                <w:rFonts w:eastAsia="Times New Roman" w:cs="Segoe UI"/>
                <w:b/>
                <w:bCs/>
                <w:sz w:val="16"/>
                <w:szCs w:val="16"/>
                <w:lang w:eastAsia="sk-SK"/>
              </w:rPr>
              <w:t>Dane z príjmov a kapitálového majetku</w:t>
            </w:r>
          </w:p>
        </w:tc>
        <w:tc>
          <w:tcPr>
            <w:tcW w:w="532" w:type="pct"/>
            <w:shd w:val="clear" w:color="auto" w:fill="auto"/>
            <w:noWrap/>
            <w:vAlign w:val="bottom"/>
            <w:hideMark/>
          </w:tcPr>
          <w:p w14:paraId="340A85C4"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3 167 002</w:t>
            </w:r>
          </w:p>
        </w:tc>
        <w:tc>
          <w:tcPr>
            <w:tcW w:w="563" w:type="pct"/>
            <w:gridSpan w:val="2"/>
            <w:shd w:val="clear" w:color="auto" w:fill="auto"/>
            <w:noWrap/>
            <w:vAlign w:val="center"/>
            <w:hideMark/>
          </w:tcPr>
          <w:p w14:paraId="12BA7092" w14:textId="77777777" w:rsidR="00DF3B44" w:rsidRPr="00F4056D" w:rsidRDefault="00DF3B44" w:rsidP="00A930C7">
            <w:pPr>
              <w:spacing w:after="0" w:line="240" w:lineRule="auto"/>
              <w:jc w:val="right"/>
              <w:rPr>
                <w:rFonts w:eastAsia="Times New Roman" w:cs="Segoe UI"/>
                <w:b/>
                <w:bCs/>
                <w:sz w:val="16"/>
                <w:szCs w:val="16"/>
                <w:lang w:eastAsia="sk-SK"/>
              </w:rPr>
            </w:pPr>
            <w:r w:rsidRPr="00061861">
              <w:rPr>
                <w:rFonts w:eastAsia="Times New Roman" w:cs="Segoe UI"/>
                <w:b/>
                <w:bCs/>
                <w:iCs/>
                <w:color w:val="000000"/>
                <w:sz w:val="16"/>
                <w:szCs w:val="16"/>
                <w:lang w:eastAsia="sk-SK"/>
              </w:rPr>
              <w:t>3 478 014</w:t>
            </w:r>
          </w:p>
        </w:tc>
        <w:tc>
          <w:tcPr>
            <w:tcW w:w="532" w:type="pct"/>
            <w:gridSpan w:val="2"/>
            <w:shd w:val="clear" w:color="auto" w:fill="auto"/>
            <w:noWrap/>
            <w:vAlign w:val="bottom"/>
            <w:hideMark/>
          </w:tcPr>
          <w:p w14:paraId="157D45A4"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4 261 267</w:t>
            </w:r>
          </w:p>
        </w:tc>
        <w:tc>
          <w:tcPr>
            <w:tcW w:w="532" w:type="pct"/>
            <w:gridSpan w:val="2"/>
            <w:shd w:val="clear" w:color="auto" w:fill="auto"/>
            <w:noWrap/>
            <w:vAlign w:val="bottom"/>
            <w:hideMark/>
          </w:tcPr>
          <w:p w14:paraId="01E56BB0"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4 107 134</w:t>
            </w:r>
          </w:p>
        </w:tc>
        <w:tc>
          <w:tcPr>
            <w:tcW w:w="545" w:type="pct"/>
            <w:gridSpan w:val="2"/>
            <w:shd w:val="clear" w:color="auto" w:fill="auto"/>
            <w:noWrap/>
            <w:vAlign w:val="bottom"/>
            <w:hideMark/>
          </w:tcPr>
          <w:p w14:paraId="596100E0"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-154 133</w:t>
            </w:r>
          </w:p>
        </w:tc>
        <w:tc>
          <w:tcPr>
            <w:tcW w:w="326" w:type="pct"/>
            <w:shd w:val="clear" w:color="auto" w:fill="auto"/>
            <w:noWrap/>
            <w:vAlign w:val="bottom"/>
            <w:hideMark/>
          </w:tcPr>
          <w:p w14:paraId="796B6538"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129,7</w:t>
            </w:r>
          </w:p>
        </w:tc>
      </w:tr>
      <w:tr w:rsidR="00DF3B44" w:rsidRPr="00F4056D" w14:paraId="573751C2" w14:textId="77777777" w:rsidTr="00A930C7">
        <w:trPr>
          <w:trHeight w:val="240"/>
        </w:trPr>
        <w:tc>
          <w:tcPr>
            <w:tcW w:w="1970" w:type="pct"/>
            <w:shd w:val="clear" w:color="auto" w:fill="auto"/>
            <w:noWrap/>
            <w:vAlign w:val="bottom"/>
            <w:hideMark/>
          </w:tcPr>
          <w:p w14:paraId="17CDB72E" w14:textId="77777777" w:rsidR="00DF3B44" w:rsidRPr="00F4056D" w:rsidRDefault="00DF3B44" w:rsidP="003451D7">
            <w:pPr>
              <w:pStyle w:val="Odsekzoznamu"/>
              <w:numPr>
                <w:ilvl w:val="0"/>
                <w:numId w:val="7"/>
              </w:numPr>
              <w:spacing w:after="0" w:line="240" w:lineRule="auto"/>
              <w:jc w:val="left"/>
              <w:rPr>
                <w:rFonts w:eastAsia="Times New Roman" w:cs="Segoe UI"/>
                <w:sz w:val="16"/>
                <w:szCs w:val="16"/>
                <w:lang w:eastAsia="sk-SK"/>
              </w:rPr>
            </w:pPr>
            <w:r w:rsidRPr="00F4056D">
              <w:rPr>
                <w:rFonts w:eastAsia="Times New Roman" w:cs="Segoe UI"/>
                <w:sz w:val="16"/>
                <w:szCs w:val="16"/>
                <w:lang w:eastAsia="sk-SK"/>
              </w:rPr>
              <w:t>Daň z príjmov fyzickej osoby</w:t>
            </w:r>
          </w:p>
        </w:tc>
        <w:tc>
          <w:tcPr>
            <w:tcW w:w="532" w:type="pct"/>
            <w:shd w:val="clear" w:color="auto" w:fill="auto"/>
            <w:noWrap/>
            <w:vAlign w:val="bottom"/>
            <w:hideMark/>
          </w:tcPr>
          <w:p w14:paraId="49F917C2"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17 876</w:t>
            </w:r>
          </w:p>
        </w:tc>
        <w:tc>
          <w:tcPr>
            <w:tcW w:w="563" w:type="pct"/>
            <w:gridSpan w:val="2"/>
            <w:shd w:val="clear" w:color="auto" w:fill="auto"/>
            <w:noWrap/>
            <w:vAlign w:val="center"/>
            <w:hideMark/>
          </w:tcPr>
          <w:p w14:paraId="74114238" w14:textId="77777777" w:rsidR="00DF3B44" w:rsidRPr="00F4056D" w:rsidRDefault="00DF3B44" w:rsidP="00A930C7">
            <w:pPr>
              <w:spacing w:after="0" w:line="240" w:lineRule="auto"/>
              <w:jc w:val="right"/>
              <w:rPr>
                <w:rFonts w:eastAsia="Times New Roman" w:cs="Segoe UI"/>
                <w:sz w:val="16"/>
                <w:szCs w:val="16"/>
                <w:lang w:eastAsia="sk-SK"/>
              </w:rPr>
            </w:pPr>
            <w:r w:rsidRPr="00061861">
              <w:rPr>
                <w:rFonts w:eastAsia="Times New Roman" w:cs="Segoe UI"/>
                <w:bCs/>
                <w:iCs/>
                <w:color w:val="000000"/>
                <w:sz w:val="16"/>
                <w:szCs w:val="16"/>
                <w:lang w:eastAsia="sk-SK"/>
              </w:rPr>
              <w:t>20 880</w:t>
            </w:r>
          </w:p>
        </w:tc>
        <w:tc>
          <w:tcPr>
            <w:tcW w:w="532" w:type="pct"/>
            <w:gridSpan w:val="2"/>
            <w:shd w:val="clear" w:color="auto" w:fill="auto"/>
            <w:noWrap/>
            <w:vAlign w:val="bottom"/>
            <w:hideMark/>
          </w:tcPr>
          <w:p w14:paraId="552648E4"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20 851</w:t>
            </w:r>
          </w:p>
        </w:tc>
        <w:tc>
          <w:tcPr>
            <w:tcW w:w="532" w:type="pct"/>
            <w:gridSpan w:val="2"/>
            <w:shd w:val="clear" w:color="auto" w:fill="auto"/>
            <w:noWrap/>
            <w:vAlign w:val="bottom"/>
            <w:hideMark/>
          </w:tcPr>
          <w:p w14:paraId="38C7380F"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-11 975</w:t>
            </w:r>
          </w:p>
        </w:tc>
        <w:tc>
          <w:tcPr>
            <w:tcW w:w="545" w:type="pct"/>
            <w:gridSpan w:val="2"/>
            <w:shd w:val="clear" w:color="auto" w:fill="auto"/>
            <w:noWrap/>
            <w:vAlign w:val="bottom"/>
            <w:hideMark/>
          </w:tcPr>
          <w:p w14:paraId="4DBE5A23"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-32 826</w:t>
            </w:r>
          </w:p>
        </w:tc>
        <w:tc>
          <w:tcPr>
            <w:tcW w:w="326" w:type="pct"/>
            <w:shd w:val="clear" w:color="auto" w:fill="auto"/>
            <w:noWrap/>
            <w:vAlign w:val="bottom"/>
            <w:hideMark/>
          </w:tcPr>
          <w:p w14:paraId="1A94BD85"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-67,0</w:t>
            </w:r>
          </w:p>
        </w:tc>
      </w:tr>
      <w:tr w:rsidR="00DF3B44" w:rsidRPr="00F4056D" w14:paraId="5D80EF81" w14:textId="77777777" w:rsidTr="00A930C7">
        <w:trPr>
          <w:trHeight w:val="240"/>
        </w:trPr>
        <w:tc>
          <w:tcPr>
            <w:tcW w:w="1970" w:type="pct"/>
            <w:shd w:val="clear" w:color="auto" w:fill="auto"/>
            <w:noWrap/>
            <w:vAlign w:val="bottom"/>
            <w:hideMark/>
          </w:tcPr>
          <w:p w14:paraId="00487365" w14:textId="77777777" w:rsidR="00DF3B44" w:rsidRPr="00F4056D" w:rsidRDefault="00DF3B44" w:rsidP="003451D7">
            <w:pPr>
              <w:pStyle w:val="Odsekzoznamu"/>
              <w:numPr>
                <w:ilvl w:val="0"/>
                <w:numId w:val="7"/>
              </w:numPr>
              <w:spacing w:after="0" w:line="240" w:lineRule="auto"/>
              <w:jc w:val="left"/>
              <w:rPr>
                <w:rFonts w:eastAsia="Times New Roman" w:cs="Segoe UI"/>
                <w:sz w:val="16"/>
                <w:szCs w:val="16"/>
                <w:lang w:eastAsia="sk-SK"/>
              </w:rPr>
            </w:pPr>
            <w:r w:rsidRPr="00F4056D">
              <w:rPr>
                <w:rFonts w:eastAsia="Times New Roman" w:cs="Segoe UI"/>
                <w:sz w:val="16"/>
                <w:szCs w:val="16"/>
                <w:lang w:eastAsia="sk-SK"/>
              </w:rPr>
              <w:t>Daň z príjmov právnickej osoby</w:t>
            </w:r>
          </w:p>
        </w:tc>
        <w:tc>
          <w:tcPr>
            <w:tcW w:w="532" w:type="pct"/>
            <w:shd w:val="clear" w:color="auto" w:fill="auto"/>
            <w:noWrap/>
            <w:vAlign w:val="bottom"/>
            <w:hideMark/>
          </w:tcPr>
          <w:p w14:paraId="767F9D17"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2 859 372</w:t>
            </w:r>
          </w:p>
        </w:tc>
        <w:tc>
          <w:tcPr>
            <w:tcW w:w="563" w:type="pct"/>
            <w:gridSpan w:val="2"/>
            <w:shd w:val="clear" w:color="auto" w:fill="auto"/>
            <w:noWrap/>
            <w:vAlign w:val="center"/>
            <w:hideMark/>
          </w:tcPr>
          <w:p w14:paraId="18BA6C6D" w14:textId="77777777" w:rsidR="00DF3B44" w:rsidRPr="00F4056D" w:rsidRDefault="00DF3B44" w:rsidP="00A930C7">
            <w:pPr>
              <w:spacing w:after="0" w:line="240" w:lineRule="auto"/>
              <w:jc w:val="right"/>
              <w:rPr>
                <w:rFonts w:eastAsia="Times New Roman" w:cs="Segoe UI"/>
                <w:sz w:val="16"/>
                <w:szCs w:val="16"/>
                <w:lang w:eastAsia="sk-SK"/>
              </w:rPr>
            </w:pPr>
            <w:r w:rsidRPr="00061861">
              <w:rPr>
                <w:rFonts w:eastAsia="Times New Roman" w:cs="Segoe UI"/>
                <w:bCs/>
                <w:iCs/>
                <w:color w:val="000000"/>
                <w:sz w:val="16"/>
                <w:szCs w:val="16"/>
                <w:lang w:eastAsia="sk-SK"/>
              </w:rPr>
              <w:t>3 166 684</w:t>
            </w:r>
          </w:p>
        </w:tc>
        <w:tc>
          <w:tcPr>
            <w:tcW w:w="532" w:type="pct"/>
            <w:gridSpan w:val="2"/>
            <w:shd w:val="clear" w:color="auto" w:fill="auto"/>
            <w:noWrap/>
            <w:vAlign w:val="bottom"/>
            <w:hideMark/>
          </w:tcPr>
          <w:p w14:paraId="42DE5735"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3 920 078</w:t>
            </w:r>
          </w:p>
        </w:tc>
        <w:tc>
          <w:tcPr>
            <w:tcW w:w="532" w:type="pct"/>
            <w:gridSpan w:val="2"/>
            <w:shd w:val="clear" w:color="auto" w:fill="auto"/>
            <w:noWrap/>
            <w:vAlign w:val="bottom"/>
            <w:hideMark/>
          </w:tcPr>
          <w:p w14:paraId="66C45C46"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3 804 345</w:t>
            </w:r>
          </w:p>
        </w:tc>
        <w:tc>
          <w:tcPr>
            <w:tcW w:w="545" w:type="pct"/>
            <w:gridSpan w:val="2"/>
            <w:shd w:val="clear" w:color="auto" w:fill="auto"/>
            <w:noWrap/>
            <w:vAlign w:val="bottom"/>
            <w:hideMark/>
          </w:tcPr>
          <w:p w14:paraId="1614E956"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-115 733</w:t>
            </w:r>
          </w:p>
        </w:tc>
        <w:tc>
          <w:tcPr>
            <w:tcW w:w="326" w:type="pct"/>
            <w:shd w:val="clear" w:color="auto" w:fill="auto"/>
            <w:noWrap/>
            <w:vAlign w:val="bottom"/>
            <w:hideMark/>
          </w:tcPr>
          <w:p w14:paraId="3B483E0B"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133,0</w:t>
            </w:r>
          </w:p>
        </w:tc>
      </w:tr>
      <w:tr w:rsidR="00DF3B44" w:rsidRPr="00F4056D" w14:paraId="31AAD089" w14:textId="77777777" w:rsidTr="00A930C7">
        <w:trPr>
          <w:trHeight w:val="240"/>
        </w:trPr>
        <w:tc>
          <w:tcPr>
            <w:tcW w:w="1970" w:type="pct"/>
            <w:shd w:val="clear" w:color="auto" w:fill="auto"/>
            <w:noWrap/>
            <w:vAlign w:val="bottom"/>
            <w:hideMark/>
          </w:tcPr>
          <w:p w14:paraId="36711AF4" w14:textId="77777777" w:rsidR="00DF3B44" w:rsidRPr="00F4056D" w:rsidRDefault="00DF3B44" w:rsidP="003451D7">
            <w:pPr>
              <w:pStyle w:val="Odsekzoznamu"/>
              <w:numPr>
                <w:ilvl w:val="0"/>
                <w:numId w:val="7"/>
              </w:numPr>
              <w:spacing w:after="0" w:line="240" w:lineRule="auto"/>
              <w:jc w:val="left"/>
              <w:rPr>
                <w:rFonts w:eastAsia="Times New Roman" w:cs="Segoe UI"/>
                <w:sz w:val="16"/>
                <w:szCs w:val="16"/>
                <w:lang w:eastAsia="sk-SK"/>
              </w:rPr>
            </w:pPr>
            <w:r w:rsidRPr="00F4056D">
              <w:rPr>
                <w:rFonts w:eastAsia="Times New Roman" w:cs="Segoe UI"/>
                <w:sz w:val="16"/>
                <w:szCs w:val="16"/>
                <w:lang w:eastAsia="sk-SK"/>
              </w:rPr>
              <w:t>Daň z príjmov vyberaná zrážkou</w:t>
            </w:r>
          </w:p>
        </w:tc>
        <w:tc>
          <w:tcPr>
            <w:tcW w:w="532" w:type="pct"/>
            <w:shd w:val="clear" w:color="auto" w:fill="auto"/>
            <w:noWrap/>
            <w:vAlign w:val="bottom"/>
            <w:hideMark/>
          </w:tcPr>
          <w:p w14:paraId="2C23DC7B"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289 754</w:t>
            </w:r>
          </w:p>
        </w:tc>
        <w:tc>
          <w:tcPr>
            <w:tcW w:w="563" w:type="pct"/>
            <w:gridSpan w:val="2"/>
            <w:shd w:val="clear" w:color="auto" w:fill="auto"/>
            <w:noWrap/>
            <w:vAlign w:val="center"/>
            <w:hideMark/>
          </w:tcPr>
          <w:p w14:paraId="76CE2C5A" w14:textId="77777777" w:rsidR="00DF3B44" w:rsidRPr="00F4056D" w:rsidRDefault="00DF3B44" w:rsidP="00A930C7">
            <w:pPr>
              <w:spacing w:after="0" w:line="240" w:lineRule="auto"/>
              <w:jc w:val="right"/>
              <w:rPr>
                <w:rFonts w:eastAsia="Times New Roman" w:cs="Segoe UI"/>
                <w:sz w:val="16"/>
                <w:szCs w:val="16"/>
                <w:lang w:eastAsia="sk-SK"/>
              </w:rPr>
            </w:pPr>
            <w:r w:rsidRPr="00061861">
              <w:rPr>
                <w:rFonts w:eastAsia="Times New Roman" w:cs="Segoe UI"/>
                <w:bCs/>
                <w:iCs/>
                <w:color w:val="000000"/>
                <w:sz w:val="16"/>
                <w:szCs w:val="16"/>
                <w:lang w:eastAsia="sk-SK"/>
              </w:rPr>
              <w:t>290 450</w:t>
            </w:r>
          </w:p>
        </w:tc>
        <w:tc>
          <w:tcPr>
            <w:tcW w:w="532" w:type="pct"/>
            <w:gridSpan w:val="2"/>
            <w:shd w:val="clear" w:color="auto" w:fill="auto"/>
            <w:noWrap/>
            <w:vAlign w:val="bottom"/>
            <w:hideMark/>
          </w:tcPr>
          <w:p w14:paraId="5E887872"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320 338</w:t>
            </w:r>
          </w:p>
        </w:tc>
        <w:tc>
          <w:tcPr>
            <w:tcW w:w="532" w:type="pct"/>
            <w:gridSpan w:val="2"/>
            <w:shd w:val="clear" w:color="auto" w:fill="auto"/>
            <w:noWrap/>
            <w:vAlign w:val="bottom"/>
            <w:hideMark/>
          </w:tcPr>
          <w:p w14:paraId="3481A214"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314 764</w:t>
            </w:r>
          </w:p>
        </w:tc>
        <w:tc>
          <w:tcPr>
            <w:tcW w:w="545" w:type="pct"/>
            <w:gridSpan w:val="2"/>
            <w:shd w:val="clear" w:color="auto" w:fill="auto"/>
            <w:noWrap/>
            <w:vAlign w:val="bottom"/>
            <w:hideMark/>
          </w:tcPr>
          <w:p w14:paraId="6C33ABFC"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-5 574</w:t>
            </w:r>
          </w:p>
        </w:tc>
        <w:tc>
          <w:tcPr>
            <w:tcW w:w="326" w:type="pct"/>
            <w:shd w:val="clear" w:color="auto" w:fill="auto"/>
            <w:noWrap/>
            <w:vAlign w:val="bottom"/>
            <w:hideMark/>
          </w:tcPr>
          <w:p w14:paraId="1559D0C5"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108,6</w:t>
            </w:r>
          </w:p>
        </w:tc>
      </w:tr>
      <w:tr w:rsidR="00DF3B44" w:rsidRPr="00F4056D" w14:paraId="3D4B6B3D" w14:textId="77777777" w:rsidTr="00A930C7">
        <w:trPr>
          <w:trHeight w:val="240"/>
        </w:trPr>
        <w:tc>
          <w:tcPr>
            <w:tcW w:w="1970" w:type="pct"/>
            <w:shd w:val="clear" w:color="auto" w:fill="auto"/>
            <w:noWrap/>
            <w:vAlign w:val="bottom"/>
            <w:hideMark/>
          </w:tcPr>
          <w:p w14:paraId="010EEFBD" w14:textId="77777777" w:rsidR="00DF3B44" w:rsidRPr="00F4056D" w:rsidRDefault="00DF3B44" w:rsidP="00A930C7">
            <w:pPr>
              <w:spacing w:after="0" w:line="240" w:lineRule="auto"/>
              <w:jc w:val="left"/>
              <w:rPr>
                <w:rFonts w:eastAsia="Times New Roman" w:cs="Segoe UI"/>
                <w:b/>
                <w:bCs/>
                <w:sz w:val="16"/>
                <w:szCs w:val="16"/>
                <w:lang w:eastAsia="sk-SK"/>
              </w:rPr>
            </w:pPr>
            <w:r w:rsidRPr="00F4056D">
              <w:rPr>
                <w:rFonts w:eastAsia="Times New Roman" w:cs="Segoe UI"/>
                <w:b/>
                <w:bCs/>
                <w:sz w:val="16"/>
                <w:szCs w:val="16"/>
                <w:lang w:eastAsia="sk-SK"/>
              </w:rPr>
              <w:t>Dane z majetku</w:t>
            </w:r>
          </w:p>
        </w:tc>
        <w:tc>
          <w:tcPr>
            <w:tcW w:w="532" w:type="pct"/>
            <w:shd w:val="clear" w:color="auto" w:fill="auto"/>
            <w:noWrap/>
            <w:vAlign w:val="bottom"/>
            <w:hideMark/>
          </w:tcPr>
          <w:p w14:paraId="350FE294"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11</w:t>
            </w:r>
          </w:p>
        </w:tc>
        <w:tc>
          <w:tcPr>
            <w:tcW w:w="563" w:type="pct"/>
            <w:gridSpan w:val="2"/>
            <w:shd w:val="clear" w:color="auto" w:fill="auto"/>
            <w:noWrap/>
            <w:vAlign w:val="center"/>
            <w:hideMark/>
          </w:tcPr>
          <w:p w14:paraId="3D741518" w14:textId="77777777" w:rsidR="00DF3B44" w:rsidRPr="00F4056D" w:rsidRDefault="00DF3B44" w:rsidP="00A930C7">
            <w:pPr>
              <w:spacing w:after="0" w:line="240" w:lineRule="auto"/>
              <w:jc w:val="right"/>
              <w:rPr>
                <w:rFonts w:eastAsia="Times New Roman" w:cs="Segoe UI"/>
                <w:b/>
                <w:bCs/>
                <w:sz w:val="16"/>
                <w:szCs w:val="16"/>
                <w:lang w:eastAsia="sk-SK"/>
              </w:rPr>
            </w:pPr>
            <w:r w:rsidRPr="00061861">
              <w:rPr>
                <w:rFonts w:eastAsia="Times New Roman" w:cs="Segoe UI"/>
                <w:b/>
                <w:bCs/>
                <w:iCs/>
                <w:color w:val="000000"/>
                <w:sz w:val="16"/>
                <w:szCs w:val="16"/>
                <w:lang w:eastAsia="sk-SK"/>
              </w:rPr>
              <w:t>0</w:t>
            </w:r>
          </w:p>
        </w:tc>
        <w:tc>
          <w:tcPr>
            <w:tcW w:w="532" w:type="pct"/>
            <w:gridSpan w:val="2"/>
            <w:shd w:val="clear" w:color="auto" w:fill="auto"/>
            <w:noWrap/>
            <w:vAlign w:val="bottom"/>
            <w:hideMark/>
          </w:tcPr>
          <w:p w14:paraId="295A0A15"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4</w:t>
            </w:r>
          </w:p>
        </w:tc>
        <w:tc>
          <w:tcPr>
            <w:tcW w:w="532" w:type="pct"/>
            <w:gridSpan w:val="2"/>
            <w:shd w:val="clear" w:color="auto" w:fill="auto"/>
            <w:noWrap/>
            <w:vAlign w:val="bottom"/>
            <w:hideMark/>
          </w:tcPr>
          <w:p w14:paraId="7E418704"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9</w:t>
            </w:r>
          </w:p>
        </w:tc>
        <w:tc>
          <w:tcPr>
            <w:tcW w:w="545" w:type="pct"/>
            <w:gridSpan w:val="2"/>
            <w:shd w:val="clear" w:color="auto" w:fill="auto"/>
            <w:noWrap/>
            <w:vAlign w:val="bottom"/>
            <w:hideMark/>
          </w:tcPr>
          <w:p w14:paraId="32E597EB"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5</w:t>
            </w:r>
          </w:p>
        </w:tc>
        <w:tc>
          <w:tcPr>
            <w:tcW w:w="326" w:type="pct"/>
            <w:shd w:val="clear" w:color="auto" w:fill="auto"/>
            <w:noWrap/>
            <w:vAlign w:val="bottom"/>
            <w:hideMark/>
          </w:tcPr>
          <w:p w14:paraId="2D01E8C4"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81,8</w:t>
            </w:r>
          </w:p>
        </w:tc>
      </w:tr>
      <w:tr w:rsidR="00DF3B44" w:rsidRPr="00F4056D" w14:paraId="2FA1FD2D" w14:textId="77777777" w:rsidTr="00A930C7">
        <w:trPr>
          <w:trHeight w:val="240"/>
        </w:trPr>
        <w:tc>
          <w:tcPr>
            <w:tcW w:w="1970" w:type="pct"/>
            <w:shd w:val="clear" w:color="auto" w:fill="auto"/>
            <w:noWrap/>
            <w:vAlign w:val="bottom"/>
            <w:hideMark/>
          </w:tcPr>
          <w:p w14:paraId="115DDA4E" w14:textId="77777777" w:rsidR="00DF3B44" w:rsidRPr="00F4056D" w:rsidRDefault="00DF3B44" w:rsidP="00A930C7">
            <w:pPr>
              <w:spacing w:after="0" w:line="240" w:lineRule="auto"/>
              <w:jc w:val="left"/>
              <w:rPr>
                <w:rFonts w:eastAsia="Times New Roman" w:cs="Segoe UI"/>
                <w:b/>
                <w:bCs/>
                <w:sz w:val="16"/>
                <w:szCs w:val="16"/>
                <w:lang w:eastAsia="sk-SK"/>
              </w:rPr>
            </w:pPr>
            <w:r w:rsidRPr="00F4056D">
              <w:rPr>
                <w:rFonts w:eastAsia="Times New Roman" w:cs="Segoe UI"/>
                <w:b/>
                <w:bCs/>
                <w:sz w:val="16"/>
                <w:szCs w:val="16"/>
                <w:lang w:eastAsia="sk-SK"/>
              </w:rPr>
              <w:t>Dane za tovary a služby</w:t>
            </w:r>
          </w:p>
        </w:tc>
        <w:tc>
          <w:tcPr>
            <w:tcW w:w="532" w:type="pct"/>
            <w:shd w:val="clear" w:color="auto" w:fill="auto"/>
            <w:noWrap/>
            <w:vAlign w:val="bottom"/>
            <w:hideMark/>
          </w:tcPr>
          <w:p w14:paraId="588C9F54"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10 327 344</w:t>
            </w:r>
          </w:p>
        </w:tc>
        <w:tc>
          <w:tcPr>
            <w:tcW w:w="563" w:type="pct"/>
            <w:gridSpan w:val="2"/>
            <w:shd w:val="clear" w:color="auto" w:fill="auto"/>
            <w:noWrap/>
            <w:vAlign w:val="center"/>
            <w:hideMark/>
          </w:tcPr>
          <w:p w14:paraId="25C92DD0" w14:textId="77777777" w:rsidR="00DF3B44" w:rsidRPr="00F4056D" w:rsidRDefault="00DF3B44" w:rsidP="00A930C7">
            <w:pPr>
              <w:spacing w:after="0" w:line="240" w:lineRule="auto"/>
              <w:jc w:val="right"/>
              <w:rPr>
                <w:rFonts w:eastAsia="Times New Roman" w:cs="Segoe UI"/>
                <w:b/>
                <w:bCs/>
                <w:sz w:val="16"/>
                <w:szCs w:val="16"/>
                <w:lang w:eastAsia="sk-SK"/>
              </w:rPr>
            </w:pPr>
            <w:r w:rsidRPr="00061861">
              <w:rPr>
                <w:rFonts w:eastAsia="Times New Roman" w:cs="Segoe UI"/>
                <w:b/>
                <w:bCs/>
                <w:iCs/>
                <w:color w:val="000000"/>
                <w:sz w:val="16"/>
                <w:szCs w:val="16"/>
                <w:lang w:eastAsia="sk-SK"/>
              </w:rPr>
              <w:t>10 830 175</w:t>
            </w:r>
          </w:p>
        </w:tc>
        <w:tc>
          <w:tcPr>
            <w:tcW w:w="532" w:type="pct"/>
            <w:gridSpan w:val="2"/>
            <w:shd w:val="clear" w:color="auto" w:fill="auto"/>
            <w:noWrap/>
            <w:vAlign w:val="bottom"/>
            <w:hideMark/>
          </w:tcPr>
          <w:p w14:paraId="31EF454D"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11 526 510</w:t>
            </w:r>
          </w:p>
        </w:tc>
        <w:tc>
          <w:tcPr>
            <w:tcW w:w="532" w:type="pct"/>
            <w:gridSpan w:val="2"/>
            <w:shd w:val="clear" w:color="auto" w:fill="auto"/>
            <w:noWrap/>
            <w:vAlign w:val="bottom"/>
            <w:hideMark/>
          </w:tcPr>
          <w:p w14:paraId="4342726A"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11 330 228</w:t>
            </w:r>
          </w:p>
        </w:tc>
        <w:tc>
          <w:tcPr>
            <w:tcW w:w="545" w:type="pct"/>
            <w:gridSpan w:val="2"/>
            <w:shd w:val="clear" w:color="auto" w:fill="auto"/>
            <w:noWrap/>
            <w:vAlign w:val="bottom"/>
            <w:hideMark/>
          </w:tcPr>
          <w:p w14:paraId="672C255F"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-196 282</w:t>
            </w:r>
          </w:p>
        </w:tc>
        <w:tc>
          <w:tcPr>
            <w:tcW w:w="326" w:type="pct"/>
            <w:shd w:val="clear" w:color="auto" w:fill="auto"/>
            <w:noWrap/>
            <w:vAlign w:val="bottom"/>
            <w:hideMark/>
          </w:tcPr>
          <w:p w14:paraId="23A297B0"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109,7</w:t>
            </w:r>
          </w:p>
        </w:tc>
      </w:tr>
      <w:tr w:rsidR="00DF3B44" w:rsidRPr="00F4056D" w14:paraId="0D2E8127" w14:textId="77777777" w:rsidTr="00A930C7">
        <w:trPr>
          <w:trHeight w:val="240"/>
        </w:trPr>
        <w:tc>
          <w:tcPr>
            <w:tcW w:w="1970" w:type="pct"/>
            <w:shd w:val="clear" w:color="auto" w:fill="auto"/>
            <w:noWrap/>
            <w:vAlign w:val="bottom"/>
            <w:hideMark/>
          </w:tcPr>
          <w:p w14:paraId="747A70B3" w14:textId="77777777" w:rsidR="00DF3B44" w:rsidRPr="00F4056D" w:rsidRDefault="00DF3B44" w:rsidP="003451D7">
            <w:pPr>
              <w:pStyle w:val="Odsekzoznamu"/>
              <w:numPr>
                <w:ilvl w:val="0"/>
                <w:numId w:val="7"/>
              </w:numPr>
              <w:spacing w:after="0" w:line="240" w:lineRule="auto"/>
              <w:jc w:val="left"/>
              <w:rPr>
                <w:rFonts w:eastAsia="Times New Roman" w:cs="Segoe UI"/>
                <w:sz w:val="16"/>
                <w:szCs w:val="16"/>
                <w:lang w:eastAsia="sk-SK"/>
              </w:rPr>
            </w:pPr>
            <w:r w:rsidRPr="00F4056D">
              <w:rPr>
                <w:rFonts w:eastAsia="Times New Roman" w:cs="Segoe UI"/>
                <w:sz w:val="16"/>
                <w:szCs w:val="16"/>
                <w:lang w:eastAsia="sk-SK"/>
              </w:rPr>
              <w:t>Daň z pridanej hodnoty</w:t>
            </w:r>
          </w:p>
        </w:tc>
        <w:tc>
          <w:tcPr>
            <w:tcW w:w="532" w:type="pct"/>
            <w:shd w:val="clear" w:color="auto" w:fill="auto"/>
            <w:noWrap/>
            <w:vAlign w:val="bottom"/>
            <w:hideMark/>
          </w:tcPr>
          <w:p w14:paraId="18427C90"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7 760 691</w:t>
            </w:r>
          </w:p>
        </w:tc>
        <w:tc>
          <w:tcPr>
            <w:tcW w:w="563" w:type="pct"/>
            <w:gridSpan w:val="2"/>
            <w:shd w:val="clear" w:color="auto" w:fill="auto"/>
            <w:noWrap/>
            <w:vAlign w:val="center"/>
            <w:hideMark/>
          </w:tcPr>
          <w:p w14:paraId="49B16BC4" w14:textId="77777777" w:rsidR="00DF3B44" w:rsidRPr="00F4056D" w:rsidRDefault="00DF3B44" w:rsidP="00A930C7">
            <w:pPr>
              <w:spacing w:after="0" w:line="240" w:lineRule="auto"/>
              <w:jc w:val="right"/>
              <w:rPr>
                <w:rFonts w:eastAsia="Times New Roman" w:cs="Segoe UI"/>
                <w:sz w:val="16"/>
                <w:szCs w:val="16"/>
                <w:lang w:eastAsia="sk-SK"/>
              </w:rPr>
            </w:pPr>
            <w:r w:rsidRPr="00061861">
              <w:rPr>
                <w:rFonts w:eastAsia="Times New Roman" w:cs="Segoe UI"/>
                <w:bCs/>
                <w:iCs/>
                <w:color w:val="000000"/>
                <w:sz w:val="16"/>
                <w:szCs w:val="16"/>
                <w:lang w:eastAsia="sk-SK"/>
              </w:rPr>
              <w:t>8 129 729</w:t>
            </w:r>
          </w:p>
        </w:tc>
        <w:tc>
          <w:tcPr>
            <w:tcW w:w="532" w:type="pct"/>
            <w:gridSpan w:val="2"/>
            <w:shd w:val="clear" w:color="auto" w:fill="auto"/>
            <w:noWrap/>
            <w:vAlign w:val="bottom"/>
            <w:hideMark/>
          </w:tcPr>
          <w:p w14:paraId="368014AC"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8 796 579</w:t>
            </w:r>
          </w:p>
        </w:tc>
        <w:tc>
          <w:tcPr>
            <w:tcW w:w="532" w:type="pct"/>
            <w:gridSpan w:val="2"/>
            <w:shd w:val="clear" w:color="auto" w:fill="auto"/>
            <w:noWrap/>
            <w:vAlign w:val="bottom"/>
            <w:hideMark/>
          </w:tcPr>
          <w:p w14:paraId="6AA5D57C"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8 584 936</w:t>
            </w:r>
          </w:p>
        </w:tc>
        <w:tc>
          <w:tcPr>
            <w:tcW w:w="545" w:type="pct"/>
            <w:gridSpan w:val="2"/>
            <w:shd w:val="clear" w:color="auto" w:fill="auto"/>
            <w:noWrap/>
            <w:vAlign w:val="bottom"/>
            <w:hideMark/>
          </w:tcPr>
          <w:p w14:paraId="76FBEF6D"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-211 643</w:t>
            </w:r>
          </w:p>
        </w:tc>
        <w:tc>
          <w:tcPr>
            <w:tcW w:w="326" w:type="pct"/>
            <w:shd w:val="clear" w:color="auto" w:fill="auto"/>
            <w:noWrap/>
            <w:vAlign w:val="bottom"/>
            <w:hideMark/>
          </w:tcPr>
          <w:p w14:paraId="3A1D32B1"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110,6</w:t>
            </w:r>
          </w:p>
        </w:tc>
      </w:tr>
      <w:tr w:rsidR="00DF3B44" w:rsidRPr="00F4056D" w14:paraId="77229D86" w14:textId="77777777" w:rsidTr="00A930C7">
        <w:trPr>
          <w:trHeight w:val="240"/>
        </w:trPr>
        <w:tc>
          <w:tcPr>
            <w:tcW w:w="1970" w:type="pct"/>
            <w:shd w:val="clear" w:color="auto" w:fill="auto"/>
            <w:noWrap/>
            <w:vAlign w:val="bottom"/>
            <w:hideMark/>
          </w:tcPr>
          <w:p w14:paraId="4C1D6845" w14:textId="77777777" w:rsidR="00DF3B44" w:rsidRPr="00F4056D" w:rsidRDefault="00DF3B44" w:rsidP="003451D7">
            <w:pPr>
              <w:pStyle w:val="Odsekzoznamu"/>
              <w:numPr>
                <w:ilvl w:val="0"/>
                <w:numId w:val="7"/>
              </w:numPr>
              <w:spacing w:after="0" w:line="240" w:lineRule="auto"/>
              <w:jc w:val="left"/>
              <w:rPr>
                <w:rFonts w:eastAsia="Times New Roman" w:cs="Segoe UI"/>
                <w:sz w:val="16"/>
                <w:szCs w:val="16"/>
                <w:lang w:eastAsia="sk-SK"/>
              </w:rPr>
            </w:pPr>
            <w:r w:rsidRPr="00F4056D">
              <w:rPr>
                <w:rFonts w:eastAsia="Times New Roman" w:cs="Segoe UI"/>
                <w:sz w:val="16"/>
                <w:szCs w:val="16"/>
                <w:lang w:eastAsia="sk-SK"/>
              </w:rPr>
              <w:t>Spotrebné dane</w:t>
            </w:r>
          </w:p>
        </w:tc>
        <w:tc>
          <w:tcPr>
            <w:tcW w:w="532" w:type="pct"/>
            <w:shd w:val="clear" w:color="auto" w:fill="auto"/>
            <w:noWrap/>
            <w:vAlign w:val="bottom"/>
            <w:hideMark/>
          </w:tcPr>
          <w:p w14:paraId="1F35F443"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2 369 823</w:t>
            </w:r>
          </w:p>
        </w:tc>
        <w:tc>
          <w:tcPr>
            <w:tcW w:w="563" w:type="pct"/>
            <w:gridSpan w:val="2"/>
            <w:shd w:val="clear" w:color="auto" w:fill="auto"/>
            <w:noWrap/>
            <w:vAlign w:val="center"/>
            <w:hideMark/>
          </w:tcPr>
          <w:p w14:paraId="73E875F8" w14:textId="77777777" w:rsidR="00DF3B44" w:rsidRPr="00F4056D" w:rsidRDefault="00DF3B44" w:rsidP="00A930C7">
            <w:pPr>
              <w:spacing w:after="0" w:line="240" w:lineRule="auto"/>
              <w:jc w:val="right"/>
              <w:rPr>
                <w:rFonts w:eastAsia="Times New Roman" w:cs="Segoe UI"/>
                <w:sz w:val="16"/>
                <w:szCs w:val="16"/>
                <w:lang w:eastAsia="sk-SK"/>
              </w:rPr>
            </w:pPr>
            <w:r w:rsidRPr="00061861">
              <w:rPr>
                <w:rFonts w:eastAsia="Times New Roman" w:cs="Segoe UI"/>
                <w:bCs/>
                <w:iCs/>
                <w:color w:val="000000"/>
                <w:sz w:val="16"/>
                <w:szCs w:val="16"/>
                <w:lang w:eastAsia="sk-SK"/>
              </w:rPr>
              <w:t>2 480 984</w:t>
            </w:r>
          </w:p>
        </w:tc>
        <w:tc>
          <w:tcPr>
            <w:tcW w:w="532" w:type="pct"/>
            <w:gridSpan w:val="2"/>
            <w:shd w:val="clear" w:color="auto" w:fill="auto"/>
            <w:noWrap/>
            <w:vAlign w:val="bottom"/>
            <w:hideMark/>
          </w:tcPr>
          <w:p w14:paraId="38029DCF"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2 512 063</w:t>
            </w:r>
          </w:p>
        </w:tc>
        <w:tc>
          <w:tcPr>
            <w:tcW w:w="532" w:type="pct"/>
            <w:gridSpan w:val="2"/>
            <w:shd w:val="clear" w:color="auto" w:fill="auto"/>
            <w:noWrap/>
            <w:vAlign w:val="bottom"/>
            <w:hideMark/>
          </w:tcPr>
          <w:p w14:paraId="576CEBA2"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2 524 522</w:t>
            </w:r>
          </w:p>
        </w:tc>
        <w:tc>
          <w:tcPr>
            <w:tcW w:w="545" w:type="pct"/>
            <w:gridSpan w:val="2"/>
            <w:shd w:val="clear" w:color="auto" w:fill="auto"/>
            <w:noWrap/>
            <w:vAlign w:val="bottom"/>
            <w:hideMark/>
          </w:tcPr>
          <w:p w14:paraId="0898931A"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12 459</w:t>
            </w:r>
          </w:p>
        </w:tc>
        <w:tc>
          <w:tcPr>
            <w:tcW w:w="326" w:type="pct"/>
            <w:shd w:val="clear" w:color="auto" w:fill="auto"/>
            <w:noWrap/>
            <w:vAlign w:val="bottom"/>
            <w:hideMark/>
          </w:tcPr>
          <w:p w14:paraId="604FF97A" w14:textId="77777777" w:rsidR="00DF3B44" w:rsidRPr="00F4056D" w:rsidRDefault="00DF3B44" w:rsidP="00A930C7">
            <w:pPr>
              <w:spacing w:after="0" w:line="240" w:lineRule="auto"/>
              <w:jc w:val="right"/>
              <w:rPr>
                <w:rFonts w:eastAsia="Times New Roman" w:cs="Segoe UI"/>
                <w:sz w:val="16"/>
                <w:szCs w:val="16"/>
                <w:lang w:eastAsia="sk-SK"/>
              </w:rPr>
            </w:pPr>
            <w:r w:rsidRPr="00F4056D">
              <w:rPr>
                <w:rFonts w:eastAsia="Times New Roman" w:cs="Segoe UI"/>
                <w:sz w:val="16"/>
                <w:szCs w:val="16"/>
                <w:lang w:eastAsia="sk-SK"/>
              </w:rPr>
              <w:t>106,5</w:t>
            </w:r>
          </w:p>
        </w:tc>
      </w:tr>
      <w:tr w:rsidR="00DF3B44" w:rsidRPr="00F4056D" w14:paraId="20847A2F" w14:textId="77777777" w:rsidTr="00A930C7">
        <w:trPr>
          <w:trHeight w:val="240"/>
        </w:trPr>
        <w:tc>
          <w:tcPr>
            <w:tcW w:w="1970" w:type="pct"/>
            <w:shd w:val="clear" w:color="auto" w:fill="auto"/>
            <w:noWrap/>
            <w:vAlign w:val="bottom"/>
            <w:hideMark/>
          </w:tcPr>
          <w:p w14:paraId="06022694" w14:textId="77777777" w:rsidR="00DF3B44" w:rsidRPr="00F4056D" w:rsidRDefault="00DF3B44" w:rsidP="00A930C7">
            <w:pPr>
              <w:spacing w:after="0" w:line="240" w:lineRule="auto"/>
              <w:jc w:val="left"/>
              <w:rPr>
                <w:rFonts w:eastAsia="Times New Roman" w:cs="Segoe UI"/>
                <w:b/>
                <w:bCs/>
                <w:sz w:val="16"/>
                <w:szCs w:val="16"/>
                <w:lang w:eastAsia="sk-SK"/>
              </w:rPr>
            </w:pPr>
            <w:r w:rsidRPr="00F4056D">
              <w:rPr>
                <w:rFonts w:eastAsia="Times New Roman" w:cs="Segoe UI"/>
                <w:b/>
                <w:bCs/>
                <w:sz w:val="16"/>
                <w:szCs w:val="16"/>
                <w:lang w:eastAsia="sk-SK"/>
              </w:rPr>
              <w:t>Dane z medzinárodného obchodu a transakcií</w:t>
            </w:r>
          </w:p>
        </w:tc>
        <w:tc>
          <w:tcPr>
            <w:tcW w:w="532" w:type="pct"/>
            <w:shd w:val="clear" w:color="auto" w:fill="auto"/>
            <w:noWrap/>
            <w:vAlign w:val="bottom"/>
            <w:hideMark/>
          </w:tcPr>
          <w:p w14:paraId="1B8EA9D9"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28 735</w:t>
            </w:r>
          </w:p>
        </w:tc>
        <w:tc>
          <w:tcPr>
            <w:tcW w:w="563" w:type="pct"/>
            <w:gridSpan w:val="2"/>
            <w:shd w:val="clear" w:color="auto" w:fill="auto"/>
            <w:noWrap/>
            <w:vAlign w:val="center"/>
            <w:hideMark/>
          </w:tcPr>
          <w:p w14:paraId="4B16B882" w14:textId="77777777" w:rsidR="00DF3B44" w:rsidRPr="00F4056D" w:rsidRDefault="00DF3B44" w:rsidP="00A930C7">
            <w:pPr>
              <w:spacing w:after="0" w:line="240" w:lineRule="auto"/>
              <w:jc w:val="right"/>
              <w:rPr>
                <w:rFonts w:eastAsia="Times New Roman" w:cs="Segoe UI"/>
                <w:b/>
                <w:bCs/>
                <w:sz w:val="16"/>
                <w:szCs w:val="16"/>
                <w:lang w:eastAsia="sk-SK"/>
              </w:rPr>
            </w:pPr>
            <w:r w:rsidRPr="00061861">
              <w:rPr>
                <w:rFonts w:eastAsia="Times New Roman" w:cs="Segoe UI"/>
                <w:b/>
                <w:bCs/>
                <w:iCs/>
                <w:color w:val="000000"/>
                <w:sz w:val="16"/>
                <w:szCs w:val="16"/>
                <w:lang w:eastAsia="sk-SK"/>
              </w:rPr>
              <w:t>25 967</w:t>
            </w:r>
          </w:p>
        </w:tc>
        <w:tc>
          <w:tcPr>
            <w:tcW w:w="532" w:type="pct"/>
            <w:gridSpan w:val="2"/>
            <w:shd w:val="clear" w:color="auto" w:fill="auto"/>
            <w:noWrap/>
            <w:vAlign w:val="bottom"/>
            <w:hideMark/>
          </w:tcPr>
          <w:p w14:paraId="41B1226D"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37 098</w:t>
            </w:r>
          </w:p>
        </w:tc>
        <w:tc>
          <w:tcPr>
            <w:tcW w:w="532" w:type="pct"/>
            <w:gridSpan w:val="2"/>
            <w:shd w:val="clear" w:color="auto" w:fill="auto"/>
            <w:noWrap/>
            <w:vAlign w:val="bottom"/>
            <w:hideMark/>
          </w:tcPr>
          <w:p w14:paraId="43828936"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39 848</w:t>
            </w:r>
          </w:p>
        </w:tc>
        <w:tc>
          <w:tcPr>
            <w:tcW w:w="545" w:type="pct"/>
            <w:gridSpan w:val="2"/>
            <w:shd w:val="clear" w:color="auto" w:fill="auto"/>
            <w:noWrap/>
            <w:vAlign w:val="bottom"/>
            <w:hideMark/>
          </w:tcPr>
          <w:p w14:paraId="01D6BFC0"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2 750</w:t>
            </w:r>
          </w:p>
        </w:tc>
        <w:tc>
          <w:tcPr>
            <w:tcW w:w="326" w:type="pct"/>
            <w:shd w:val="clear" w:color="auto" w:fill="auto"/>
            <w:noWrap/>
            <w:vAlign w:val="bottom"/>
            <w:hideMark/>
          </w:tcPr>
          <w:p w14:paraId="2686E824"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138,7</w:t>
            </w:r>
          </w:p>
        </w:tc>
      </w:tr>
      <w:tr w:rsidR="00DF3B44" w:rsidRPr="00F4056D" w14:paraId="6608AC0D" w14:textId="77777777" w:rsidTr="00A930C7">
        <w:trPr>
          <w:trHeight w:val="495"/>
        </w:trPr>
        <w:tc>
          <w:tcPr>
            <w:tcW w:w="1970" w:type="pct"/>
            <w:shd w:val="clear" w:color="auto" w:fill="auto"/>
            <w:vAlign w:val="bottom"/>
            <w:hideMark/>
          </w:tcPr>
          <w:p w14:paraId="15502409" w14:textId="77777777" w:rsidR="00DF3B44" w:rsidRPr="00F4056D" w:rsidRDefault="00DF3B44" w:rsidP="00A930C7">
            <w:pPr>
              <w:spacing w:after="0" w:line="240" w:lineRule="auto"/>
              <w:jc w:val="left"/>
              <w:rPr>
                <w:rFonts w:eastAsia="Times New Roman" w:cs="Segoe UI"/>
                <w:b/>
                <w:bCs/>
                <w:sz w:val="16"/>
                <w:szCs w:val="16"/>
                <w:lang w:eastAsia="sk-SK"/>
              </w:rPr>
            </w:pPr>
            <w:r w:rsidRPr="00F4056D">
              <w:rPr>
                <w:rFonts w:eastAsia="Times New Roman" w:cs="Segoe UI"/>
                <w:b/>
                <w:bCs/>
                <w:sz w:val="16"/>
                <w:szCs w:val="16"/>
                <w:lang w:eastAsia="sk-SK"/>
              </w:rPr>
              <w:t xml:space="preserve">Sankcie uložené  v daň. konaní a sankcie súvisiace s úhrad. za služby </w:t>
            </w:r>
            <w:proofErr w:type="spellStart"/>
            <w:r w:rsidRPr="00F4056D">
              <w:rPr>
                <w:rFonts w:eastAsia="Times New Roman" w:cs="Segoe UI"/>
                <w:b/>
                <w:bCs/>
                <w:sz w:val="16"/>
                <w:szCs w:val="16"/>
                <w:lang w:eastAsia="sk-SK"/>
              </w:rPr>
              <w:t>verej</w:t>
            </w:r>
            <w:proofErr w:type="spellEnd"/>
            <w:r w:rsidRPr="00F4056D">
              <w:rPr>
                <w:rFonts w:eastAsia="Times New Roman" w:cs="Segoe UI"/>
                <w:b/>
                <w:bCs/>
                <w:sz w:val="16"/>
                <w:szCs w:val="16"/>
                <w:lang w:eastAsia="sk-SK"/>
              </w:rPr>
              <w:t xml:space="preserve">. </w:t>
            </w:r>
            <w:proofErr w:type="spellStart"/>
            <w:r w:rsidRPr="00F4056D">
              <w:rPr>
                <w:rFonts w:eastAsia="Times New Roman" w:cs="Segoe UI"/>
                <w:b/>
                <w:bCs/>
                <w:sz w:val="16"/>
                <w:szCs w:val="16"/>
                <w:lang w:eastAsia="sk-SK"/>
              </w:rPr>
              <w:t>poskytov</w:t>
            </w:r>
            <w:proofErr w:type="spellEnd"/>
            <w:r w:rsidRPr="00F4056D">
              <w:rPr>
                <w:rFonts w:eastAsia="Times New Roman" w:cs="Segoe UI"/>
                <w:b/>
                <w:bCs/>
                <w:sz w:val="16"/>
                <w:szCs w:val="16"/>
                <w:lang w:eastAsia="sk-SK"/>
              </w:rPr>
              <w:t>. Rozhlasom a televíziou Slovenska</w:t>
            </w:r>
          </w:p>
        </w:tc>
        <w:tc>
          <w:tcPr>
            <w:tcW w:w="532" w:type="pct"/>
            <w:shd w:val="clear" w:color="auto" w:fill="auto"/>
            <w:noWrap/>
            <w:vAlign w:val="bottom"/>
            <w:hideMark/>
          </w:tcPr>
          <w:p w14:paraId="3E832145"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22 947</w:t>
            </w:r>
          </w:p>
        </w:tc>
        <w:tc>
          <w:tcPr>
            <w:tcW w:w="563" w:type="pct"/>
            <w:gridSpan w:val="2"/>
            <w:shd w:val="clear" w:color="auto" w:fill="auto"/>
            <w:noWrap/>
            <w:vAlign w:val="bottom"/>
            <w:hideMark/>
          </w:tcPr>
          <w:p w14:paraId="47A03027" w14:textId="77777777" w:rsidR="00DF3B44" w:rsidRPr="00F4056D" w:rsidRDefault="00DF3B44" w:rsidP="00A930C7">
            <w:pPr>
              <w:spacing w:after="0" w:line="240" w:lineRule="auto"/>
              <w:jc w:val="right"/>
              <w:rPr>
                <w:rFonts w:eastAsia="Times New Roman" w:cs="Segoe UI"/>
                <w:b/>
                <w:bCs/>
                <w:sz w:val="16"/>
                <w:szCs w:val="16"/>
                <w:lang w:eastAsia="sk-SK"/>
              </w:rPr>
            </w:pPr>
            <w:r w:rsidRPr="00061861">
              <w:rPr>
                <w:rFonts w:eastAsia="Times New Roman" w:cs="Segoe UI"/>
                <w:b/>
                <w:bCs/>
                <w:iCs/>
                <w:color w:val="000000"/>
                <w:sz w:val="16"/>
                <w:szCs w:val="16"/>
                <w:lang w:eastAsia="sk-SK"/>
              </w:rPr>
              <w:t>14 041</w:t>
            </w:r>
          </w:p>
        </w:tc>
        <w:tc>
          <w:tcPr>
            <w:tcW w:w="532" w:type="pct"/>
            <w:gridSpan w:val="2"/>
            <w:shd w:val="clear" w:color="auto" w:fill="auto"/>
            <w:noWrap/>
            <w:vAlign w:val="bottom"/>
            <w:hideMark/>
          </w:tcPr>
          <w:p w14:paraId="67642B12"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20 975</w:t>
            </w:r>
          </w:p>
        </w:tc>
        <w:tc>
          <w:tcPr>
            <w:tcW w:w="532" w:type="pct"/>
            <w:gridSpan w:val="2"/>
            <w:shd w:val="clear" w:color="auto" w:fill="auto"/>
            <w:noWrap/>
            <w:vAlign w:val="bottom"/>
            <w:hideMark/>
          </w:tcPr>
          <w:p w14:paraId="08D548C1"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39 817</w:t>
            </w:r>
          </w:p>
        </w:tc>
        <w:tc>
          <w:tcPr>
            <w:tcW w:w="545" w:type="pct"/>
            <w:gridSpan w:val="2"/>
            <w:shd w:val="clear" w:color="auto" w:fill="auto"/>
            <w:noWrap/>
            <w:vAlign w:val="bottom"/>
            <w:hideMark/>
          </w:tcPr>
          <w:p w14:paraId="7954C736"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18 842</w:t>
            </w:r>
          </w:p>
        </w:tc>
        <w:tc>
          <w:tcPr>
            <w:tcW w:w="326" w:type="pct"/>
            <w:shd w:val="clear" w:color="auto" w:fill="auto"/>
            <w:noWrap/>
            <w:vAlign w:val="bottom"/>
            <w:hideMark/>
          </w:tcPr>
          <w:p w14:paraId="446B5E2D" w14:textId="77777777" w:rsidR="00DF3B44" w:rsidRPr="00F4056D" w:rsidRDefault="00DF3B44" w:rsidP="00A930C7">
            <w:pPr>
              <w:spacing w:after="0" w:line="240" w:lineRule="auto"/>
              <w:jc w:val="right"/>
              <w:rPr>
                <w:rFonts w:eastAsia="Times New Roman" w:cs="Segoe UI"/>
                <w:b/>
                <w:bCs/>
                <w:sz w:val="16"/>
                <w:szCs w:val="16"/>
                <w:lang w:eastAsia="sk-SK"/>
              </w:rPr>
            </w:pPr>
            <w:r w:rsidRPr="00F4056D">
              <w:rPr>
                <w:rFonts w:eastAsia="Times New Roman" w:cs="Segoe UI"/>
                <w:b/>
                <w:bCs/>
                <w:sz w:val="16"/>
                <w:szCs w:val="16"/>
                <w:lang w:eastAsia="sk-SK"/>
              </w:rPr>
              <w:t>173,5</w:t>
            </w:r>
          </w:p>
        </w:tc>
      </w:tr>
    </w:tbl>
    <w:p w14:paraId="75BD6867" w14:textId="28CB8A56" w:rsidR="00DF3B44" w:rsidRDefault="00DF3B44" w:rsidP="00DF3B44">
      <w:pPr>
        <w:pStyle w:val="Zdroj"/>
      </w:pPr>
      <w:r>
        <w:t>Zdroj: Návrh ŠZÚ za rok 2022.</w:t>
      </w:r>
      <w:r>
        <w:br/>
        <w:t>S – skutočnosť, R – rozpočet, NR – novelizovaný rozpočet, YoY – medziročná zmena</w:t>
      </w:r>
    </w:p>
    <w:p w14:paraId="2386CCBA" w14:textId="6F4BA0FF" w:rsidR="00846EB5" w:rsidRDefault="00846EB5">
      <w:pPr>
        <w:spacing w:after="160" w:line="259" w:lineRule="auto"/>
        <w:jc w:val="left"/>
        <w:rPr>
          <w:i/>
          <w:color w:val="314364" w:themeColor="text2"/>
          <w:sz w:val="16"/>
        </w:rPr>
      </w:pPr>
      <w:r>
        <w:br w:type="page"/>
      </w:r>
    </w:p>
    <w:p w14:paraId="76A45486" w14:textId="77777777" w:rsidR="00C8044F" w:rsidRDefault="00C8044F" w:rsidP="00C8044F">
      <w:pPr>
        <w:pStyle w:val="Popis"/>
        <w:keepNext/>
        <w:spacing w:after="120"/>
      </w:pPr>
      <w:r w:rsidRPr="00EA4CBA">
        <w:lastRenderedPageBreak/>
        <w:t>Tabuľka 5:</w:t>
      </w:r>
      <w:r>
        <w:t xml:space="preserve"> Príjmy podľa kapitol ŠR na hotovostnej báze za rok 2022</w:t>
      </w:r>
      <w:r w:rsidRPr="00A8009D">
        <w:t xml:space="preserve"> </w:t>
      </w:r>
      <w:r>
        <w:t>(</w:t>
      </w:r>
      <w:r w:rsidRPr="00A8009D">
        <w:t>v tis. eur</w:t>
      </w:r>
      <w:r>
        <w:t>)</w:t>
      </w:r>
    </w:p>
    <w:tbl>
      <w:tblPr>
        <w:tblW w:w="5078" w:type="pct"/>
        <w:tblLayout w:type="fixed"/>
        <w:tblCellMar>
          <w:left w:w="70" w:type="dxa"/>
          <w:right w:w="70" w:type="dxa"/>
        </w:tblCellMar>
        <w:tblLook w:val="04A0" w:firstRow="1" w:lastRow="0" w:firstColumn="1" w:lastColumn="0" w:noHBand="0" w:noVBand="1"/>
      </w:tblPr>
      <w:tblGrid>
        <w:gridCol w:w="3684"/>
        <w:gridCol w:w="1278"/>
        <w:gridCol w:w="1135"/>
        <w:gridCol w:w="1135"/>
        <w:gridCol w:w="1277"/>
        <w:gridCol w:w="702"/>
      </w:tblGrid>
      <w:tr w:rsidR="00C8044F" w:rsidRPr="00C8044F" w14:paraId="17AA5490" w14:textId="77777777" w:rsidTr="00824014">
        <w:trPr>
          <w:trHeight w:val="255"/>
        </w:trPr>
        <w:tc>
          <w:tcPr>
            <w:tcW w:w="2000" w:type="pct"/>
            <w:shd w:val="clear" w:color="auto" w:fill="314364"/>
            <w:noWrap/>
            <w:vAlign w:val="center"/>
          </w:tcPr>
          <w:p w14:paraId="194B9537" w14:textId="77777777" w:rsidR="00C8044F" w:rsidRPr="00C8044F" w:rsidRDefault="00C8044F" w:rsidP="00824014">
            <w:pPr>
              <w:spacing w:after="0" w:line="240" w:lineRule="auto"/>
              <w:jc w:val="left"/>
              <w:rPr>
                <w:rFonts w:eastAsia="Calibri" w:cs="Segoe UI"/>
                <w:b/>
                <w:sz w:val="18"/>
                <w:szCs w:val="18"/>
              </w:rPr>
            </w:pPr>
            <w:r w:rsidRPr="00C8044F">
              <w:rPr>
                <w:rFonts w:eastAsia="Times New Roman" w:cs="Segoe UI"/>
                <w:b/>
                <w:color w:val="FFFFFF"/>
                <w:sz w:val="18"/>
                <w:szCs w:val="18"/>
                <w:lang w:eastAsia="sk-SK"/>
              </w:rPr>
              <w:t xml:space="preserve">Príjmy kapitol ŠR </w:t>
            </w:r>
          </w:p>
        </w:tc>
        <w:tc>
          <w:tcPr>
            <w:tcW w:w="694" w:type="pct"/>
            <w:shd w:val="clear" w:color="auto" w:fill="314364"/>
            <w:noWrap/>
            <w:vAlign w:val="center"/>
          </w:tcPr>
          <w:p w14:paraId="03A80E44" w14:textId="77777777" w:rsidR="00C8044F" w:rsidRPr="00C8044F" w:rsidRDefault="00C8044F" w:rsidP="00824014">
            <w:pPr>
              <w:spacing w:after="0" w:line="240" w:lineRule="auto"/>
              <w:jc w:val="right"/>
              <w:rPr>
                <w:rFonts w:eastAsia="Calibri" w:cs="Segoe UI"/>
                <w:b/>
                <w:color w:val="FFFFFF"/>
                <w:sz w:val="18"/>
                <w:szCs w:val="18"/>
              </w:rPr>
            </w:pPr>
            <w:r w:rsidRPr="00C8044F">
              <w:rPr>
                <w:rFonts w:eastAsia="Calibri" w:cs="Segoe UI"/>
                <w:b/>
                <w:color w:val="FFFFFF"/>
                <w:sz w:val="18"/>
                <w:szCs w:val="18"/>
              </w:rPr>
              <w:t>2022 R</w:t>
            </w:r>
          </w:p>
        </w:tc>
        <w:tc>
          <w:tcPr>
            <w:tcW w:w="616" w:type="pct"/>
            <w:shd w:val="clear" w:color="auto" w:fill="314364"/>
            <w:vAlign w:val="center"/>
          </w:tcPr>
          <w:p w14:paraId="6137EB6B" w14:textId="77777777" w:rsidR="00C8044F" w:rsidRPr="00C8044F" w:rsidRDefault="00C8044F" w:rsidP="00824014">
            <w:pPr>
              <w:spacing w:after="0" w:line="240" w:lineRule="auto"/>
              <w:jc w:val="right"/>
              <w:rPr>
                <w:rFonts w:eastAsia="Calibri" w:cs="Segoe UI"/>
                <w:b/>
                <w:sz w:val="18"/>
                <w:szCs w:val="18"/>
              </w:rPr>
            </w:pPr>
            <w:r w:rsidRPr="00C8044F">
              <w:rPr>
                <w:rFonts w:eastAsia="Calibri" w:cs="Segoe UI"/>
                <w:b/>
                <w:color w:val="FFFFFF"/>
                <w:sz w:val="18"/>
                <w:szCs w:val="18"/>
              </w:rPr>
              <w:t>2022 NR</w:t>
            </w:r>
          </w:p>
        </w:tc>
        <w:tc>
          <w:tcPr>
            <w:tcW w:w="616" w:type="pct"/>
            <w:shd w:val="clear" w:color="auto" w:fill="314364"/>
            <w:noWrap/>
            <w:vAlign w:val="center"/>
          </w:tcPr>
          <w:p w14:paraId="394F41DC" w14:textId="77777777" w:rsidR="00C8044F" w:rsidRPr="00C8044F" w:rsidRDefault="00C8044F" w:rsidP="00824014">
            <w:pPr>
              <w:spacing w:after="0" w:line="240" w:lineRule="auto"/>
              <w:jc w:val="right"/>
              <w:rPr>
                <w:rFonts w:eastAsia="Calibri" w:cs="Segoe UI"/>
                <w:b/>
                <w:sz w:val="18"/>
                <w:szCs w:val="18"/>
              </w:rPr>
            </w:pPr>
            <w:r w:rsidRPr="00C8044F">
              <w:rPr>
                <w:rFonts w:eastAsia="Calibri" w:cs="Segoe UI"/>
                <w:b/>
                <w:color w:val="FFFFFF"/>
                <w:sz w:val="18"/>
                <w:szCs w:val="18"/>
              </w:rPr>
              <w:t>2022 S</w:t>
            </w:r>
          </w:p>
        </w:tc>
        <w:tc>
          <w:tcPr>
            <w:tcW w:w="693" w:type="pct"/>
            <w:shd w:val="clear" w:color="auto" w:fill="314364"/>
            <w:noWrap/>
            <w:vAlign w:val="center"/>
          </w:tcPr>
          <w:p w14:paraId="309E7488" w14:textId="77777777" w:rsidR="00C8044F" w:rsidRPr="00C8044F" w:rsidRDefault="00C8044F" w:rsidP="00824014">
            <w:pPr>
              <w:spacing w:after="0" w:line="240" w:lineRule="auto"/>
              <w:jc w:val="right"/>
              <w:rPr>
                <w:rFonts w:eastAsia="Calibri" w:cs="Segoe UI"/>
                <w:b/>
                <w:sz w:val="18"/>
                <w:szCs w:val="18"/>
              </w:rPr>
            </w:pPr>
            <w:r w:rsidRPr="00C8044F">
              <w:rPr>
                <w:rFonts w:eastAsia="Calibri" w:cs="Segoe UI"/>
                <w:b/>
                <w:color w:val="FFFFFF"/>
                <w:sz w:val="18"/>
                <w:szCs w:val="18"/>
              </w:rPr>
              <w:t>22S - 22NR</w:t>
            </w:r>
          </w:p>
        </w:tc>
        <w:tc>
          <w:tcPr>
            <w:tcW w:w="381" w:type="pct"/>
            <w:shd w:val="clear" w:color="auto" w:fill="314364"/>
            <w:noWrap/>
            <w:vAlign w:val="center"/>
          </w:tcPr>
          <w:p w14:paraId="49E9568E" w14:textId="77777777" w:rsidR="00C8044F" w:rsidRPr="00C8044F" w:rsidRDefault="00C8044F" w:rsidP="00824014">
            <w:pPr>
              <w:spacing w:after="0" w:line="240" w:lineRule="auto"/>
              <w:jc w:val="right"/>
              <w:rPr>
                <w:rFonts w:eastAsia="Calibri" w:cs="Segoe UI"/>
                <w:b/>
                <w:color w:val="FFFFFF"/>
                <w:sz w:val="18"/>
                <w:szCs w:val="18"/>
              </w:rPr>
            </w:pPr>
            <w:r w:rsidRPr="00C8044F">
              <w:rPr>
                <w:rFonts w:eastAsia="Calibri" w:cs="Segoe UI"/>
                <w:b/>
                <w:color w:val="FFFFFF"/>
                <w:sz w:val="18"/>
                <w:szCs w:val="18"/>
              </w:rPr>
              <w:t>22S/</w:t>
            </w:r>
            <w:r w:rsidRPr="00C8044F">
              <w:rPr>
                <w:rFonts w:eastAsia="Calibri" w:cs="Segoe UI"/>
                <w:b/>
                <w:color w:val="FFFFFF"/>
                <w:sz w:val="18"/>
                <w:szCs w:val="18"/>
              </w:rPr>
              <w:br/>
              <w:t>22NR</w:t>
            </w:r>
          </w:p>
        </w:tc>
      </w:tr>
      <w:tr w:rsidR="00C8044F" w:rsidRPr="00C8044F" w14:paraId="05FBB280" w14:textId="77777777" w:rsidTr="00824014">
        <w:trPr>
          <w:trHeight w:val="255"/>
        </w:trPr>
        <w:tc>
          <w:tcPr>
            <w:tcW w:w="2000" w:type="pct"/>
            <w:shd w:val="clear" w:color="auto" w:fill="auto"/>
            <w:noWrap/>
            <w:vAlign w:val="center"/>
            <w:hideMark/>
          </w:tcPr>
          <w:p w14:paraId="7C7ADD05" w14:textId="77777777" w:rsidR="00C8044F" w:rsidRPr="00C8044F" w:rsidRDefault="00C8044F" w:rsidP="00824014">
            <w:pPr>
              <w:spacing w:after="0" w:line="240" w:lineRule="auto"/>
              <w:jc w:val="left"/>
              <w:rPr>
                <w:rFonts w:eastAsia="Calibri" w:cs="Segoe UI"/>
                <w:b/>
                <w:sz w:val="18"/>
                <w:szCs w:val="18"/>
              </w:rPr>
            </w:pPr>
            <w:r w:rsidRPr="00C8044F">
              <w:rPr>
                <w:rFonts w:eastAsia="Calibri" w:cs="Segoe UI"/>
                <w:b/>
                <w:sz w:val="18"/>
                <w:szCs w:val="18"/>
              </w:rPr>
              <w:t xml:space="preserve">Kapitoly ŠR spolu </w:t>
            </w:r>
          </w:p>
        </w:tc>
        <w:tc>
          <w:tcPr>
            <w:tcW w:w="694" w:type="pct"/>
            <w:tcBorders>
              <w:top w:val="nil"/>
              <w:left w:val="nil"/>
              <w:bottom w:val="nil"/>
              <w:right w:val="nil"/>
            </w:tcBorders>
            <w:shd w:val="clear" w:color="auto" w:fill="auto"/>
            <w:noWrap/>
            <w:vAlign w:val="center"/>
            <w:hideMark/>
          </w:tcPr>
          <w:p w14:paraId="107DF850" w14:textId="77777777" w:rsidR="00C8044F" w:rsidRPr="00C8044F" w:rsidRDefault="00C8044F" w:rsidP="00824014">
            <w:pPr>
              <w:spacing w:after="0" w:line="240" w:lineRule="auto"/>
              <w:jc w:val="right"/>
              <w:rPr>
                <w:rFonts w:eastAsia="Calibri" w:cs="Segoe UI"/>
                <w:b/>
                <w:sz w:val="18"/>
                <w:szCs w:val="18"/>
              </w:rPr>
            </w:pPr>
            <w:r w:rsidRPr="00C8044F">
              <w:rPr>
                <w:rFonts w:eastAsia="Calibri" w:cs="Segoe UI"/>
                <w:b/>
                <w:bCs/>
                <w:sz w:val="18"/>
                <w:szCs w:val="18"/>
              </w:rPr>
              <w:t>19 974 242</w:t>
            </w:r>
          </w:p>
        </w:tc>
        <w:tc>
          <w:tcPr>
            <w:tcW w:w="616" w:type="pct"/>
            <w:tcBorders>
              <w:top w:val="nil"/>
              <w:left w:val="nil"/>
              <w:bottom w:val="nil"/>
              <w:right w:val="nil"/>
            </w:tcBorders>
            <w:shd w:val="clear" w:color="auto" w:fill="auto"/>
            <w:noWrap/>
            <w:vAlign w:val="center"/>
            <w:hideMark/>
          </w:tcPr>
          <w:p w14:paraId="4BABD354" w14:textId="77777777" w:rsidR="00C8044F" w:rsidRPr="00C8044F" w:rsidRDefault="00C8044F" w:rsidP="00824014">
            <w:pPr>
              <w:spacing w:after="0" w:line="240" w:lineRule="auto"/>
              <w:jc w:val="right"/>
              <w:rPr>
                <w:rFonts w:eastAsia="Calibri" w:cs="Segoe UI"/>
                <w:b/>
                <w:sz w:val="18"/>
                <w:szCs w:val="18"/>
              </w:rPr>
            </w:pPr>
            <w:r w:rsidRPr="00C8044F">
              <w:rPr>
                <w:rFonts w:eastAsia="Calibri" w:cs="Segoe UI"/>
                <w:b/>
                <w:bCs/>
                <w:sz w:val="18"/>
                <w:szCs w:val="18"/>
              </w:rPr>
              <w:t>21 471 900</w:t>
            </w:r>
          </w:p>
        </w:tc>
        <w:tc>
          <w:tcPr>
            <w:tcW w:w="616" w:type="pct"/>
            <w:tcBorders>
              <w:top w:val="nil"/>
              <w:left w:val="nil"/>
              <w:bottom w:val="nil"/>
              <w:right w:val="nil"/>
            </w:tcBorders>
            <w:shd w:val="clear" w:color="auto" w:fill="auto"/>
            <w:noWrap/>
            <w:vAlign w:val="center"/>
            <w:hideMark/>
          </w:tcPr>
          <w:p w14:paraId="19D7152F" w14:textId="77777777" w:rsidR="00C8044F" w:rsidRPr="00C8044F" w:rsidRDefault="00C8044F" w:rsidP="00824014">
            <w:pPr>
              <w:spacing w:after="0" w:line="240" w:lineRule="auto"/>
              <w:jc w:val="right"/>
              <w:rPr>
                <w:rFonts w:eastAsia="Calibri" w:cs="Segoe UI"/>
                <w:b/>
                <w:sz w:val="18"/>
                <w:szCs w:val="18"/>
              </w:rPr>
            </w:pPr>
            <w:r w:rsidRPr="00C8044F">
              <w:rPr>
                <w:rFonts w:eastAsia="Calibri" w:cs="Segoe UI"/>
                <w:b/>
                <w:bCs/>
                <w:sz w:val="18"/>
                <w:szCs w:val="18"/>
              </w:rPr>
              <w:t>19 029 702</w:t>
            </w:r>
          </w:p>
        </w:tc>
        <w:tc>
          <w:tcPr>
            <w:tcW w:w="693" w:type="pct"/>
            <w:tcBorders>
              <w:top w:val="nil"/>
              <w:left w:val="nil"/>
              <w:bottom w:val="nil"/>
              <w:right w:val="nil"/>
            </w:tcBorders>
            <w:shd w:val="clear" w:color="auto" w:fill="auto"/>
            <w:noWrap/>
            <w:vAlign w:val="center"/>
            <w:hideMark/>
          </w:tcPr>
          <w:p w14:paraId="6B54737B" w14:textId="77777777" w:rsidR="00C8044F" w:rsidRPr="00C8044F" w:rsidRDefault="00C8044F" w:rsidP="00824014">
            <w:pPr>
              <w:spacing w:after="0" w:line="240" w:lineRule="auto"/>
              <w:jc w:val="right"/>
              <w:rPr>
                <w:rFonts w:eastAsia="Calibri" w:cs="Segoe UI"/>
                <w:b/>
                <w:sz w:val="18"/>
                <w:szCs w:val="18"/>
              </w:rPr>
            </w:pPr>
            <w:r w:rsidRPr="00C8044F">
              <w:rPr>
                <w:rFonts w:cs="Segoe UI"/>
                <w:b/>
                <w:bCs/>
                <w:sz w:val="18"/>
                <w:szCs w:val="18"/>
              </w:rPr>
              <w:t>-2 442 198</w:t>
            </w:r>
          </w:p>
        </w:tc>
        <w:tc>
          <w:tcPr>
            <w:tcW w:w="381" w:type="pct"/>
            <w:tcBorders>
              <w:top w:val="nil"/>
              <w:left w:val="nil"/>
              <w:bottom w:val="nil"/>
              <w:right w:val="nil"/>
            </w:tcBorders>
            <w:shd w:val="clear" w:color="auto" w:fill="auto"/>
            <w:noWrap/>
            <w:vAlign w:val="center"/>
            <w:hideMark/>
          </w:tcPr>
          <w:p w14:paraId="21DF137F" w14:textId="77777777" w:rsidR="00C8044F" w:rsidRPr="00C8044F" w:rsidRDefault="00C8044F" w:rsidP="00824014">
            <w:pPr>
              <w:spacing w:after="0" w:line="240" w:lineRule="auto"/>
              <w:jc w:val="right"/>
              <w:rPr>
                <w:rFonts w:eastAsia="Calibri" w:cs="Segoe UI"/>
                <w:b/>
                <w:sz w:val="18"/>
                <w:szCs w:val="18"/>
              </w:rPr>
            </w:pPr>
            <w:r w:rsidRPr="00C8044F">
              <w:rPr>
                <w:rFonts w:eastAsia="Calibri" w:cs="Segoe UI"/>
                <w:b/>
                <w:bCs/>
                <w:sz w:val="18"/>
                <w:szCs w:val="18"/>
              </w:rPr>
              <w:t>88,63</w:t>
            </w:r>
          </w:p>
        </w:tc>
      </w:tr>
      <w:tr w:rsidR="00C8044F" w:rsidRPr="00C8044F" w14:paraId="1B3E2AFC" w14:textId="77777777" w:rsidTr="00824014">
        <w:trPr>
          <w:trHeight w:val="255"/>
        </w:trPr>
        <w:tc>
          <w:tcPr>
            <w:tcW w:w="2000" w:type="pct"/>
            <w:shd w:val="clear" w:color="auto" w:fill="auto"/>
            <w:noWrap/>
            <w:vAlign w:val="center"/>
            <w:hideMark/>
          </w:tcPr>
          <w:p w14:paraId="23FB974B"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Kancelária Národnej rady SR    </w:t>
            </w:r>
          </w:p>
        </w:tc>
        <w:tc>
          <w:tcPr>
            <w:tcW w:w="694" w:type="pct"/>
            <w:tcBorders>
              <w:top w:val="nil"/>
              <w:left w:val="nil"/>
              <w:bottom w:val="nil"/>
              <w:right w:val="nil"/>
            </w:tcBorders>
            <w:shd w:val="clear" w:color="auto" w:fill="auto"/>
            <w:noWrap/>
            <w:vAlign w:val="center"/>
            <w:hideMark/>
          </w:tcPr>
          <w:p w14:paraId="05E7D3F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1 400</w:t>
            </w:r>
          </w:p>
        </w:tc>
        <w:tc>
          <w:tcPr>
            <w:tcW w:w="616" w:type="pct"/>
            <w:tcBorders>
              <w:top w:val="nil"/>
              <w:left w:val="nil"/>
              <w:bottom w:val="nil"/>
              <w:right w:val="nil"/>
            </w:tcBorders>
            <w:shd w:val="clear" w:color="auto" w:fill="auto"/>
            <w:noWrap/>
            <w:vAlign w:val="center"/>
            <w:hideMark/>
          </w:tcPr>
          <w:p w14:paraId="29BB7BA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1 400</w:t>
            </w:r>
          </w:p>
        </w:tc>
        <w:tc>
          <w:tcPr>
            <w:tcW w:w="616" w:type="pct"/>
            <w:tcBorders>
              <w:top w:val="nil"/>
              <w:left w:val="nil"/>
              <w:bottom w:val="nil"/>
              <w:right w:val="nil"/>
            </w:tcBorders>
            <w:shd w:val="clear" w:color="auto" w:fill="auto"/>
            <w:noWrap/>
            <w:vAlign w:val="center"/>
            <w:hideMark/>
          </w:tcPr>
          <w:p w14:paraId="1883961A"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1 920</w:t>
            </w:r>
          </w:p>
        </w:tc>
        <w:tc>
          <w:tcPr>
            <w:tcW w:w="693" w:type="pct"/>
            <w:tcBorders>
              <w:top w:val="nil"/>
              <w:left w:val="nil"/>
              <w:bottom w:val="nil"/>
              <w:right w:val="nil"/>
            </w:tcBorders>
            <w:shd w:val="clear" w:color="auto" w:fill="auto"/>
            <w:noWrap/>
            <w:vAlign w:val="center"/>
            <w:hideMark/>
          </w:tcPr>
          <w:p w14:paraId="0B223485"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520</w:t>
            </w:r>
          </w:p>
        </w:tc>
        <w:tc>
          <w:tcPr>
            <w:tcW w:w="381" w:type="pct"/>
            <w:tcBorders>
              <w:top w:val="nil"/>
              <w:left w:val="nil"/>
              <w:bottom w:val="nil"/>
              <w:right w:val="nil"/>
            </w:tcBorders>
            <w:shd w:val="clear" w:color="auto" w:fill="auto"/>
            <w:noWrap/>
            <w:vAlign w:val="center"/>
            <w:hideMark/>
          </w:tcPr>
          <w:p w14:paraId="3A459A5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137,1</w:t>
            </w:r>
          </w:p>
        </w:tc>
      </w:tr>
      <w:tr w:rsidR="00C8044F" w:rsidRPr="00C8044F" w14:paraId="68A825B2" w14:textId="77777777" w:rsidTr="00824014">
        <w:trPr>
          <w:trHeight w:val="255"/>
        </w:trPr>
        <w:tc>
          <w:tcPr>
            <w:tcW w:w="2000" w:type="pct"/>
            <w:shd w:val="clear" w:color="auto" w:fill="auto"/>
            <w:noWrap/>
            <w:vAlign w:val="center"/>
            <w:hideMark/>
          </w:tcPr>
          <w:p w14:paraId="3B03CE4E"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Kancelária prezidenta SR          </w:t>
            </w:r>
          </w:p>
        </w:tc>
        <w:tc>
          <w:tcPr>
            <w:tcW w:w="694" w:type="pct"/>
            <w:tcBorders>
              <w:top w:val="nil"/>
              <w:left w:val="nil"/>
              <w:bottom w:val="nil"/>
              <w:right w:val="nil"/>
            </w:tcBorders>
            <w:shd w:val="clear" w:color="auto" w:fill="auto"/>
            <w:noWrap/>
            <w:vAlign w:val="center"/>
            <w:hideMark/>
          </w:tcPr>
          <w:p w14:paraId="1C0E482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15</w:t>
            </w:r>
          </w:p>
        </w:tc>
        <w:tc>
          <w:tcPr>
            <w:tcW w:w="616" w:type="pct"/>
            <w:tcBorders>
              <w:top w:val="nil"/>
              <w:left w:val="nil"/>
              <w:bottom w:val="nil"/>
              <w:right w:val="nil"/>
            </w:tcBorders>
            <w:shd w:val="clear" w:color="auto" w:fill="auto"/>
            <w:noWrap/>
            <w:vAlign w:val="center"/>
            <w:hideMark/>
          </w:tcPr>
          <w:p w14:paraId="6AF1B98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15</w:t>
            </w:r>
          </w:p>
        </w:tc>
        <w:tc>
          <w:tcPr>
            <w:tcW w:w="616" w:type="pct"/>
            <w:tcBorders>
              <w:top w:val="nil"/>
              <w:left w:val="nil"/>
              <w:bottom w:val="nil"/>
              <w:right w:val="nil"/>
            </w:tcBorders>
            <w:shd w:val="clear" w:color="auto" w:fill="auto"/>
            <w:noWrap/>
            <w:vAlign w:val="center"/>
            <w:hideMark/>
          </w:tcPr>
          <w:p w14:paraId="5667824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17</w:t>
            </w:r>
          </w:p>
        </w:tc>
        <w:tc>
          <w:tcPr>
            <w:tcW w:w="693" w:type="pct"/>
            <w:tcBorders>
              <w:top w:val="nil"/>
              <w:left w:val="nil"/>
              <w:bottom w:val="nil"/>
              <w:right w:val="nil"/>
            </w:tcBorders>
            <w:shd w:val="clear" w:color="auto" w:fill="auto"/>
            <w:noWrap/>
            <w:vAlign w:val="center"/>
            <w:hideMark/>
          </w:tcPr>
          <w:p w14:paraId="5BFEB36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w:t>
            </w:r>
          </w:p>
        </w:tc>
        <w:tc>
          <w:tcPr>
            <w:tcW w:w="381" w:type="pct"/>
            <w:tcBorders>
              <w:top w:val="nil"/>
              <w:left w:val="nil"/>
              <w:bottom w:val="nil"/>
              <w:right w:val="nil"/>
            </w:tcBorders>
            <w:shd w:val="clear" w:color="auto" w:fill="auto"/>
            <w:noWrap/>
            <w:vAlign w:val="center"/>
            <w:hideMark/>
          </w:tcPr>
          <w:p w14:paraId="5534E0F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113,3</w:t>
            </w:r>
          </w:p>
        </w:tc>
      </w:tr>
      <w:tr w:rsidR="00C8044F" w:rsidRPr="00C8044F" w14:paraId="125AEC29" w14:textId="77777777" w:rsidTr="00824014">
        <w:trPr>
          <w:trHeight w:val="255"/>
        </w:trPr>
        <w:tc>
          <w:tcPr>
            <w:tcW w:w="2000" w:type="pct"/>
            <w:shd w:val="clear" w:color="auto" w:fill="auto"/>
            <w:noWrap/>
            <w:vAlign w:val="center"/>
            <w:hideMark/>
          </w:tcPr>
          <w:p w14:paraId="15BB0B10"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Úrad vlády SR                  </w:t>
            </w:r>
          </w:p>
        </w:tc>
        <w:tc>
          <w:tcPr>
            <w:tcW w:w="694" w:type="pct"/>
            <w:tcBorders>
              <w:top w:val="nil"/>
              <w:left w:val="nil"/>
              <w:bottom w:val="nil"/>
              <w:right w:val="nil"/>
            </w:tcBorders>
            <w:shd w:val="clear" w:color="auto" w:fill="auto"/>
            <w:noWrap/>
            <w:vAlign w:val="center"/>
            <w:hideMark/>
          </w:tcPr>
          <w:p w14:paraId="43A41FC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700</w:t>
            </w:r>
          </w:p>
        </w:tc>
        <w:tc>
          <w:tcPr>
            <w:tcW w:w="616" w:type="pct"/>
            <w:tcBorders>
              <w:top w:val="nil"/>
              <w:left w:val="nil"/>
              <w:bottom w:val="nil"/>
              <w:right w:val="nil"/>
            </w:tcBorders>
            <w:shd w:val="clear" w:color="auto" w:fill="auto"/>
            <w:noWrap/>
            <w:vAlign w:val="center"/>
            <w:hideMark/>
          </w:tcPr>
          <w:p w14:paraId="0A6413A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700</w:t>
            </w:r>
          </w:p>
        </w:tc>
        <w:tc>
          <w:tcPr>
            <w:tcW w:w="616" w:type="pct"/>
            <w:tcBorders>
              <w:top w:val="nil"/>
              <w:left w:val="nil"/>
              <w:bottom w:val="nil"/>
              <w:right w:val="nil"/>
            </w:tcBorders>
            <w:shd w:val="clear" w:color="auto" w:fill="auto"/>
            <w:noWrap/>
            <w:vAlign w:val="center"/>
            <w:hideMark/>
          </w:tcPr>
          <w:p w14:paraId="3C519E0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654</w:t>
            </w:r>
          </w:p>
        </w:tc>
        <w:tc>
          <w:tcPr>
            <w:tcW w:w="693" w:type="pct"/>
            <w:tcBorders>
              <w:top w:val="nil"/>
              <w:left w:val="nil"/>
              <w:bottom w:val="nil"/>
              <w:right w:val="nil"/>
            </w:tcBorders>
            <w:shd w:val="clear" w:color="auto" w:fill="auto"/>
            <w:noWrap/>
            <w:vAlign w:val="center"/>
            <w:hideMark/>
          </w:tcPr>
          <w:p w14:paraId="2228D95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-46</w:t>
            </w:r>
          </w:p>
        </w:tc>
        <w:tc>
          <w:tcPr>
            <w:tcW w:w="381" w:type="pct"/>
            <w:tcBorders>
              <w:top w:val="nil"/>
              <w:left w:val="nil"/>
              <w:bottom w:val="nil"/>
              <w:right w:val="nil"/>
            </w:tcBorders>
            <w:shd w:val="clear" w:color="auto" w:fill="auto"/>
            <w:noWrap/>
            <w:vAlign w:val="center"/>
            <w:hideMark/>
          </w:tcPr>
          <w:p w14:paraId="14260A0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93,4</w:t>
            </w:r>
          </w:p>
        </w:tc>
      </w:tr>
      <w:tr w:rsidR="00C8044F" w:rsidRPr="00C8044F" w14:paraId="26DD3AC7" w14:textId="77777777" w:rsidTr="00824014">
        <w:trPr>
          <w:trHeight w:val="255"/>
        </w:trPr>
        <w:tc>
          <w:tcPr>
            <w:tcW w:w="2000" w:type="pct"/>
            <w:shd w:val="clear" w:color="auto" w:fill="auto"/>
            <w:noWrap/>
            <w:vAlign w:val="center"/>
            <w:hideMark/>
          </w:tcPr>
          <w:p w14:paraId="452296EB"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Ministerstvo investícií, regionálneho rozvoja a informatizácie SR</w:t>
            </w:r>
          </w:p>
        </w:tc>
        <w:tc>
          <w:tcPr>
            <w:tcW w:w="694" w:type="pct"/>
            <w:tcBorders>
              <w:top w:val="nil"/>
              <w:left w:val="nil"/>
              <w:bottom w:val="nil"/>
              <w:right w:val="nil"/>
            </w:tcBorders>
            <w:shd w:val="clear" w:color="auto" w:fill="auto"/>
            <w:noWrap/>
            <w:vAlign w:val="center"/>
            <w:hideMark/>
          </w:tcPr>
          <w:p w14:paraId="5B048DC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513 681</w:t>
            </w:r>
          </w:p>
        </w:tc>
        <w:tc>
          <w:tcPr>
            <w:tcW w:w="616" w:type="pct"/>
            <w:tcBorders>
              <w:top w:val="nil"/>
              <w:left w:val="nil"/>
              <w:bottom w:val="nil"/>
              <w:right w:val="nil"/>
            </w:tcBorders>
            <w:shd w:val="clear" w:color="auto" w:fill="auto"/>
            <w:noWrap/>
            <w:vAlign w:val="center"/>
            <w:hideMark/>
          </w:tcPr>
          <w:p w14:paraId="58C03EB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513 681</w:t>
            </w:r>
          </w:p>
        </w:tc>
        <w:tc>
          <w:tcPr>
            <w:tcW w:w="616" w:type="pct"/>
            <w:tcBorders>
              <w:top w:val="nil"/>
              <w:left w:val="nil"/>
              <w:bottom w:val="nil"/>
              <w:right w:val="nil"/>
            </w:tcBorders>
            <w:shd w:val="clear" w:color="auto" w:fill="auto"/>
            <w:noWrap/>
            <w:vAlign w:val="center"/>
            <w:hideMark/>
          </w:tcPr>
          <w:p w14:paraId="6234005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310 952</w:t>
            </w:r>
          </w:p>
        </w:tc>
        <w:tc>
          <w:tcPr>
            <w:tcW w:w="693" w:type="pct"/>
            <w:tcBorders>
              <w:top w:val="nil"/>
              <w:left w:val="nil"/>
              <w:bottom w:val="nil"/>
              <w:right w:val="nil"/>
            </w:tcBorders>
            <w:shd w:val="clear" w:color="auto" w:fill="auto"/>
            <w:noWrap/>
            <w:vAlign w:val="center"/>
            <w:hideMark/>
          </w:tcPr>
          <w:p w14:paraId="7FFE43C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-202 729</w:t>
            </w:r>
          </w:p>
        </w:tc>
        <w:tc>
          <w:tcPr>
            <w:tcW w:w="381" w:type="pct"/>
            <w:tcBorders>
              <w:top w:val="nil"/>
              <w:left w:val="nil"/>
              <w:bottom w:val="nil"/>
              <w:right w:val="nil"/>
            </w:tcBorders>
            <w:shd w:val="clear" w:color="auto" w:fill="auto"/>
            <w:noWrap/>
            <w:vAlign w:val="center"/>
            <w:hideMark/>
          </w:tcPr>
          <w:p w14:paraId="587BF7C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60,5</w:t>
            </w:r>
          </w:p>
        </w:tc>
      </w:tr>
      <w:tr w:rsidR="00C8044F" w:rsidRPr="00C8044F" w14:paraId="4BAD3EB8" w14:textId="77777777" w:rsidTr="00824014">
        <w:trPr>
          <w:trHeight w:val="255"/>
        </w:trPr>
        <w:tc>
          <w:tcPr>
            <w:tcW w:w="2000" w:type="pct"/>
            <w:shd w:val="clear" w:color="auto" w:fill="auto"/>
            <w:noWrap/>
            <w:vAlign w:val="center"/>
            <w:hideMark/>
          </w:tcPr>
          <w:p w14:paraId="1024A196"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Kancelária Ústavného súdu SR                 </w:t>
            </w:r>
          </w:p>
        </w:tc>
        <w:tc>
          <w:tcPr>
            <w:tcW w:w="694" w:type="pct"/>
            <w:tcBorders>
              <w:top w:val="nil"/>
              <w:left w:val="nil"/>
              <w:bottom w:val="nil"/>
              <w:right w:val="nil"/>
            </w:tcBorders>
            <w:shd w:val="clear" w:color="auto" w:fill="auto"/>
            <w:noWrap/>
            <w:vAlign w:val="center"/>
            <w:hideMark/>
          </w:tcPr>
          <w:p w14:paraId="6857C14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w:t>
            </w:r>
          </w:p>
        </w:tc>
        <w:tc>
          <w:tcPr>
            <w:tcW w:w="616" w:type="pct"/>
            <w:tcBorders>
              <w:top w:val="nil"/>
              <w:left w:val="nil"/>
              <w:bottom w:val="nil"/>
              <w:right w:val="nil"/>
            </w:tcBorders>
            <w:shd w:val="clear" w:color="auto" w:fill="auto"/>
            <w:noWrap/>
            <w:vAlign w:val="center"/>
            <w:hideMark/>
          </w:tcPr>
          <w:p w14:paraId="099F573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w:t>
            </w:r>
          </w:p>
        </w:tc>
        <w:tc>
          <w:tcPr>
            <w:tcW w:w="616" w:type="pct"/>
            <w:tcBorders>
              <w:top w:val="nil"/>
              <w:left w:val="nil"/>
              <w:bottom w:val="nil"/>
              <w:right w:val="nil"/>
            </w:tcBorders>
            <w:shd w:val="clear" w:color="auto" w:fill="auto"/>
            <w:noWrap/>
            <w:vAlign w:val="center"/>
            <w:hideMark/>
          </w:tcPr>
          <w:p w14:paraId="40E2250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13</w:t>
            </w:r>
          </w:p>
        </w:tc>
        <w:tc>
          <w:tcPr>
            <w:tcW w:w="693" w:type="pct"/>
            <w:tcBorders>
              <w:top w:val="nil"/>
              <w:left w:val="nil"/>
              <w:bottom w:val="nil"/>
              <w:right w:val="nil"/>
            </w:tcBorders>
            <w:shd w:val="clear" w:color="auto" w:fill="auto"/>
            <w:noWrap/>
            <w:vAlign w:val="center"/>
            <w:hideMark/>
          </w:tcPr>
          <w:p w14:paraId="3EB2AED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w:t>
            </w:r>
          </w:p>
        </w:tc>
        <w:tc>
          <w:tcPr>
            <w:tcW w:w="381" w:type="pct"/>
            <w:tcBorders>
              <w:top w:val="nil"/>
              <w:left w:val="nil"/>
              <w:bottom w:val="nil"/>
              <w:right w:val="nil"/>
            </w:tcBorders>
            <w:shd w:val="clear" w:color="auto" w:fill="auto"/>
            <w:noWrap/>
            <w:vAlign w:val="center"/>
            <w:hideMark/>
          </w:tcPr>
          <w:p w14:paraId="67EB5F2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130,0</w:t>
            </w:r>
          </w:p>
        </w:tc>
      </w:tr>
      <w:tr w:rsidR="00C8044F" w:rsidRPr="00C8044F" w14:paraId="5E50D654" w14:textId="77777777" w:rsidTr="00824014">
        <w:trPr>
          <w:trHeight w:val="255"/>
        </w:trPr>
        <w:tc>
          <w:tcPr>
            <w:tcW w:w="2000" w:type="pct"/>
            <w:shd w:val="clear" w:color="auto" w:fill="auto"/>
            <w:noWrap/>
            <w:vAlign w:val="center"/>
            <w:hideMark/>
          </w:tcPr>
          <w:p w14:paraId="504BE87E"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Najvyšší súd SR</w:t>
            </w:r>
          </w:p>
        </w:tc>
        <w:tc>
          <w:tcPr>
            <w:tcW w:w="694" w:type="pct"/>
            <w:tcBorders>
              <w:top w:val="nil"/>
              <w:left w:val="nil"/>
              <w:bottom w:val="nil"/>
              <w:right w:val="nil"/>
            </w:tcBorders>
            <w:shd w:val="clear" w:color="auto" w:fill="auto"/>
            <w:noWrap/>
            <w:vAlign w:val="center"/>
            <w:hideMark/>
          </w:tcPr>
          <w:p w14:paraId="0B2306D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w:t>
            </w:r>
          </w:p>
        </w:tc>
        <w:tc>
          <w:tcPr>
            <w:tcW w:w="616" w:type="pct"/>
            <w:tcBorders>
              <w:top w:val="nil"/>
              <w:left w:val="nil"/>
              <w:bottom w:val="nil"/>
              <w:right w:val="nil"/>
            </w:tcBorders>
            <w:shd w:val="clear" w:color="auto" w:fill="auto"/>
            <w:noWrap/>
            <w:vAlign w:val="center"/>
            <w:hideMark/>
          </w:tcPr>
          <w:p w14:paraId="59CA0A25"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w:t>
            </w:r>
          </w:p>
        </w:tc>
        <w:tc>
          <w:tcPr>
            <w:tcW w:w="616" w:type="pct"/>
            <w:tcBorders>
              <w:top w:val="nil"/>
              <w:left w:val="nil"/>
              <w:bottom w:val="nil"/>
              <w:right w:val="nil"/>
            </w:tcBorders>
            <w:shd w:val="clear" w:color="auto" w:fill="auto"/>
            <w:noWrap/>
            <w:vAlign w:val="center"/>
            <w:hideMark/>
          </w:tcPr>
          <w:p w14:paraId="36F4157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25</w:t>
            </w:r>
          </w:p>
        </w:tc>
        <w:tc>
          <w:tcPr>
            <w:tcW w:w="693" w:type="pct"/>
            <w:tcBorders>
              <w:top w:val="nil"/>
              <w:left w:val="nil"/>
              <w:bottom w:val="nil"/>
              <w:right w:val="nil"/>
            </w:tcBorders>
            <w:shd w:val="clear" w:color="auto" w:fill="auto"/>
            <w:noWrap/>
            <w:vAlign w:val="center"/>
            <w:hideMark/>
          </w:tcPr>
          <w:p w14:paraId="4CE76E6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15</w:t>
            </w:r>
          </w:p>
        </w:tc>
        <w:tc>
          <w:tcPr>
            <w:tcW w:w="381" w:type="pct"/>
            <w:tcBorders>
              <w:top w:val="nil"/>
              <w:left w:val="nil"/>
              <w:bottom w:val="nil"/>
              <w:right w:val="nil"/>
            </w:tcBorders>
            <w:shd w:val="clear" w:color="auto" w:fill="auto"/>
            <w:noWrap/>
            <w:vAlign w:val="center"/>
            <w:hideMark/>
          </w:tcPr>
          <w:p w14:paraId="658299B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250,0</w:t>
            </w:r>
          </w:p>
        </w:tc>
      </w:tr>
      <w:tr w:rsidR="00C8044F" w:rsidRPr="00C8044F" w14:paraId="454C5587" w14:textId="77777777" w:rsidTr="00824014">
        <w:trPr>
          <w:trHeight w:val="255"/>
        </w:trPr>
        <w:tc>
          <w:tcPr>
            <w:tcW w:w="2000" w:type="pct"/>
            <w:shd w:val="clear" w:color="auto" w:fill="auto"/>
            <w:noWrap/>
            <w:vAlign w:val="center"/>
            <w:hideMark/>
          </w:tcPr>
          <w:p w14:paraId="5E3B3938"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Generálna prokuratúra SR       </w:t>
            </w:r>
          </w:p>
        </w:tc>
        <w:tc>
          <w:tcPr>
            <w:tcW w:w="694" w:type="pct"/>
            <w:tcBorders>
              <w:top w:val="nil"/>
              <w:left w:val="nil"/>
              <w:bottom w:val="nil"/>
              <w:right w:val="nil"/>
            </w:tcBorders>
            <w:shd w:val="clear" w:color="auto" w:fill="auto"/>
            <w:noWrap/>
            <w:vAlign w:val="center"/>
            <w:hideMark/>
          </w:tcPr>
          <w:p w14:paraId="210EF7F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500</w:t>
            </w:r>
          </w:p>
        </w:tc>
        <w:tc>
          <w:tcPr>
            <w:tcW w:w="616" w:type="pct"/>
            <w:tcBorders>
              <w:top w:val="nil"/>
              <w:left w:val="nil"/>
              <w:bottom w:val="nil"/>
              <w:right w:val="nil"/>
            </w:tcBorders>
            <w:shd w:val="clear" w:color="auto" w:fill="auto"/>
            <w:noWrap/>
            <w:vAlign w:val="center"/>
            <w:hideMark/>
          </w:tcPr>
          <w:p w14:paraId="564C1B7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500</w:t>
            </w:r>
          </w:p>
        </w:tc>
        <w:tc>
          <w:tcPr>
            <w:tcW w:w="616" w:type="pct"/>
            <w:tcBorders>
              <w:top w:val="nil"/>
              <w:left w:val="nil"/>
              <w:bottom w:val="nil"/>
              <w:right w:val="nil"/>
            </w:tcBorders>
            <w:shd w:val="clear" w:color="auto" w:fill="auto"/>
            <w:noWrap/>
            <w:vAlign w:val="center"/>
            <w:hideMark/>
          </w:tcPr>
          <w:p w14:paraId="40C6A8C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460</w:t>
            </w:r>
          </w:p>
        </w:tc>
        <w:tc>
          <w:tcPr>
            <w:tcW w:w="693" w:type="pct"/>
            <w:tcBorders>
              <w:top w:val="nil"/>
              <w:left w:val="nil"/>
              <w:bottom w:val="nil"/>
              <w:right w:val="nil"/>
            </w:tcBorders>
            <w:shd w:val="clear" w:color="auto" w:fill="auto"/>
            <w:noWrap/>
            <w:vAlign w:val="center"/>
            <w:hideMark/>
          </w:tcPr>
          <w:p w14:paraId="2045C07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-40</w:t>
            </w:r>
          </w:p>
        </w:tc>
        <w:tc>
          <w:tcPr>
            <w:tcW w:w="381" w:type="pct"/>
            <w:tcBorders>
              <w:top w:val="nil"/>
              <w:left w:val="nil"/>
              <w:bottom w:val="nil"/>
              <w:right w:val="nil"/>
            </w:tcBorders>
            <w:shd w:val="clear" w:color="auto" w:fill="auto"/>
            <w:noWrap/>
            <w:vAlign w:val="center"/>
            <w:hideMark/>
          </w:tcPr>
          <w:p w14:paraId="2EF698B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92,0</w:t>
            </w:r>
          </w:p>
        </w:tc>
      </w:tr>
      <w:tr w:rsidR="00C8044F" w:rsidRPr="00C8044F" w14:paraId="58BF2397" w14:textId="77777777" w:rsidTr="00824014">
        <w:trPr>
          <w:trHeight w:val="255"/>
        </w:trPr>
        <w:tc>
          <w:tcPr>
            <w:tcW w:w="2000" w:type="pct"/>
            <w:shd w:val="clear" w:color="auto" w:fill="auto"/>
            <w:noWrap/>
            <w:vAlign w:val="center"/>
            <w:hideMark/>
          </w:tcPr>
          <w:p w14:paraId="1C7A01B9"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Najvyšší kontrolný úrad SR     </w:t>
            </w:r>
          </w:p>
        </w:tc>
        <w:tc>
          <w:tcPr>
            <w:tcW w:w="694" w:type="pct"/>
            <w:tcBorders>
              <w:top w:val="nil"/>
              <w:left w:val="nil"/>
              <w:bottom w:val="nil"/>
              <w:right w:val="nil"/>
            </w:tcBorders>
            <w:shd w:val="clear" w:color="auto" w:fill="auto"/>
            <w:noWrap/>
            <w:vAlign w:val="center"/>
            <w:hideMark/>
          </w:tcPr>
          <w:p w14:paraId="0FA0DC5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20</w:t>
            </w:r>
          </w:p>
        </w:tc>
        <w:tc>
          <w:tcPr>
            <w:tcW w:w="616" w:type="pct"/>
            <w:tcBorders>
              <w:top w:val="nil"/>
              <w:left w:val="nil"/>
              <w:bottom w:val="nil"/>
              <w:right w:val="nil"/>
            </w:tcBorders>
            <w:shd w:val="clear" w:color="auto" w:fill="auto"/>
            <w:noWrap/>
            <w:vAlign w:val="center"/>
            <w:hideMark/>
          </w:tcPr>
          <w:p w14:paraId="2931D00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20</w:t>
            </w:r>
          </w:p>
        </w:tc>
        <w:tc>
          <w:tcPr>
            <w:tcW w:w="616" w:type="pct"/>
            <w:tcBorders>
              <w:top w:val="nil"/>
              <w:left w:val="nil"/>
              <w:bottom w:val="nil"/>
              <w:right w:val="nil"/>
            </w:tcBorders>
            <w:shd w:val="clear" w:color="auto" w:fill="auto"/>
            <w:noWrap/>
            <w:vAlign w:val="center"/>
            <w:hideMark/>
          </w:tcPr>
          <w:p w14:paraId="7707190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168</w:t>
            </w:r>
          </w:p>
        </w:tc>
        <w:tc>
          <w:tcPr>
            <w:tcW w:w="693" w:type="pct"/>
            <w:tcBorders>
              <w:top w:val="nil"/>
              <w:left w:val="nil"/>
              <w:bottom w:val="nil"/>
              <w:right w:val="nil"/>
            </w:tcBorders>
            <w:shd w:val="clear" w:color="auto" w:fill="auto"/>
            <w:noWrap/>
            <w:vAlign w:val="center"/>
            <w:hideMark/>
          </w:tcPr>
          <w:p w14:paraId="6658E681" w14:textId="77777777" w:rsidR="00C8044F" w:rsidRPr="00C8044F" w:rsidRDefault="00C8044F" w:rsidP="00824014">
            <w:pPr>
              <w:spacing w:after="0" w:line="240" w:lineRule="auto"/>
              <w:ind w:hanging="217"/>
              <w:jc w:val="right"/>
              <w:rPr>
                <w:rFonts w:eastAsia="Calibri" w:cs="Segoe UI"/>
                <w:sz w:val="18"/>
                <w:szCs w:val="18"/>
              </w:rPr>
            </w:pPr>
            <w:r w:rsidRPr="00C8044F">
              <w:rPr>
                <w:rFonts w:cs="Segoe UI"/>
                <w:sz w:val="18"/>
                <w:szCs w:val="18"/>
              </w:rPr>
              <w:t>148</w:t>
            </w:r>
          </w:p>
        </w:tc>
        <w:tc>
          <w:tcPr>
            <w:tcW w:w="381" w:type="pct"/>
            <w:tcBorders>
              <w:top w:val="nil"/>
              <w:left w:val="nil"/>
              <w:bottom w:val="nil"/>
              <w:right w:val="nil"/>
            </w:tcBorders>
            <w:shd w:val="clear" w:color="auto" w:fill="auto"/>
            <w:noWrap/>
            <w:vAlign w:val="center"/>
            <w:hideMark/>
          </w:tcPr>
          <w:p w14:paraId="7B8FDA85"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840,0</w:t>
            </w:r>
          </w:p>
        </w:tc>
      </w:tr>
      <w:tr w:rsidR="00C8044F" w:rsidRPr="00C8044F" w14:paraId="31A9952A" w14:textId="77777777" w:rsidTr="00824014">
        <w:trPr>
          <w:trHeight w:val="255"/>
        </w:trPr>
        <w:tc>
          <w:tcPr>
            <w:tcW w:w="2000" w:type="pct"/>
            <w:shd w:val="clear" w:color="auto" w:fill="auto"/>
            <w:noWrap/>
            <w:vAlign w:val="center"/>
            <w:hideMark/>
          </w:tcPr>
          <w:p w14:paraId="37C53AB0"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Slovenská informačná služba    </w:t>
            </w:r>
          </w:p>
        </w:tc>
        <w:tc>
          <w:tcPr>
            <w:tcW w:w="694" w:type="pct"/>
            <w:tcBorders>
              <w:top w:val="nil"/>
              <w:left w:val="nil"/>
              <w:bottom w:val="nil"/>
              <w:right w:val="nil"/>
            </w:tcBorders>
            <w:shd w:val="clear" w:color="auto" w:fill="auto"/>
            <w:noWrap/>
            <w:vAlign w:val="center"/>
            <w:hideMark/>
          </w:tcPr>
          <w:p w14:paraId="24693BD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200</w:t>
            </w:r>
          </w:p>
        </w:tc>
        <w:tc>
          <w:tcPr>
            <w:tcW w:w="616" w:type="pct"/>
            <w:tcBorders>
              <w:top w:val="nil"/>
              <w:left w:val="nil"/>
              <w:bottom w:val="nil"/>
              <w:right w:val="nil"/>
            </w:tcBorders>
            <w:shd w:val="clear" w:color="auto" w:fill="auto"/>
            <w:noWrap/>
            <w:vAlign w:val="center"/>
            <w:hideMark/>
          </w:tcPr>
          <w:p w14:paraId="74289E8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200</w:t>
            </w:r>
          </w:p>
        </w:tc>
        <w:tc>
          <w:tcPr>
            <w:tcW w:w="616" w:type="pct"/>
            <w:tcBorders>
              <w:top w:val="nil"/>
              <w:left w:val="nil"/>
              <w:bottom w:val="nil"/>
              <w:right w:val="nil"/>
            </w:tcBorders>
            <w:shd w:val="clear" w:color="auto" w:fill="auto"/>
            <w:noWrap/>
            <w:vAlign w:val="center"/>
            <w:hideMark/>
          </w:tcPr>
          <w:p w14:paraId="5555DC6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137</w:t>
            </w:r>
          </w:p>
        </w:tc>
        <w:tc>
          <w:tcPr>
            <w:tcW w:w="693" w:type="pct"/>
            <w:tcBorders>
              <w:top w:val="nil"/>
              <w:left w:val="nil"/>
              <w:bottom w:val="nil"/>
              <w:right w:val="nil"/>
            </w:tcBorders>
            <w:shd w:val="clear" w:color="auto" w:fill="auto"/>
            <w:noWrap/>
            <w:vAlign w:val="center"/>
            <w:hideMark/>
          </w:tcPr>
          <w:p w14:paraId="59F5734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-63</w:t>
            </w:r>
          </w:p>
        </w:tc>
        <w:tc>
          <w:tcPr>
            <w:tcW w:w="381" w:type="pct"/>
            <w:tcBorders>
              <w:top w:val="nil"/>
              <w:left w:val="nil"/>
              <w:bottom w:val="nil"/>
              <w:right w:val="nil"/>
            </w:tcBorders>
            <w:shd w:val="clear" w:color="auto" w:fill="auto"/>
            <w:noWrap/>
            <w:vAlign w:val="center"/>
            <w:hideMark/>
          </w:tcPr>
          <w:p w14:paraId="38550B9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68,5</w:t>
            </w:r>
          </w:p>
        </w:tc>
      </w:tr>
      <w:tr w:rsidR="00C8044F" w:rsidRPr="00C8044F" w14:paraId="1AB7DF8B" w14:textId="77777777" w:rsidTr="00824014">
        <w:trPr>
          <w:trHeight w:val="255"/>
        </w:trPr>
        <w:tc>
          <w:tcPr>
            <w:tcW w:w="2000" w:type="pct"/>
            <w:shd w:val="clear" w:color="auto" w:fill="auto"/>
            <w:noWrap/>
            <w:vAlign w:val="center"/>
            <w:hideMark/>
          </w:tcPr>
          <w:p w14:paraId="51CC3DC7"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Ministerstvo zahraničných vecí a európskych záležitostí SR</w:t>
            </w:r>
          </w:p>
        </w:tc>
        <w:tc>
          <w:tcPr>
            <w:tcW w:w="694" w:type="pct"/>
            <w:tcBorders>
              <w:top w:val="nil"/>
              <w:left w:val="nil"/>
              <w:bottom w:val="nil"/>
              <w:right w:val="nil"/>
            </w:tcBorders>
            <w:shd w:val="clear" w:color="auto" w:fill="auto"/>
            <w:noWrap/>
            <w:vAlign w:val="center"/>
            <w:hideMark/>
          </w:tcPr>
          <w:p w14:paraId="236AED1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2 000</w:t>
            </w:r>
          </w:p>
        </w:tc>
        <w:tc>
          <w:tcPr>
            <w:tcW w:w="616" w:type="pct"/>
            <w:tcBorders>
              <w:top w:val="nil"/>
              <w:left w:val="nil"/>
              <w:bottom w:val="nil"/>
              <w:right w:val="nil"/>
            </w:tcBorders>
            <w:shd w:val="clear" w:color="auto" w:fill="auto"/>
            <w:noWrap/>
            <w:vAlign w:val="center"/>
            <w:hideMark/>
          </w:tcPr>
          <w:p w14:paraId="581721A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2 000</w:t>
            </w:r>
          </w:p>
        </w:tc>
        <w:tc>
          <w:tcPr>
            <w:tcW w:w="616" w:type="pct"/>
            <w:tcBorders>
              <w:top w:val="nil"/>
              <w:left w:val="nil"/>
              <w:bottom w:val="nil"/>
              <w:right w:val="nil"/>
            </w:tcBorders>
            <w:shd w:val="clear" w:color="auto" w:fill="auto"/>
            <w:noWrap/>
            <w:vAlign w:val="center"/>
            <w:hideMark/>
          </w:tcPr>
          <w:p w14:paraId="0A725B9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2 076</w:t>
            </w:r>
          </w:p>
        </w:tc>
        <w:tc>
          <w:tcPr>
            <w:tcW w:w="693" w:type="pct"/>
            <w:tcBorders>
              <w:top w:val="nil"/>
              <w:left w:val="nil"/>
              <w:bottom w:val="nil"/>
              <w:right w:val="nil"/>
            </w:tcBorders>
            <w:shd w:val="clear" w:color="auto" w:fill="auto"/>
            <w:noWrap/>
            <w:vAlign w:val="center"/>
            <w:hideMark/>
          </w:tcPr>
          <w:p w14:paraId="6030362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76</w:t>
            </w:r>
          </w:p>
        </w:tc>
        <w:tc>
          <w:tcPr>
            <w:tcW w:w="381" w:type="pct"/>
            <w:tcBorders>
              <w:top w:val="nil"/>
              <w:left w:val="nil"/>
              <w:bottom w:val="nil"/>
              <w:right w:val="nil"/>
            </w:tcBorders>
            <w:shd w:val="clear" w:color="auto" w:fill="auto"/>
            <w:noWrap/>
            <w:vAlign w:val="center"/>
            <w:hideMark/>
          </w:tcPr>
          <w:p w14:paraId="349A338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103,8</w:t>
            </w:r>
          </w:p>
        </w:tc>
      </w:tr>
      <w:tr w:rsidR="00C8044F" w:rsidRPr="00C8044F" w14:paraId="1ED822CE" w14:textId="77777777" w:rsidTr="00824014">
        <w:trPr>
          <w:trHeight w:val="255"/>
        </w:trPr>
        <w:tc>
          <w:tcPr>
            <w:tcW w:w="2000" w:type="pct"/>
            <w:shd w:val="clear" w:color="auto" w:fill="auto"/>
            <w:noWrap/>
            <w:vAlign w:val="center"/>
            <w:hideMark/>
          </w:tcPr>
          <w:p w14:paraId="1B07A9FF"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obrany SR         </w:t>
            </w:r>
          </w:p>
        </w:tc>
        <w:tc>
          <w:tcPr>
            <w:tcW w:w="694" w:type="pct"/>
            <w:tcBorders>
              <w:top w:val="nil"/>
              <w:left w:val="nil"/>
              <w:bottom w:val="nil"/>
              <w:right w:val="nil"/>
            </w:tcBorders>
            <w:shd w:val="clear" w:color="auto" w:fill="auto"/>
            <w:noWrap/>
            <w:vAlign w:val="center"/>
            <w:hideMark/>
          </w:tcPr>
          <w:p w14:paraId="10114E9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5 047</w:t>
            </w:r>
          </w:p>
        </w:tc>
        <w:tc>
          <w:tcPr>
            <w:tcW w:w="616" w:type="pct"/>
            <w:tcBorders>
              <w:top w:val="nil"/>
              <w:left w:val="nil"/>
              <w:bottom w:val="nil"/>
              <w:right w:val="nil"/>
            </w:tcBorders>
            <w:shd w:val="clear" w:color="auto" w:fill="auto"/>
            <w:noWrap/>
            <w:vAlign w:val="center"/>
            <w:hideMark/>
          </w:tcPr>
          <w:p w14:paraId="0300BE1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5 047</w:t>
            </w:r>
          </w:p>
        </w:tc>
        <w:tc>
          <w:tcPr>
            <w:tcW w:w="616" w:type="pct"/>
            <w:tcBorders>
              <w:top w:val="nil"/>
              <w:left w:val="nil"/>
              <w:bottom w:val="nil"/>
              <w:right w:val="nil"/>
            </w:tcBorders>
            <w:shd w:val="clear" w:color="auto" w:fill="auto"/>
            <w:noWrap/>
            <w:vAlign w:val="center"/>
            <w:hideMark/>
          </w:tcPr>
          <w:p w14:paraId="4E8A2E6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46 388</w:t>
            </w:r>
          </w:p>
        </w:tc>
        <w:tc>
          <w:tcPr>
            <w:tcW w:w="693" w:type="pct"/>
            <w:tcBorders>
              <w:top w:val="nil"/>
              <w:left w:val="nil"/>
              <w:bottom w:val="nil"/>
              <w:right w:val="nil"/>
            </w:tcBorders>
            <w:shd w:val="clear" w:color="auto" w:fill="auto"/>
            <w:noWrap/>
            <w:vAlign w:val="center"/>
            <w:hideMark/>
          </w:tcPr>
          <w:p w14:paraId="26233DC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41 341</w:t>
            </w:r>
          </w:p>
        </w:tc>
        <w:tc>
          <w:tcPr>
            <w:tcW w:w="381" w:type="pct"/>
            <w:tcBorders>
              <w:top w:val="nil"/>
              <w:left w:val="nil"/>
              <w:bottom w:val="nil"/>
              <w:right w:val="nil"/>
            </w:tcBorders>
            <w:shd w:val="clear" w:color="auto" w:fill="auto"/>
            <w:noWrap/>
            <w:vAlign w:val="center"/>
            <w:hideMark/>
          </w:tcPr>
          <w:p w14:paraId="3104C3C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919,1</w:t>
            </w:r>
          </w:p>
        </w:tc>
      </w:tr>
      <w:tr w:rsidR="00C8044F" w:rsidRPr="00C8044F" w14:paraId="161EB41D" w14:textId="77777777" w:rsidTr="00824014">
        <w:trPr>
          <w:trHeight w:val="255"/>
        </w:trPr>
        <w:tc>
          <w:tcPr>
            <w:tcW w:w="2000" w:type="pct"/>
            <w:shd w:val="clear" w:color="auto" w:fill="auto"/>
            <w:noWrap/>
            <w:vAlign w:val="center"/>
            <w:hideMark/>
          </w:tcPr>
          <w:p w14:paraId="64BC0D6E"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vnútra SR         </w:t>
            </w:r>
          </w:p>
        </w:tc>
        <w:tc>
          <w:tcPr>
            <w:tcW w:w="694" w:type="pct"/>
            <w:tcBorders>
              <w:top w:val="nil"/>
              <w:left w:val="nil"/>
              <w:bottom w:val="nil"/>
              <w:right w:val="nil"/>
            </w:tcBorders>
            <w:shd w:val="clear" w:color="auto" w:fill="auto"/>
            <w:noWrap/>
            <w:vAlign w:val="center"/>
            <w:hideMark/>
          </w:tcPr>
          <w:p w14:paraId="1D5C119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183 059</w:t>
            </w:r>
          </w:p>
        </w:tc>
        <w:tc>
          <w:tcPr>
            <w:tcW w:w="616" w:type="pct"/>
            <w:tcBorders>
              <w:top w:val="nil"/>
              <w:left w:val="nil"/>
              <w:bottom w:val="nil"/>
              <w:right w:val="nil"/>
            </w:tcBorders>
            <w:shd w:val="clear" w:color="auto" w:fill="auto"/>
            <w:noWrap/>
            <w:vAlign w:val="center"/>
            <w:hideMark/>
          </w:tcPr>
          <w:p w14:paraId="701AFB5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183 059</w:t>
            </w:r>
          </w:p>
        </w:tc>
        <w:tc>
          <w:tcPr>
            <w:tcW w:w="616" w:type="pct"/>
            <w:tcBorders>
              <w:top w:val="nil"/>
              <w:left w:val="nil"/>
              <w:bottom w:val="nil"/>
              <w:right w:val="nil"/>
            </w:tcBorders>
            <w:shd w:val="clear" w:color="auto" w:fill="auto"/>
            <w:noWrap/>
            <w:vAlign w:val="center"/>
            <w:hideMark/>
          </w:tcPr>
          <w:p w14:paraId="5629D2C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208 973</w:t>
            </w:r>
          </w:p>
        </w:tc>
        <w:tc>
          <w:tcPr>
            <w:tcW w:w="693" w:type="pct"/>
            <w:tcBorders>
              <w:top w:val="nil"/>
              <w:left w:val="nil"/>
              <w:bottom w:val="nil"/>
              <w:right w:val="nil"/>
            </w:tcBorders>
            <w:shd w:val="clear" w:color="auto" w:fill="auto"/>
            <w:noWrap/>
            <w:vAlign w:val="center"/>
            <w:hideMark/>
          </w:tcPr>
          <w:p w14:paraId="1D88454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25 914</w:t>
            </w:r>
          </w:p>
        </w:tc>
        <w:tc>
          <w:tcPr>
            <w:tcW w:w="381" w:type="pct"/>
            <w:tcBorders>
              <w:top w:val="nil"/>
              <w:left w:val="nil"/>
              <w:bottom w:val="nil"/>
              <w:right w:val="nil"/>
            </w:tcBorders>
            <w:shd w:val="clear" w:color="auto" w:fill="auto"/>
            <w:noWrap/>
            <w:vAlign w:val="center"/>
            <w:hideMark/>
          </w:tcPr>
          <w:p w14:paraId="0FD5BF75"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114,2</w:t>
            </w:r>
          </w:p>
        </w:tc>
      </w:tr>
      <w:tr w:rsidR="00C8044F" w:rsidRPr="00C8044F" w14:paraId="7D47294F" w14:textId="77777777" w:rsidTr="00824014">
        <w:trPr>
          <w:trHeight w:val="255"/>
        </w:trPr>
        <w:tc>
          <w:tcPr>
            <w:tcW w:w="2000" w:type="pct"/>
            <w:shd w:val="clear" w:color="auto" w:fill="auto"/>
            <w:noWrap/>
            <w:vAlign w:val="center"/>
            <w:hideMark/>
          </w:tcPr>
          <w:p w14:paraId="32F07063"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spravodlivosti SR </w:t>
            </w:r>
          </w:p>
        </w:tc>
        <w:tc>
          <w:tcPr>
            <w:tcW w:w="694" w:type="pct"/>
            <w:tcBorders>
              <w:top w:val="nil"/>
              <w:left w:val="nil"/>
              <w:bottom w:val="nil"/>
              <w:right w:val="nil"/>
            </w:tcBorders>
            <w:shd w:val="clear" w:color="auto" w:fill="auto"/>
            <w:noWrap/>
            <w:vAlign w:val="center"/>
            <w:hideMark/>
          </w:tcPr>
          <w:p w14:paraId="4D14541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25 112</w:t>
            </w:r>
          </w:p>
        </w:tc>
        <w:tc>
          <w:tcPr>
            <w:tcW w:w="616" w:type="pct"/>
            <w:tcBorders>
              <w:top w:val="nil"/>
              <w:left w:val="nil"/>
              <w:bottom w:val="nil"/>
              <w:right w:val="nil"/>
            </w:tcBorders>
            <w:shd w:val="clear" w:color="auto" w:fill="auto"/>
            <w:noWrap/>
            <w:vAlign w:val="center"/>
            <w:hideMark/>
          </w:tcPr>
          <w:p w14:paraId="1FEBC7A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25 112</w:t>
            </w:r>
          </w:p>
        </w:tc>
        <w:tc>
          <w:tcPr>
            <w:tcW w:w="616" w:type="pct"/>
            <w:tcBorders>
              <w:top w:val="nil"/>
              <w:left w:val="nil"/>
              <w:bottom w:val="nil"/>
              <w:right w:val="nil"/>
            </w:tcBorders>
            <w:shd w:val="clear" w:color="auto" w:fill="auto"/>
            <w:noWrap/>
            <w:vAlign w:val="center"/>
            <w:hideMark/>
          </w:tcPr>
          <w:p w14:paraId="335854A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37 725</w:t>
            </w:r>
          </w:p>
        </w:tc>
        <w:tc>
          <w:tcPr>
            <w:tcW w:w="693" w:type="pct"/>
            <w:tcBorders>
              <w:top w:val="nil"/>
              <w:left w:val="nil"/>
              <w:bottom w:val="nil"/>
              <w:right w:val="nil"/>
            </w:tcBorders>
            <w:shd w:val="clear" w:color="auto" w:fill="auto"/>
            <w:noWrap/>
            <w:vAlign w:val="center"/>
            <w:hideMark/>
          </w:tcPr>
          <w:p w14:paraId="5EB52AF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12 613</w:t>
            </w:r>
          </w:p>
        </w:tc>
        <w:tc>
          <w:tcPr>
            <w:tcW w:w="381" w:type="pct"/>
            <w:tcBorders>
              <w:top w:val="nil"/>
              <w:left w:val="nil"/>
              <w:bottom w:val="nil"/>
              <w:right w:val="nil"/>
            </w:tcBorders>
            <w:shd w:val="clear" w:color="auto" w:fill="auto"/>
            <w:noWrap/>
            <w:vAlign w:val="center"/>
            <w:hideMark/>
          </w:tcPr>
          <w:p w14:paraId="673F2A5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150,2</w:t>
            </w:r>
          </w:p>
        </w:tc>
      </w:tr>
      <w:tr w:rsidR="00C8044F" w:rsidRPr="00C8044F" w14:paraId="047B7EA3" w14:textId="77777777" w:rsidTr="00824014">
        <w:trPr>
          <w:trHeight w:val="255"/>
        </w:trPr>
        <w:tc>
          <w:tcPr>
            <w:tcW w:w="2000" w:type="pct"/>
            <w:shd w:val="clear" w:color="auto" w:fill="auto"/>
            <w:noWrap/>
            <w:vAlign w:val="center"/>
            <w:hideMark/>
          </w:tcPr>
          <w:p w14:paraId="2E08AB45"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financií SR       </w:t>
            </w:r>
          </w:p>
        </w:tc>
        <w:tc>
          <w:tcPr>
            <w:tcW w:w="694" w:type="pct"/>
            <w:tcBorders>
              <w:top w:val="nil"/>
              <w:left w:val="nil"/>
              <w:bottom w:val="nil"/>
              <w:right w:val="nil"/>
            </w:tcBorders>
            <w:shd w:val="clear" w:color="auto" w:fill="auto"/>
            <w:noWrap/>
            <w:vAlign w:val="center"/>
            <w:hideMark/>
          </w:tcPr>
          <w:p w14:paraId="1D9F3B6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18 279</w:t>
            </w:r>
          </w:p>
        </w:tc>
        <w:tc>
          <w:tcPr>
            <w:tcW w:w="616" w:type="pct"/>
            <w:tcBorders>
              <w:top w:val="nil"/>
              <w:left w:val="nil"/>
              <w:bottom w:val="nil"/>
              <w:right w:val="nil"/>
            </w:tcBorders>
            <w:shd w:val="clear" w:color="auto" w:fill="auto"/>
            <w:noWrap/>
            <w:vAlign w:val="center"/>
            <w:hideMark/>
          </w:tcPr>
          <w:p w14:paraId="00B5AC6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18 279</w:t>
            </w:r>
          </w:p>
        </w:tc>
        <w:tc>
          <w:tcPr>
            <w:tcW w:w="616" w:type="pct"/>
            <w:tcBorders>
              <w:top w:val="nil"/>
              <w:left w:val="nil"/>
              <w:bottom w:val="nil"/>
              <w:right w:val="nil"/>
            </w:tcBorders>
            <w:shd w:val="clear" w:color="auto" w:fill="auto"/>
            <w:noWrap/>
            <w:vAlign w:val="center"/>
            <w:hideMark/>
          </w:tcPr>
          <w:p w14:paraId="54A33BF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19 998</w:t>
            </w:r>
          </w:p>
        </w:tc>
        <w:tc>
          <w:tcPr>
            <w:tcW w:w="693" w:type="pct"/>
            <w:tcBorders>
              <w:top w:val="nil"/>
              <w:left w:val="nil"/>
              <w:bottom w:val="nil"/>
              <w:right w:val="nil"/>
            </w:tcBorders>
            <w:shd w:val="clear" w:color="auto" w:fill="auto"/>
            <w:noWrap/>
            <w:vAlign w:val="center"/>
            <w:hideMark/>
          </w:tcPr>
          <w:p w14:paraId="1541339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1 719</w:t>
            </w:r>
          </w:p>
        </w:tc>
        <w:tc>
          <w:tcPr>
            <w:tcW w:w="381" w:type="pct"/>
            <w:tcBorders>
              <w:top w:val="nil"/>
              <w:left w:val="nil"/>
              <w:bottom w:val="nil"/>
              <w:right w:val="nil"/>
            </w:tcBorders>
            <w:shd w:val="clear" w:color="auto" w:fill="auto"/>
            <w:noWrap/>
            <w:vAlign w:val="center"/>
            <w:hideMark/>
          </w:tcPr>
          <w:p w14:paraId="01646B7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109,4</w:t>
            </w:r>
          </w:p>
        </w:tc>
      </w:tr>
      <w:tr w:rsidR="00C8044F" w:rsidRPr="00C8044F" w14:paraId="43551857" w14:textId="77777777" w:rsidTr="00824014">
        <w:trPr>
          <w:trHeight w:val="255"/>
        </w:trPr>
        <w:tc>
          <w:tcPr>
            <w:tcW w:w="2000" w:type="pct"/>
            <w:shd w:val="clear" w:color="auto" w:fill="auto"/>
            <w:noWrap/>
            <w:vAlign w:val="center"/>
            <w:hideMark/>
          </w:tcPr>
          <w:p w14:paraId="10B5F4DB"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životného prostredia  SR  </w:t>
            </w:r>
          </w:p>
        </w:tc>
        <w:tc>
          <w:tcPr>
            <w:tcW w:w="694" w:type="pct"/>
            <w:tcBorders>
              <w:top w:val="nil"/>
              <w:left w:val="nil"/>
              <w:bottom w:val="nil"/>
              <w:right w:val="nil"/>
            </w:tcBorders>
            <w:shd w:val="clear" w:color="auto" w:fill="auto"/>
            <w:noWrap/>
            <w:vAlign w:val="center"/>
            <w:hideMark/>
          </w:tcPr>
          <w:p w14:paraId="2F7F390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251 494</w:t>
            </w:r>
          </w:p>
        </w:tc>
        <w:tc>
          <w:tcPr>
            <w:tcW w:w="616" w:type="pct"/>
            <w:tcBorders>
              <w:top w:val="nil"/>
              <w:left w:val="nil"/>
              <w:bottom w:val="nil"/>
              <w:right w:val="nil"/>
            </w:tcBorders>
            <w:shd w:val="clear" w:color="auto" w:fill="auto"/>
            <w:noWrap/>
            <w:vAlign w:val="center"/>
            <w:hideMark/>
          </w:tcPr>
          <w:p w14:paraId="3EBB965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251 494</w:t>
            </w:r>
          </w:p>
        </w:tc>
        <w:tc>
          <w:tcPr>
            <w:tcW w:w="616" w:type="pct"/>
            <w:tcBorders>
              <w:top w:val="nil"/>
              <w:left w:val="nil"/>
              <w:bottom w:val="nil"/>
              <w:right w:val="nil"/>
            </w:tcBorders>
            <w:shd w:val="clear" w:color="auto" w:fill="auto"/>
            <w:noWrap/>
            <w:vAlign w:val="center"/>
            <w:hideMark/>
          </w:tcPr>
          <w:p w14:paraId="3D8380F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308 445</w:t>
            </w:r>
          </w:p>
        </w:tc>
        <w:tc>
          <w:tcPr>
            <w:tcW w:w="693" w:type="pct"/>
            <w:tcBorders>
              <w:top w:val="nil"/>
              <w:left w:val="nil"/>
              <w:bottom w:val="nil"/>
              <w:right w:val="nil"/>
            </w:tcBorders>
            <w:shd w:val="clear" w:color="auto" w:fill="auto"/>
            <w:noWrap/>
            <w:vAlign w:val="center"/>
            <w:hideMark/>
          </w:tcPr>
          <w:p w14:paraId="78F84DA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56 951</w:t>
            </w:r>
          </w:p>
        </w:tc>
        <w:tc>
          <w:tcPr>
            <w:tcW w:w="381" w:type="pct"/>
            <w:tcBorders>
              <w:top w:val="nil"/>
              <w:left w:val="nil"/>
              <w:bottom w:val="nil"/>
              <w:right w:val="nil"/>
            </w:tcBorders>
            <w:shd w:val="clear" w:color="auto" w:fill="auto"/>
            <w:noWrap/>
            <w:vAlign w:val="center"/>
            <w:hideMark/>
          </w:tcPr>
          <w:p w14:paraId="68C75D5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122,6</w:t>
            </w:r>
          </w:p>
        </w:tc>
      </w:tr>
      <w:tr w:rsidR="00C8044F" w:rsidRPr="00C8044F" w14:paraId="34463207" w14:textId="77777777" w:rsidTr="00824014">
        <w:trPr>
          <w:trHeight w:val="255"/>
        </w:trPr>
        <w:tc>
          <w:tcPr>
            <w:tcW w:w="2000" w:type="pct"/>
            <w:shd w:val="clear" w:color="auto" w:fill="auto"/>
            <w:noWrap/>
            <w:vAlign w:val="center"/>
            <w:hideMark/>
          </w:tcPr>
          <w:p w14:paraId="3293A8DC"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Ministerstvo školstva, vedy, výskumu a športu SR</w:t>
            </w:r>
          </w:p>
        </w:tc>
        <w:tc>
          <w:tcPr>
            <w:tcW w:w="694" w:type="pct"/>
            <w:tcBorders>
              <w:top w:val="nil"/>
              <w:left w:val="nil"/>
              <w:bottom w:val="nil"/>
              <w:right w:val="nil"/>
            </w:tcBorders>
            <w:shd w:val="clear" w:color="auto" w:fill="auto"/>
            <w:noWrap/>
            <w:vAlign w:val="center"/>
            <w:hideMark/>
          </w:tcPr>
          <w:p w14:paraId="65C1BEE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243 858</w:t>
            </w:r>
          </w:p>
        </w:tc>
        <w:tc>
          <w:tcPr>
            <w:tcW w:w="616" w:type="pct"/>
            <w:tcBorders>
              <w:top w:val="nil"/>
              <w:left w:val="nil"/>
              <w:bottom w:val="nil"/>
              <w:right w:val="nil"/>
            </w:tcBorders>
            <w:shd w:val="clear" w:color="auto" w:fill="auto"/>
            <w:noWrap/>
            <w:vAlign w:val="center"/>
            <w:hideMark/>
          </w:tcPr>
          <w:p w14:paraId="54C6CDC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243 858</w:t>
            </w:r>
          </w:p>
        </w:tc>
        <w:tc>
          <w:tcPr>
            <w:tcW w:w="616" w:type="pct"/>
            <w:tcBorders>
              <w:top w:val="nil"/>
              <w:left w:val="nil"/>
              <w:bottom w:val="nil"/>
              <w:right w:val="nil"/>
            </w:tcBorders>
            <w:shd w:val="clear" w:color="auto" w:fill="auto"/>
            <w:noWrap/>
            <w:vAlign w:val="center"/>
            <w:hideMark/>
          </w:tcPr>
          <w:p w14:paraId="69D2691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181 174</w:t>
            </w:r>
          </w:p>
        </w:tc>
        <w:tc>
          <w:tcPr>
            <w:tcW w:w="693" w:type="pct"/>
            <w:tcBorders>
              <w:top w:val="nil"/>
              <w:left w:val="nil"/>
              <w:bottom w:val="nil"/>
              <w:right w:val="nil"/>
            </w:tcBorders>
            <w:shd w:val="clear" w:color="auto" w:fill="auto"/>
            <w:noWrap/>
            <w:vAlign w:val="center"/>
            <w:hideMark/>
          </w:tcPr>
          <w:p w14:paraId="4817ABD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-62 684</w:t>
            </w:r>
          </w:p>
        </w:tc>
        <w:tc>
          <w:tcPr>
            <w:tcW w:w="381" w:type="pct"/>
            <w:tcBorders>
              <w:top w:val="nil"/>
              <w:left w:val="nil"/>
              <w:bottom w:val="nil"/>
              <w:right w:val="nil"/>
            </w:tcBorders>
            <w:shd w:val="clear" w:color="auto" w:fill="auto"/>
            <w:noWrap/>
            <w:vAlign w:val="center"/>
            <w:hideMark/>
          </w:tcPr>
          <w:p w14:paraId="4F275DC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74,3</w:t>
            </w:r>
          </w:p>
        </w:tc>
      </w:tr>
      <w:tr w:rsidR="00C8044F" w:rsidRPr="00C8044F" w14:paraId="43262A7D" w14:textId="77777777" w:rsidTr="00824014">
        <w:trPr>
          <w:trHeight w:val="255"/>
        </w:trPr>
        <w:tc>
          <w:tcPr>
            <w:tcW w:w="2000" w:type="pct"/>
            <w:shd w:val="clear" w:color="auto" w:fill="auto"/>
            <w:noWrap/>
            <w:vAlign w:val="center"/>
            <w:hideMark/>
          </w:tcPr>
          <w:p w14:paraId="03FA04FF"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zdravotníctva SR  </w:t>
            </w:r>
          </w:p>
        </w:tc>
        <w:tc>
          <w:tcPr>
            <w:tcW w:w="694" w:type="pct"/>
            <w:tcBorders>
              <w:top w:val="nil"/>
              <w:left w:val="nil"/>
              <w:bottom w:val="nil"/>
              <w:right w:val="nil"/>
            </w:tcBorders>
            <w:shd w:val="clear" w:color="auto" w:fill="auto"/>
            <w:noWrap/>
            <w:vAlign w:val="center"/>
            <w:hideMark/>
          </w:tcPr>
          <w:p w14:paraId="299E64E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42 644</w:t>
            </w:r>
          </w:p>
        </w:tc>
        <w:tc>
          <w:tcPr>
            <w:tcW w:w="616" w:type="pct"/>
            <w:tcBorders>
              <w:top w:val="nil"/>
              <w:left w:val="nil"/>
              <w:bottom w:val="nil"/>
              <w:right w:val="nil"/>
            </w:tcBorders>
            <w:shd w:val="clear" w:color="auto" w:fill="auto"/>
            <w:noWrap/>
            <w:vAlign w:val="center"/>
            <w:hideMark/>
          </w:tcPr>
          <w:p w14:paraId="3C92E47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42 644</w:t>
            </w:r>
          </w:p>
        </w:tc>
        <w:tc>
          <w:tcPr>
            <w:tcW w:w="616" w:type="pct"/>
            <w:tcBorders>
              <w:top w:val="nil"/>
              <w:left w:val="nil"/>
              <w:bottom w:val="nil"/>
              <w:right w:val="nil"/>
            </w:tcBorders>
            <w:shd w:val="clear" w:color="auto" w:fill="auto"/>
            <w:noWrap/>
            <w:vAlign w:val="center"/>
            <w:hideMark/>
          </w:tcPr>
          <w:p w14:paraId="6A527EB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47 130</w:t>
            </w:r>
          </w:p>
        </w:tc>
        <w:tc>
          <w:tcPr>
            <w:tcW w:w="693" w:type="pct"/>
            <w:tcBorders>
              <w:top w:val="nil"/>
              <w:left w:val="nil"/>
              <w:bottom w:val="nil"/>
              <w:right w:val="nil"/>
            </w:tcBorders>
            <w:shd w:val="clear" w:color="auto" w:fill="auto"/>
            <w:noWrap/>
            <w:vAlign w:val="center"/>
            <w:hideMark/>
          </w:tcPr>
          <w:p w14:paraId="79D33C9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4 486</w:t>
            </w:r>
          </w:p>
        </w:tc>
        <w:tc>
          <w:tcPr>
            <w:tcW w:w="381" w:type="pct"/>
            <w:tcBorders>
              <w:top w:val="nil"/>
              <w:left w:val="nil"/>
              <w:bottom w:val="nil"/>
              <w:right w:val="nil"/>
            </w:tcBorders>
            <w:shd w:val="clear" w:color="auto" w:fill="auto"/>
            <w:noWrap/>
            <w:vAlign w:val="center"/>
            <w:hideMark/>
          </w:tcPr>
          <w:p w14:paraId="37C95DF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110,5</w:t>
            </w:r>
          </w:p>
        </w:tc>
      </w:tr>
      <w:tr w:rsidR="00C8044F" w:rsidRPr="00C8044F" w14:paraId="671C4CB9" w14:textId="77777777" w:rsidTr="00824014">
        <w:trPr>
          <w:trHeight w:val="255"/>
        </w:trPr>
        <w:tc>
          <w:tcPr>
            <w:tcW w:w="2000" w:type="pct"/>
            <w:shd w:val="clear" w:color="auto" w:fill="auto"/>
            <w:noWrap/>
            <w:vAlign w:val="center"/>
            <w:hideMark/>
          </w:tcPr>
          <w:p w14:paraId="2A38D6E0"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práce, sociálnych vecí a rodiny SR </w:t>
            </w:r>
          </w:p>
        </w:tc>
        <w:tc>
          <w:tcPr>
            <w:tcW w:w="694" w:type="pct"/>
            <w:tcBorders>
              <w:top w:val="nil"/>
              <w:left w:val="nil"/>
              <w:bottom w:val="nil"/>
              <w:right w:val="nil"/>
            </w:tcBorders>
            <w:shd w:val="clear" w:color="auto" w:fill="auto"/>
            <w:noWrap/>
            <w:vAlign w:val="center"/>
            <w:hideMark/>
          </w:tcPr>
          <w:p w14:paraId="6198249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226 081</w:t>
            </w:r>
          </w:p>
        </w:tc>
        <w:tc>
          <w:tcPr>
            <w:tcW w:w="616" w:type="pct"/>
            <w:tcBorders>
              <w:top w:val="nil"/>
              <w:left w:val="nil"/>
              <w:bottom w:val="nil"/>
              <w:right w:val="nil"/>
            </w:tcBorders>
            <w:shd w:val="clear" w:color="auto" w:fill="auto"/>
            <w:noWrap/>
            <w:vAlign w:val="center"/>
            <w:hideMark/>
          </w:tcPr>
          <w:p w14:paraId="24BFBCA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226 081</w:t>
            </w:r>
          </w:p>
        </w:tc>
        <w:tc>
          <w:tcPr>
            <w:tcW w:w="616" w:type="pct"/>
            <w:tcBorders>
              <w:top w:val="nil"/>
              <w:left w:val="nil"/>
              <w:bottom w:val="nil"/>
              <w:right w:val="nil"/>
            </w:tcBorders>
            <w:shd w:val="clear" w:color="auto" w:fill="auto"/>
            <w:noWrap/>
            <w:vAlign w:val="center"/>
            <w:hideMark/>
          </w:tcPr>
          <w:p w14:paraId="6AB5DED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206 411</w:t>
            </w:r>
          </w:p>
        </w:tc>
        <w:tc>
          <w:tcPr>
            <w:tcW w:w="693" w:type="pct"/>
            <w:tcBorders>
              <w:top w:val="nil"/>
              <w:left w:val="nil"/>
              <w:bottom w:val="nil"/>
              <w:right w:val="nil"/>
            </w:tcBorders>
            <w:shd w:val="clear" w:color="auto" w:fill="auto"/>
            <w:noWrap/>
            <w:vAlign w:val="center"/>
            <w:hideMark/>
          </w:tcPr>
          <w:p w14:paraId="5E32951A"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-19 670</w:t>
            </w:r>
          </w:p>
        </w:tc>
        <w:tc>
          <w:tcPr>
            <w:tcW w:w="381" w:type="pct"/>
            <w:tcBorders>
              <w:top w:val="nil"/>
              <w:left w:val="nil"/>
              <w:bottom w:val="nil"/>
              <w:right w:val="nil"/>
            </w:tcBorders>
            <w:shd w:val="clear" w:color="auto" w:fill="auto"/>
            <w:noWrap/>
            <w:vAlign w:val="center"/>
            <w:hideMark/>
          </w:tcPr>
          <w:p w14:paraId="558EECB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91,3</w:t>
            </w:r>
          </w:p>
        </w:tc>
      </w:tr>
      <w:tr w:rsidR="00C8044F" w:rsidRPr="00C8044F" w14:paraId="66C44CA5" w14:textId="77777777" w:rsidTr="00824014">
        <w:trPr>
          <w:trHeight w:val="255"/>
        </w:trPr>
        <w:tc>
          <w:tcPr>
            <w:tcW w:w="2000" w:type="pct"/>
            <w:shd w:val="clear" w:color="auto" w:fill="auto"/>
            <w:noWrap/>
            <w:vAlign w:val="center"/>
            <w:hideMark/>
          </w:tcPr>
          <w:p w14:paraId="43B8350A"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kultúry SR        </w:t>
            </w:r>
          </w:p>
        </w:tc>
        <w:tc>
          <w:tcPr>
            <w:tcW w:w="694" w:type="pct"/>
            <w:tcBorders>
              <w:top w:val="nil"/>
              <w:left w:val="nil"/>
              <w:bottom w:val="nil"/>
              <w:right w:val="nil"/>
            </w:tcBorders>
            <w:shd w:val="clear" w:color="auto" w:fill="auto"/>
            <w:noWrap/>
            <w:vAlign w:val="center"/>
            <w:hideMark/>
          </w:tcPr>
          <w:p w14:paraId="0CD7A6B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1 500</w:t>
            </w:r>
          </w:p>
        </w:tc>
        <w:tc>
          <w:tcPr>
            <w:tcW w:w="616" w:type="pct"/>
            <w:tcBorders>
              <w:top w:val="nil"/>
              <w:left w:val="nil"/>
              <w:bottom w:val="nil"/>
              <w:right w:val="nil"/>
            </w:tcBorders>
            <w:shd w:val="clear" w:color="auto" w:fill="auto"/>
            <w:noWrap/>
            <w:vAlign w:val="center"/>
            <w:hideMark/>
          </w:tcPr>
          <w:p w14:paraId="4822708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1 500</w:t>
            </w:r>
          </w:p>
        </w:tc>
        <w:tc>
          <w:tcPr>
            <w:tcW w:w="616" w:type="pct"/>
            <w:tcBorders>
              <w:top w:val="nil"/>
              <w:left w:val="nil"/>
              <w:bottom w:val="nil"/>
              <w:right w:val="nil"/>
            </w:tcBorders>
            <w:shd w:val="clear" w:color="auto" w:fill="auto"/>
            <w:noWrap/>
            <w:vAlign w:val="center"/>
            <w:hideMark/>
          </w:tcPr>
          <w:p w14:paraId="6C44970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1 523</w:t>
            </w:r>
          </w:p>
        </w:tc>
        <w:tc>
          <w:tcPr>
            <w:tcW w:w="693" w:type="pct"/>
            <w:tcBorders>
              <w:top w:val="nil"/>
              <w:left w:val="nil"/>
              <w:bottom w:val="nil"/>
              <w:right w:val="nil"/>
            </w:tcBorders>
            <w:shd w:val="clear" w:color="auto" w:fill="auto"/>
            <w:noWrap/>
            <w:vAlign w:val="center"/>
            <w:hideMark/>
          </w:tcPr>
          <w:p w14:paraId="1E63D90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23</w:t>
            </w:r>
          </w:p>
        </w:tc>
        <w:tc>
          <w:tcPr>
            <w:tcW w:w="381" w:type="pct"/>
            <w:tcBorders>
              <w:top w:val="nil"/>
              <w:left w:val="nil"/>
              <w:bottom w:val="nil"/>
              <w:right w:val="nil"/>
            </w:tcBorders>
            <w:shd w:val="clear" w:color="auto" w:fill="auto"/>
            <w:noWrap/>
            <w:vAlign w:val="center"/>
            <w:hideMark/>
          </w:tcPr>
          <w:p w14:paraId="77893BB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101,5</w:t>
            </w:r>
          </w:p>
        </w:tc>
      </w:tr>
      <w:tr w:rsidR="00C8044F" w:rsidRPr="00C8044F" w14:paraId="20A63605" w14:textId="77777777" w:rsidTr="00824014">
        <w:trPr>
          <w:trHeight w:val="255"/>
        </w:trPr>
        <w:tc>
          <w:tcPr>
            <w:tcW w:w="2000" w:type="pct"/>
            <w:shd w:val="clear" w:color="auto" w:fill="auto"/>
            <w:noWrap/>
            <w:vAlign w:val="center"/>
            <w:hideMark/>
          </w:tcPr>
          <w:p w14:paraId="13BD3148"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hospodárstva SR   </w:t>
            </w:r>
          </w:p>
        </w:tc>
        <w:tc>
          <w:tcPr>
            <w:tcW w:w="694" w:type="pct"/>
            <w:tcBorders>
              <w:top w:val="nil"/>
              <w:left w:val="nil"/>
              <w:bottom w:val="nil"/>
              <w:right w:val="nil"/>
            </w:tcBorders>
            <w:shd w:val="clear" w:color="auto" w:fill="auto"/>
            <w:noWrap/>
            <w:vAlign w:val="center"/>
            <w:hideMark/>
          </w:tcPr>
          <w:p w14:paraId="5C185AB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283 521</w:t>
            </w:r>
          </w:p>
        </w:tc>
        <w:tc>
          <w:tcPr>
            <w:tcW w:w="616" w:type="pct"/>
            <w:tcBorders>
              <w:top w:val="nil"/>
              <w:left w:val="nil"/>
              <w:bottom w:val="nil"/>
              <w:right w:val="nil"/>
            </w:tcBorders>
            <w:shd w:val="clear" w:color="auto" w:fill="auto"/>
            <w:noWrap/>
            <w:vAlign w:val="center"/>
            <w:hideMark/>
          </w:tcPr>
          <w:p w14:paraId="2D5DFEB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283 521</w:t>
            </w:r>
          </w:p>
        </w:tc>
        <w:tc>
          <w:tcPr>
            <w:tcW w:w="616" w:type="pct"/>
            <w:tcBorders>
              <w:top w:val="nil"/>
              <w:left w:val="nil"/>
              <w:bottom w:val="nil"/>
              <w:right w:val="nil"/>
            </w:tcBorders>
            <w:shd w:val="clear" w:color="auto" w:fill="auto"/>
            <w:noWrap/>
            <w:vAlign w:val="center"/>
            <w:hideMark/>
          </w:tcPr>
          <w:p w14:paraId="0A01AE9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293 057</w:t>
            </w:r>
          </w:p>
        </w:tc>
        <w:tc>
          <w:tcPr>
            <w:tcW w:w="693" w:type="pct"/>
            <w:tcBorders>
              <w:top w:val="nil"/>
              <w:left w:val="nil"/>
              <w:bottom w:val="nil"/>
              <w:right w:val="nil"/>
            </w:tcBorders>
            <w:shd w:val="clear" w:color="auto" w:fill="auto"/>
            <w:noWrap/>
            <w:vAlign w:val="center"/>
            <w:hideMark/>
          </w:tcPr>
          <w:p w14:paraId="7D929C5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9 536</w:t>
            </w:r>
          </w:p>
        </w:tc>
        <w:tc>
          <w:tcPr>
            <w:tcW w:w="381" w:type="pct"/>
            <w:tcBorders>
              <w:top w:val="nil"/>
              <w:left w:val="nil"/>
              <w:bottom w:val="nil"/>
              <w:right w:val="nil"/>
            </w:tcBorders>
            <w:shd w:val="clear" w:color="auto" w:fill="auto"/>
            <w:noWrap/>
            <w:vAlign w:val="center"/>
            <w:hideMark/>
          </w:tcPr>
          <w:p w14:paraId="7C854B4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103,4</w:t>
            </w:r>
          </w:p>
        </w:tc>
      </w:tr>
      <w:tr w:rsidR="00C8044F" w:rsidRPr="00C8044F" w14:paraId="6A05B7BD" w14:textId="77777777" w:rsidTr="00824014">
        <w:trPr>
          <w:trHeight w:val="255"/>
        </w:trPr>
        <w:tc>
          <w:tcPr>
            <w:tcW w:w="2000" w:type="pct"/>
            <w:shd w:val="clear" w:color="auto" w:fill="auto"/>
            <w:noWrap/>
            <w:vAlign w:val="center"/>
            <w:hideMark/>
          </w:tcPr>
          <w:p w14:paraId="23731318"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pôdohospodárstva a rozvoja vidieka SR  </w:t>
            </w:r>
          </w:p>
        </w:tc>
        <w:tc>
          <w:tcPr>
            <w:tcW w:w="694" w:type="pct"/>
            <w:tcBorders>
              <w:top w:val="nil"/>
              <w:left w:val="nil"/>
              <w:bottom w:val="nil"/>
              <w:right w:val="nil"/>
            </w:tcBorders>
            <w:shd w:val="clear" w:color="auto" w:fill="auto"/>
            <w:noWrap/>
            <w:vAlign w:val="center"/>
            <w:hideMark/>
          </w:tcPr>
          <w:p w14:paraId="10B038D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866 773</w:t>
            </w:r>
          </w:p>
        </w:tc>
        <w:tc>
          <w:tcPr>
            <w:tcW w:w="616" w:type="pct"/>
            <w:tcBorders>
              <w:top w:val="nil"/>
              <w:left w:val="nil"/>
              <w:bottom w:val="nil"/>
              <w:right w:val="nil"/>
            </w:tcBorders>
            <w:shd w:val="clear" w:color="auto" w:fill="auto"/>
            <w:noWrap/>
            <w:vAlign w:val="center"/>
            <w:hideMark/>
          </w:tcPr>
          <w:p w14:paraId="53806D2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866 773</w:t>
            </w:r>
          </w:p>
        </w:tc>
        <w:tc>
          <w:tcPr>
            <w:tcW w:w="616" w:type="pct"/>
            <w:tcBorders>
              <w:top w:val="nil"/>
              <w:left w:val="nil"/>
              <w:bottom w:val="nil"/>
              <w:right w:val="nil"/>
            </w:tcBorders>
            <w:shd w:val="clear" w:color="auto" w:fill="auto"/>
            <w:noWrap/>
            <w:vAlign w:val="center"/>
            <w:hideMark/>
          </w:tcPr>
          <w:p w14:paraId="00E7AEF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382 116</w:t>
            </w:r>
          </w:p>
        </w:tc>
        <w:tc>
          <w:tcPr>
            <w:tcW w:w="693" w:type="pct"/>
            <w:tcBorders>
              <w:top w:val="nil"/>
              <w:left w:val="nil"/>
              <w:bottom w:val="nil"/>
              <w:right w:val="nil"/>
            </w:tcBorders>
            <w:shd w:val="clear" w:color="auto" w:fill="auto"/>
            <w:noWrap/>
            <w:vAlign w:val="center"/>
            <w:hideMark/>
          </w:tcPr>
          <w:p w14:paraId="532ECAC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-484 657</w:t>
            </w:r>
          </w:p>
        </w:tc>
        <w:tc>
          <w:tcPr>
            <w:tcW w:w="381" w:type="pct"/>
            <w:tcBorders>
              <w:top w:val="nil"/>
              <w:left w:val="nil"/>
              <w:bottom w:val="nil"/>
              <w:right w:val="nil"/>
            </w:tcBorders>
            <w:shd w:val="clear" w:color="auto" w:fill="auto"/>
            <w:noWrap/>
            <w:vAlign w:val="center"/>
            <w:hideMark/>
          </w:tcPr>
          <w:p w14:paraId="4526513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44,1</w:t>
            </w:r>
          </w:p>
        </w:tc>
      </w:tr>
      <w:tr w:rsidR="00C8044F" w:rsidRPr="00C8044F" w14:paraId="17DE161A" w14:textId="77777777" w:rsidTr="00824014">
        <w:trPr>
          <w:trHeight w:val="255"/>
        </w:trPr>
        <w:tc>
          <w:tcPr>
            <w:tcW w:w="2000" w:type="pct"/>
            <w:shd w:val="clear" w:color="auto" w:fill="auto"/>
            <w:noWrap/>
            <w:vAlign w:val="center"/>
            <w:hideMark/>
          </w:tcPr>
          <w:p w14:paraId="7866BFEC"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Ministerstvo dopravy, výstavby a regionálneho rozvoja SR  </w:t>
            </w:r>
          </w:p>
        </w:tc>
        <w:tc>
          <w:tcPr>
            <w:tcW w:w="694" w:type="pct"/>
            <w:tcBorders>
              <w:top w:val="nil"/>
              <w:left w:val="nil"/>
              <w:bottom w:val="nil"/>
              <w:right w:val="nil"/>
            </w:tcBorders>
            <w:shd w:val="clear" w:color="auto" w:fill="auto"/>
            <w:noWrap/>
            <w:vAlign w:val="center"/>
            <w:hideMark/>
          </w:tcPr>
          <w:p w14:paraId="18DDC10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742 982</w:t>
            </w:r>
          </w:p>
        </w:tc>
        <w:tc>
          <w:tcPr>
            <w:tcW w:w="616" w:type="pct"/>
            <w:tcBorders>
              <w:top w:val="nil"/>
              <w:left w:val="nil"/>
              <w:bottom w:val="nil"/>
              <w:right w:val="nil"/>
            </w:tcBorders>
            <w:shd w:val="clear" w:color="auto" w:fill="auto"/>
            <w:noWrap/>
            <w:vAlign w:val="center"/>
            <w:hideMark/>
          </w:tcPr>
          <w:p w14:paraId="0E4268B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742 982</w:t>
            </w:r>
          </w:p>
        </w:tc>
        <w:tc>
          <w:tcPr>
            <w:tcW w:w="616" w:type="pct"/>
            <w:tcBorders>
              <w:top w:val="nil"/>
              <w:left w:val="nil"/>
              <w:bottom w:val="nil"/>
              <w:right w:val="nil"/>
            </w:tcBorders>
            <w:shd w:val="clear" w:color="auto" w:fill="auto"/>
            <w:noWrap/>
            <w:vAlign w:val="center"/>
            <w:hideMark/>
          </w:tcPr>
          <w:p w14:paraId="24B8A33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591 889</w:t>
            </w:r>
          </w:p>
        </w:tc>
        <w:tc>
          <w:tcPr>
            <w:tcW w:w="693" w:type="pct"/>
            <w:tcBorders>
              <w:top w:val="nil"/>
              <w:left w:val="nil"/>
              <w:bottom w:val="nil"/>
              <w:right w:val="nil"/>
            </w:tcBorders>
            <w:shd w:val="clear" w:color="auto" w:fill="auto"/>
            <w:noWrap/>
            <w:vAlign w:val="center"/>
            <w:hideMark/>
          </w:tcPr>
          <w:p w14:paraId="5A59D07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-151 093</w:t>
            </w:r>
          </w:p>
        </w:tc>
        <w:tc>
          <w:tcPr>
            <w:tcW w:w="381" w:type="pct"/>
            <w:tcBorders>
              <w:top w:val="nil"/>
              <w:left w:val="nil"/>
              <w:bottom w:val="nil"/>
              <w:right w:val="nil"/>
            </w:tcBorders>
            <w:shd w:val="clear" w:color="auto" w:fill="auto"/>
            <w:noWrap/>
            <w:vAlign w:val="center"/>
            <w:hideMark/>
          </w:tcPr>
          <w:p w14:paraId="42A03A0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79,7</w:t>
            </w:r>
          </w:p>
        </w:tc>
      </w:tr>
      <w:tr w:rsidR="00C8044F" w:rsidRPr="00C8044F" w14:paraId="03F4D7AD" w14:textId="77777777" w:rsidTr="00824014">
        <w:trPr>
          <w:trHeight w:val="255"/>
        </w:trPr>
        <w:tc>
          <w:tcPr>
            <w:tcW w:w="2000" w:type="pct"/>
            <w:shd w:val="clear" w:color="auto" w:fill="auto"/>
            <w:noWrap/>
            <w:vAlign w:val="center"/>
            <w:hideMark/>
          </w:tcPr>
          <w:p w14:paraId="3E029FD7"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Úrad geodézie, kartografie a katastra SR</w:t>
            </w:r>
          </w:p>
        </w:tc>
        <w:tc>
          <w:tcPr>
            <w:tcW w:w="694" w:type="pct"/>
            <w:tcBorders>
              <w:top w:val="nil"/>
              <w:left w:val="nil"/>
              <w:bottom w:val="nil"/>
              <w:right w:val="nil"/>
            </w:tcBorders>
            <w:shd w:val="clear" w:color="auto" w:fill="auto"/>
            <w:noWrap/>
            <w:vAlign w:val="center"/>
            <w:hideMark/>
          </w:tcPr>
          <w:p w14:paraId="05BABE05"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230</w:t>
            </w:r>
          </w:p>
        </w:tc>
        <w:tc>
          <w:tcPr>
            <w:tcW w:w="616" w:type="pct"/>
            <w:tcBorders>
              <w:top w:val="nil"/>
              <w:left w:val="nil"/>
              <w:bottom w:val="nil"/>
              <w:right w:val="nil"/>
            </w:tcBorders>
            <w:shd w:val="clear" w:color="auto" w:fill="auto"/>
            <w:noWrap/>
            <w:vAlign w:val="center"/>
            <w:hideMark/>
          </w:tcPr>
          <w:p w14:paraId="6818812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230</w:t>
            </w:r>
          </w:p>
        </w:tc>
        <w:tc>
          <w:tcPr>
            <w:tcW w:w="616" w:type="pct"/>
            <w:tcBorders>
              <w:top w:val="nil"/>
              <w:left w:val="nil"/>
              <w:bottom w:val="nil"/>
              <w:right w:val="nil"/>
            </w:tcBorders>
            <w:shd w:val="clear" w:color="auto" w:fill="auto"/>
            <w:noWrap/>
            <w:vAlign w:val="center"/>
            <w:hideMark/>
          </w:tcPr>
          <w:p w14:paraId="0F1FD65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245</w:t>
            </w:r>
          </w:p>
        </w:tc>
        <w:tc>
          <w:tcPr>
            <w:tcW w:w="693" w:type="pct"/>
            <w:tcBorders>
              <w:top w:val="nil"/>
              <w:left w:val="nil"/>
              <w:bottom w:val="nil"/>
              <w:right w:val="nil"/>
            </w:tcBorders>
            <w:shd w:val="clear" w:color="auto" w:fill="auto"/>
            <w:noWrap/>
            <w:vAlign w:val="center"/>
            <w:hideMark/>
          </w:tcPr>
          <w:p w14:paraId="536E964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15</w:t>
            </w:r>
          </w:p>
        </w:tc>
        <w:tc>
          <w:tcPr>
            <w:tcW w:w="381" w:type="pct"/>
            <w:tcBorders>
              <w:top w:val="nil"/>
              <w:left w:val="nil"/>
              <w:bottom w:val="nil"/>
              <w:right w:val="nil"/>
            </w:tcBorders>
            <w:shd w:val="clear" w:color="auto" w:fill="auto"/>
            <w:noWrap/>
            <w:vAlign w:val="center"/>
            <w:hideMark/>
          </w:tcPr>
          <w:p w14:paraId="5488175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106,5</w:t>
            </w:r>
          </w:p>
        </w:tc>
      </w:tr>
      <w:tr w:rsidR="00C8044F" w:rsidRPr="00C8044F" w14:paraId="26C326B5" w14:textId="77777777" w:rsidTr="00824014">
        <w:trPr>
          <w:trHeight w:val="255"/>
        </w:trPr>
        <w:tc>
          <w:tcPr>
            <w:tcW w:w="2000" w:type="pct"/>
            <w:shd w:val="clear" w:color="auto" w:fill="auto"/>
            <w:noWrap/>
            <w:vAlign w:val="center"/>
            <w:hideMark/>
          </w:tcPr>
          <w:p w14:paraId="6302C49D"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Štatistický úrad SR            </w:t>
            </w:r>
          </w:p>
        </w:tc>
        <w:tc>
          <w:tcPr>
            <w:tcW w:w="694" w:type="pct"/>
            <w:tcBorders>
              <w:top w:val="nil"/>
              <w:left w:val="nil"/>
              <w:bottom w:val="nil"/>
              <w:right w:val="nil"/>
            </w:tcBorders>
            <w:shd w:val="clear" w:color="auto" w:fill="auto"/>
            <w:noWrap/>
            <w:vAlign w:val="center"/>
            <w:hideMark/>
          </w:tcPr>
          <w:p w14:paraId="7C3DA0C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90</w:t>
            </w:r>
          </w:p>
        </w:tc>
        <w:tc>
          <w:tcPr>
            <w:tcW w:w="616" w:type="pct"/>
            <w:tcBorders>
              <w:top w:val="nil"/>
              <w:left w:val="nil"/>
              <w:bottom w:val="nil"/>
              <w:right w:val="nil"/>
            </w:tcBorders>
            <w:shd w:val="clear" w:color="auto" w:fill="auto"/>
            <w:noWrap/>
            <w:vAlign w:val="center"/>
            <w:hideMark/>
          </w:tcPr>
          <w:p w14:paraId="634E327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90</w:t>
            </w:r>
          </w:p>
        </w:tc>
        <w:tc>
          <w:tcPr>
            <w:tcW w:w="616" w:type="pct"/>
            <w:tcBorders>
              <w:top w:val="nil"/>
              <w:left w:val="nil"/>
              <w:bottom w:val="nil"/>
              <w:right w:val="nil"/>
            </w:tcBorders>
            <w:shd w:val="clear" w:color="auto" w:fill="auto"/>
            <w:noWrap/>
            <w:vAlign w:val="center"/>
            <w:hideMark/>
          </w:tcPr>
          <w:p w14:paraId="49F3957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458</w:t>
            </w:r>
          </w:p>
        </w:tc>
        <w:tc>
          <w:tcPr>
            <w:tcW w:w="693" w:type="pct"/>
            <w:tcBorders>
              <w:top w:val="nil"/>
              <w:left w:val="nil"/>
              <w:bottom w:val="nil"/>
              <w:right w:val="nil"/>
            </w:tcBorders>
            <w:shd w:val="clear" w:color="auto" w:fill="auto"/>
            <w:noWrap/>
            <w:vAlign w:val="center"/>
            <w:hideMark/>
          </w:tcPr>
          <w:p w14:paraId="20B8D41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368</w:t>
            </w:r>
          </w:p>
        </w:tc>
        <w:tc>
          <w:tcPr>
            <w:tcW w:w="381" w:type="pct"/>
            <w:tcBorders>
              <w:top w:val="nil"/>
              <w:left w:val="nil"/>
              <w:bottom w:val="nil"/>
              <w:right w:val="nil"/>
            </w:tcBorders>
            <w:shd w:val="clear" w:color="auto" w:fill="auto"/>
            <w:noWrap/>
            <w:vAlign w:val="center"/>
            <w:hideMark/>
          </w:tcPr>
          <w:p w14:paraId="6DAD272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508,9</w:t>
            </w:r>
          </w:p>
        </w:tc>
      </w:tr>
      <w:tr w:rsidR="00C8044F" w:rsidRPr="00C8044F" w14:paraId="6266DAD6" w14:textId="77777777" w:rsidTr="00824014">
        <w:trPr>
          <w:trHeight w:val="255"/>
        </w:trPr>
        <w:tc>
          <w:tcPr>
            <w:tcW w:w="2000" w:type="pct"/>
            <w:shd w:val="clear" w:color="auto" w:fill="auto"/>
            <w:noWrap/>
            <w:vAlign w:val="center"/>
            <w:hideMark/>
          </w:tcPr>
          <w:p w14:paraId="27B0C233"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Úrad pre verejné obstarávanie </w:t>
            </w:r>
          </w:p>
        </w:tc>
        <w:tc>
          <w:tcPr>
            <w:tcW w:w="694" w:type="pct"/>
            <w:tcBorders>
              <w:top w:val="nil"/>
              <w:left w:val="nil"/>
              <w:bottom w:val="nil"/>
              <w:right w:val="nil"/>
            </w:tcBorders>
            <w:shd w:val="clear" w:color="auto" w:fill="auto"/>
            <w:noWrap/>
            <w:vAlign w:val="center"/>
            <w:hideMark/>
          </w:tcPr>
          <w:p w14:paraId="4316ED3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1 000</w:t>
            </w:r>
          </w:p>
        </w:tc>
        <w:tc>
          <w:tcPr>
            <w:tcW w:w="616" w:type="pct"/>
            <w:tcBorders>
              <w:top w:val="nil"/>
              <w:left w:val="nil"/>
              <w:bottom w:val="nil"/>
              <w:right w:val="nil"/>
            </w:tcBorders>
            <w:shd w:val="clear" w:color="auto" w:fill="auto"/>
            <w:noWrap/>
            <w:vAlign w:val="center"/>
            <w:hideMark/>
          </w:tcPr>
          <w:p w14:paraId="6196B31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1 000</w:t>
            </w:r>
          </w:p>
        </w:tc>
        <w:tc>
          <w:tcPr>
            <w:tcW w:w="616" w:type="pct"/>
            <w:tcBorders>
              <w:top w:val="nil"/>
              <w:left w:val="nil"/>
              <w:bottom w:val="nil"/>
              <w:right w:val="nil"/>
            </w:tcBorders>
            <w:shd w:val="clear" w:color="auto" w:fill="auto"/>
            <w:noWrap/>
            <w:vAlign w:val="center"/>
            <w:hideMark/>
          </w:tcPr>
          <w:p w14:paraId="6D6152F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2 785</w:t>
            </w:r>
          </w:p>
        </w:tc>
        <w:tc>
          <w:tcPr>
            <w:tcW w:w="693" w:type="pct"/>
            <w:tcBorders>
              <w:top w:val="nil"/>
              <w:left w:val="nil"/>
              <w:bottom w:val="nil"/>
              <w:right w:val="nil"/>
            </w:tcBorders>
            <w:shd w:val="clear" w:color="auto" w:fill="auto"/>
            <w:noWrap/>
            <w:vAlign w:val="center"/>
            <w:hideMark/>
          </w:tcPr>
          <w:p w14:paraId="49B8D73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1 785</w:t>
            </w:r>
          </w:p>
        </w:tc>
        <w:tc>
          <w:tcPr>
            <w:tcW w:w="381" w:type="pct"/>
            <w:tcBorders>
              <w:top w:val="nil"/>
              <w:left w:val="nil"/>
              <w:bottom w:val="nil"/>
              <w:right w:val="nil"/>
            </w:tcBorders>
            <w:shd w:val="clear" w:color="auto" w:fill="auto"/>
            <w:noWrap/>
            <w:vAlign w:val="center"/>
            <w:hideMark/>
          </w:tcPr>
          <w:p w14:paraId="53258B8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278,5</w:t>
            </w:r>
          </w:p>
        </w:tc>
      </w:tr>
      <w:tr w:rsidR="00C8044F" w:rsidRPr="00C8044F" w14:paraId="0133A948" w14:textId="77777777" w:rsidTr="00824014">
        <w:trPr>
          <w:trHeight w:val="255"/>
        </w:trPr>
        <w:tc>
          <w:tcPr>
            <w:tcW w:w="2000" w:type="pct"/>
            <w:shd w:val="clear" w:color="auto" w:fill="auto"/>
            <w:noWrap/>
            <w:vAlign w:val="center"/>
            <w:hideMark/>
          </w:tcPr>
          <w:p w14:paraId="1EE63C4E"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Úrad pre reguláciu sieťových  odvetví</w:t>
            </w:r>
          </w:p>
        </w:tc>
        <w:tc>
          <w:tcPr>
            <w:tcW w:w="694" w:type="pct"/>
            <w:tcBorders>
              <w:top w:val="nil"/>
              <w:left w:val="nil"/>
              <w:bottom w:val="nil"/>
              <w:right w:val="nil"/>
            </w:tcBorders>
            <w:shd w:val="clear" w:color="auto" w:fill="auto"/>
            <w:noWrap/>
            <w:vAlign w:val="center"/>
            <w:hideMark/>
          </w:tcPr>
          <w:p w14:paraId="01A439C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300</w:t>
            </w:r>
          </w:p>
        </w:tc>
        <w:tc>
          <w:tcPr>
            <w:tcW w:w="616" w:type="pct"/>
            <w:tcBorders>
              <w:top w:val="nil"/>
              <w:left w:val="nil"/>
              <w:bottom w:val="nil"/>
              <w:right w:val="nil"/>
            </w:tcBorders>
            <w:shd w:val="clear" w:color="auto" w:fill="auto"/>
            <w:noWrap/>
            <w:vAlign w:val="center"/>
            <w:hideMark/>
          </w:tcPr>
          <w:p w14:paraId="14495F0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300</w:t>
            </w:r>
          </w:p>
        </w:tc>
        <w:tc>
          <w:tcPr>
            <w:tcW w:w="616" w:type="pct"/>
            <w:tcBorders>
              <w:top w:val="nil"/>
              <w:left w:val="nil"/>
              <w:bottom w:val="nil"/>
              <w:right w:val="nil"/>
            </w:tcBorders>
            <w:shd w:val="clear" w:color="auto" w:fill="auto"/>
            <w:noWrap/>
            <w:vAlign w:val="center"/>
            <w:hideMark/>
          </w:tcPr>
          <w:p w14:paraId="5DCFAAA5"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303</w:t>
            </w:r>
          </w:p>
        </w:tc>
        <w:tc>
          <w:tcPr>
            <w:tcW w:w="693" w:type="pct"/>
            <w:tcBorders>
              <w:top w:val="nil"/>
              <w:left w:val="nil"/>
              <w:bottom w:val="nil"/>
              <w:right w:val="nil"/>
            </w:tcBorders>
            <w:shd w:val="clear" w:color="auto" w:fill="auto"/>
            <w:noWrap/>
            <w:vAlign w:val="center"/>
            <w:hideMark/>
          </w:tcPr>
          <w:p w14:paraId="02D2612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w:t>
            </w:r>
          </w:p>
        </w:tc>
        <w:tc>
          <w:tcPr>
            <w:tcW w:w="381" w:type="pct"/>
            <w:tcBorders>
              <w:top w:val="nil"/>
              <w:left w:val="nil"/>
              <w:bottom w:val="nil"/>
              <w:right w:val="nil"/>
            </w:tcBorders>
            <w:shd w:val="clear" w:color="auto" w:fill="auto"/>
            <w:noWrap/>
            <w:vAlign w:val="center"/>
            <w:hideMark/>
          </w:tcPr>
          <w:p w14:paraId="5BE527C5"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101,0</w:t>
            </w:r>
          </w:p>
        </w:tc>
      </w:tr>
      <w:tr w:rsidR="00C8044F" w:rsidRPr="00C8044F" w14:paraId="141E1322" w14:textId="77777777" w:rsidTr="00824014">
        <w:trPr>
          <w:trHeight w:val="255"/>
        </w:trPr>
        <w:tc>
          <w:tcPr>
            <w:tcW w:w="2000" w:type="pct"/>
            <w:shd w:val="clear" w:color="auto" w:fill="auto"/>
            <w:noWrap/>
            <w:vAlign w:val="center"/>
            <w:hideMark/>
          </w:tcPr>
          <w:p w14:paraId="35F1EB2D"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Úrad jadrového dozoru SR       </w:t>
            </w:r>
          </w:p>
        </w:tc>
        <w:tc>
          <w:tcPr>
            <w:tcW w:w="694" w:type="pct"/>
            <w:tcBorders>
              <w:top w:val="nil"/>
              <w:left w:val="nil"/>
              <w:bottom w:val="nil"/>
              <w:right w:val="nil"/>
            </w:tcBorders>
            <w:shd w:val="clear" w:color="auto" w:fill="auto"/>
            <w:noWrap/>
            <w:vAlign w:val="center"/>
            <w:hideMark/>
          </w:tcPr>
          <w:p w14:paraId="1CD7E3C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10 756</w:t>
            </w:r>
          </w:p>
        </w:tc>
        <w:tc>
          <w:tcPr>
            <w:tcW w:w="616" w:type="pct"/>
            <w:tcBorders>
              <w:top w:val="nil"/>
              <w:left w:val="nil"/>
              <w:bottom w:val="nil"/>
              <w:right w:val="nil"/>
            </w:tcBorders>
            <w:shd w:val="clear" w:color="auto" w:fill="auto"/>
            <w:noWrap/>
            <w:vAlign w:val="center"/>
            <w:hideMark/>
          </w:tcPr>
          <w:p w14:paraId="214A4B1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10 756</w:t>
            </w:r>
          </w:p>
        </w:tc>
        <w:tc>
          <w:tcPr>
            <w:tcW w:w="616" w:type="pct"/>
            <w:tcBorders>
              <w:top w:val="nil"/>
              <w:left w:val="nil"/>
              <w:bottom w:val="nil"/>
              <w:right w:val="nil"/>
            </w:tcBorders>
            <w:shd w:val="clear" w:color="auto" w:fill="auto"/>
            <w:noWrap/>
            <w:vAlign w:val="center"/>
            <w:hideMark/>
          </w:tcPr>
          <w:p w14:paraId="3A2EBC1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9 206</w:t>
            </w:r>
          </w:p>
        </w:tc>
        <w:tc>
          <w:tcPr>
            <w:tcW w:w="693" w:type="pct"/>
            <w:tcBorders>
              <w:top w:val="nil"/>
              <w:left w:val="nil"/>
              <w:bottom w:val="nil"/>
              <w:right w:val="nil"/>
            </w:tcBorders>
            <w:shd w:val="clear" w:color="auto" w:fill="auto"/>
            <w:noWrap/>
            <w:vAlign w:val="center"/>
            <w:hideMark/>
          </w:tcPr>
          <w:p w14:paraId="2DF2B44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-1 550</w:t>
            </w:r>
          </w:p>
        </w:tc>
        <w:tc>
          <w:tcPr>
            <w:tcW w:w="381" w:type="pct"/>
            <w:tcBorders>
              <w:top w:val="nil"/>
              <w:left w:val="nil"/>
              <w:bottom w:val="nil"/>
              <w:right w:val="nil"/>
            </w:tcBorders>
            <w:shd w:val="clear" w:color="auto" w:fill="auto"/>
            <w:noWrap/>
            <w:vAlign w:val="center"/>
            <w:hideMark/>
          </w:tcPr>
          <w:p w14:paraId="52FB775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85,6</w:t>
            </w:r>
          </w:p>
        </w:tc>
      </w:tr>
      <w:tr w:rsidR="00C8044F" w:rsidRPr="00C8044F" w14:paraId="0091BB3E" w14:textId="77777777" w:rsidTr="00824014">
        <w:trPr>
          <w:trHeight w:val="255"/>
        </w:trPr>
        <w:tc>
          <w:tcPr>
            <w:tcW w:w="2000" w:type="pct"/>
            <w:shd w:val="clear" w:color="auto" w:fill="auto"/>
            <w:noWrap/>
            <w:vAlign w:val="center"/>
            <w:hideMark/>
          </w:tcPr>
          <w:p w14:paraId="60D0C09D"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Úrad priemyselného vlastníctva SR      </w:t>
            </w:r>
          </w:p>
        </w:tc>
        <w:tc>
          <w:tcPr>
            <w:tcW w:w="694" w:type="pct"/>
            <w:tcBorders>
              <w:top w:val="nil"/>
              <w:left w:val="nil"/>
              <w:bottom w:val="nil"/>
              <w:right w:val="nil"/>
            </w:tcBorders>
            <w:shd w:val="clear" w:color="auto" w:fill="auto"/>
            <w:noWrap/>
            <w:vAlign w:val="center"/>
            <w:hideMark/>
          </w:tcPr>
          <w:p w14:paraId="437A28E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3 300</w:t>
            </w:r>
          </w:p>
        </w:tc>
        <w:tc>
          <w:tcPr>
            <w:tcW w:w="616" w:type="pct"/>
            <w:tcBorders>
              <w:top w:val="nil"/>
              <w:left w:val="nil"/>
              <w:bottom w:val="nil"/>
              <w:right w:val="nil"/>
            </w:tcBorders>
            <w:shd w:val="clear" w:color="auto" w:fill="auto"/>
            <w:noWrap/>
            <w:vAlign w:val="center"/>
            <w:hideMark/>
          </w:tcPr>
          <w:p w14:paraId="407F953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3 300</w:t>
            </w:r>
          </w:p>
        </w:tc>
        <w:tc>
          <w:tcPr>
            <w:tcW w:w="616" w:type="pct"/>
            <w:tcBorders>
              <w:top w:val="nil"/>
              <w:left w:val="nil"/>
              <w:bottom w:val="nil"/>
              <w:right w:val="nil"/>
            </w:tcBorders>
            <w:shd w:val="clear" w:color="auto" w:fill="auto"/>
            <w:noWrap/>
            <w:vAlign w:val="center"/>
            <w:hideMark/>
          </w:tcPr>
          <w:p w14:paraId="798BFF0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3 981</w:t>
            </w:r>
          </w:p>
        </w:tc>
        <w:tc>
          <w:tcPr>
            <w:tcW w:w="693" w:type="pct"/>
            <w:tcBorders>
              <w:top w:val="nil"/>
              <w:left w:val="nil"/>
              <w:bottom w:val="nil"/>
              <w:right w:val="nil"/>
            </w:tcBorders>
            <w:shd w:val="clear" w:color="auto" w:fill="auto"/>
            <w:noWrap/>
            <w:vAlign w:val="center"/>
            <w:hideMark/>
          </w:tcPr>
          <w:p w14:paraId="0AC465A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681</w:t>
            </w:r>
          </w:p>
        </w:tc>
        <w:tc>
          <w:tcPr>
            <w:tcW w:w="381" w:type="pct"/>
            <w:tcBorders>
              <w:top w:val="nil"/>
              <w:left w:val="nil"/>
              <w:bottom w:val="nil"/>
              <w:right w:val="nil"/>
            </w:tcBorders>
            <w:shd w:val="clear" w:color="auto" w:fill="auto"/>
            <w:noWrap/>
            <w:vAlign w:val="center"/>
            <w:hideMark/>
          </w:tcPr>
          <w:p w14:paraId="2B7D4A2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120,6</w:t>
            </w:r>
          </w:p>
        </w:tc>
      </w:tr>
      <w:tr w:rsidR="00C8044F" w:rsidRPr="00C8044F" w14:paraId="313F53DC" w14:textId="77777777" w:rsidTr="00824014">
        <w:trPr>
          <w:trHeight w:val="255"/>
        </w:trPr>
        <w:tc>
          <w:tcPr>
            <w:tcW w:w="2000" w:type="pct"/>
            <w:shd w:val="clear" w:color="auto" w:fill="auto"/>
            <w:noWrap/>
            <w:vAlign w:val="center"/>
            <w:hideMark/>
          </w:tcPr>
          <w:p w14:paraId="71C8F889" w14:textId="77777777" w:rsidR="00C8044F" w:rsidRPr="00C8044F" w:rsidRDefault="00C8044F" w:rsidP="00824014">
            <w:pPr>
              <w:spacing w:after="0" w:line="240" w:lineRule="auto"/>
              <w:ind w:right="-207"/>
              <w:jc w:val="left"/>
              <w:rPr>
                <w:rFonts w:eastAsia="Calibri" w:cs="Segoe UI"/>
                <w:sz w:val="18"/>
                <w:szCs w:val="18"/>
              </w:rPr>
            </w:pPr>
            <w:r w:rsidRPr="00C8044F">
              <w:rPr>
                <w:rFonts w:eastAsia="Calibri" w:cs="Segoe UI"/>
                <w:sz w:val="18"/>
                <w:szCs w:val="18"/>
              </w:rPr>
              <w:t>Úrad pre normalizáciu, metrológiu a skúšobníctvo SR</w:t>
            </w:r>
          </w:p>
        </w:tc>
        <w:tc>
          <w:tcPr>
            <w:tcW w:w="694" w:type="pct"/>
            <w:tcBorders>
              <w:top w:val="nil"/>
              <w:left w:val="nil"/>
              <w:bottom w:val="nil"/>
              <w:right w:val="nil"/>
            </w:tcBorders>
            <w:shd w:val="clear" w:color="auto" w:fill="auto"/>
            <w:noWrap/>
            <w:vAlign w:val="center"/>
            <w:hideMark/>
          </w:tcPr>
          <w:p w14:paraId="45F396C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1 000</w:t>
            </w:r>
          </w:p>
        </w:tc>
        <w:tc>
          <w:tcPr>
            <w:tcW w:w="616" w:type="pct"/>
            <w:tcBorders>
              <w:top w:val="nil"/>
              <w:left w:val="nil"/>
              <w:bottom w:val="nil"/>
              <w:right w:val="nil"/>
            </w:tcBorders>
            <w:shd w:val="clear" w:color="auto" w:fill="auto"/>
            <w:noWrap/>
            <w:vAlign w:val="center"/>
            <w:hideMark/>
          </w:tcPr>
          <w:p w14:paraId="2CEB609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1 000</w:t>
            </w:r>
          </w:p>
        </w:tc>
        <w:tc>
          <w:tcPr>
            <w:tcW w:w="616" w:type="pct"/>
            <w:tcBorders>
              <w:top w:val="nil"/>
              <w:left w:val="nil"/>
              <w:bottom w:val="nil"/>
              <w:right w:val="nil"/>
            </w:tcBorders>
            <w:shd w:val="clear" w:color="auto" w:fill="auto"/>
            <w:noWrap/>
            <w:vAlign w:val="center"/>
            <w:hideMark/>
          </w:tcPr>
          <w:p w14:paraId="5CE4C7E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1 165</w:t>
            </w:r>
          </w:p>
        </w:tc>
        <w:tc>
          <w:tcPr>
            <w:tcW w:w="693" w:type="pct"/>
            <w:tcBorders>
              <w:top w:val="nil"/>
              <w:left w:val="nil"/>
              <w:bottom w:val="nil"/>
              <w:right w:val="nil"/>
            </w:tcBorders>
            <w:shd w:val="clear" w:color="auto" w:fill="auto"/>
            <w:noWrap/>
            <w:vAlign w:val="center"/>
            <w:hideMark/>
          </w:tcPr>
          <w:p w14:paraId="4FD60DA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165</w:t>
            </w:r>
          </w:p>
        </w:tc>
        <w:tc>
          <w:tcPr>
            <w:tcW w:w="381" w:type="pct"/>
            <w:tcBorders>
              <w:top w:val="nil"/>
              <w:left w:val="nil"/>
              <w:bottom w:val="nil"/>
              <w:right w:val="nil"/>
            </w:tcBorders>
            <w:shd w:val="clear" w:color="auto" w:fill="auto"/>
            <w:noWrap/>
            <w:vAlign w:val="center"/>
            <w:hideMark/>
          </w:tcPr>
          <w:p w14:paraId="61D7DCD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116,5</w:t>
            </w:r>
          </w:p>
        </w:tc>
      </w:tr>
      <w:tr w:rsidR="00C8044F" w:rsidRPr="00C8044F" w14:paraId="498E58D0" w14:textId="77777777" w:rsidTr="00824014">
        <w:trPr>
          <w:trHeight w:val="255"/>
        </w:trPr>
        <w:tc>
          <w:tcPr>
            <w:tcW w:w="2000" w:type="pct"/>
            <w:shd w:val="clear" w:color="auto" w:fill="auto"/>
            <w:noWrap/>
            <w:vAlign w:val="center"/>
            <w:hideMark/>
          </w:tcPr>
          <w:p w14:paraId="6580E427"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Protimonopolný úrad SR         </w:t>
            </w:r>
          </w:p>
        </w:tc>
        <w:tc>
          <w:tcPr>
            <w:tcW w:w="694" w:type="pct"/>
            <w:tcBorders>
              <w:top w:val="nil"/>
              <w:left w:val="nil"/>
              <w:bottom w:val="nil"/>
              <w:right w:val="nil"/>
            </w:tcBorders>
            <w:shd w:val="clear" w:color="auto" w:fill="auto"/>
            <w:noWrap/>
            <w:vAlign w:val="center"/>
            <w:hideMark/>
          </w:tcPr>
          <w:p w14:paraId="1CBDA61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1 000</w:t>
            </w:r>
          </w:p>
        </w:tc>
        <w:tc>
          <w:tcPr>
            <w:tcW w:w="616" w:type="pct"/>
            <w:tcBorders>
              <w:top w:val="nil"/>
              <w:left w:val="nil"/>
              <w:bottom w:val="nil"/>
              <w:right w:val="nil"/>
            </w:tcBorders>
            <w:shd w:val="clear" w:color="auto" w:fill="auto"/>
            <w:noWrap/>
            <w:vAlign w:val="center"/>
            <w:hideMark/>
          </w:tcPr>
          <w:p w14:paraId="3299150C"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1 000</w:t>
            </w:r>
          </w:p>
        </w:tc>
        <w:tc>
          <w:tcPr>
            <w:tcW w:w="616" w:type="pct"/>
            <w:tcBorders>
              <w:top w:val="nil"/>
              <w:left w:val="nil"/>
              <w:bottom w:val="nil"/>
              <w:right w:val="nil"/>
            </w:tcBorders>
            <w:shd w:val="clear" w:color="auto" w:fill="auto"/>
            <w:noWrap/>
            <w:vAlign w:val="center"/>
            <w:hideMark/>
          </w:tcPr>
          <w:p w14:paraId="35C947A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1 412</w:t>
            </w:r>
          </w:p>
        </w:tc>
        <w:tc>
          <w:tcPr>
            <w:tcW w:w="693" w:type="pct"/>
            <w:tcBorders>
              <w:top w:val="nil"/>
              <w:left w:val="nil"/>
              <w:bottom w:val="nil"/>
              <w:right w:val="nil"/>
            </w:tcBorders>
            <w:shd w:val="clear" w:color="auto" w:fill="auto"/>
            <w:noWrap/>
            <w:vAlign w:val="center"/>
            <w:hideMark/>
          </w:tcPr>
          <w:p w14:paraId="05CE806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412</w:t>
            </w:r>
          </w:p>
        </w:tc>
        <w:tc>
          <w:tcPr>
            <w:tcW w:w="381" w:type="pct"/>
            <w:tcBorders>
              <w:top w:val="nil"/>
              <w:left w:val="nil"/>
              <w:bottom w:val="nil"/>
              <w:right w:val="nil"/>
            </w:tcBorders>
            <w:shd w:val="clear" w:color="auto" w:fill="auto"/>
            <w:noWrap/>
            <w:vAlign w:val="center"/>
            <w:hideMark/>
          </w:tcPr>
          <w:p w14:paraId="5E21964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141,2</w:t>
            </w:r>
          </w:p>
        </w:tc>
      </w:tr>
      <w:tr w:rsidR="00C8044F" w:rsidRPr="00C8044F" w14:paraId="4DFA641D" w14:textId="77777777" w:rsidTr="00824014">
        <w:trPr>
          <w:trHeight w:val="255"/>
        </w:trPr>
        <w:tc>
          <w:tcPr>
            <w:tcW w:w="2000" w:type="pct"/>
            <w:shd w:val="clear" w:color="auto" w:fill="auto"/>
            <w:noWrap/>
            <w:vAlign w:val="center"/>
            <w:hideMark/>
          </w:tcPr>
          <w:p w14:paraId="74F2008C"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Národný bezpečnostný úrad </w:t>
            </w:r>
          </w:p>
        </w:tc>
        <w:tc>
          <w:tcPr>
            <w:tcW w:w="694" w:type="pct"/>
            <w:tcBorders>
              <w:top w:val="nil"/>
              <w:left w:val="nil"/>
              <w:bottom w:val="nil"/>
              <w:right w:val="nil"/>
            </w:tcBorders>
            <w:shd w:val="clear" w:color="auto" w:fill="auto"/>
            <w:noWrap/>
            <w:vAlign w:val="center"/>
            <w:hideMark/>
          </w:tcPr>
          <w:p w14:paraId="030BE4AA"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22</w:t>
            </w:r>
          </w:p>
        </w:tc>
        <w:tc>
          <w:tcPr>
            <w:tcW w:w="616" w:type="pct"/>
            <w:tcBorders>
              <w:top w:val="nil"/>
              <w:left w:val="nil"/>
              <w:bottom w:val="nil"/>
              <w:right w:val="nil"/>
            </w:tcBorders>
            <w:shd w:val="clear" w:color="auto" w:fill="auto"/>
            <w:noWrap/>
            <w:vAlign w:val="center"/>
            <w:hideMark/>
          </w:tcPr>
          <w:p w14:paraId="7A4FED2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22</w:t>
            </w:r>
          </w:p>
        </w:tc>
        <w:tc>
          <w:tcPr>
            <w:tcW w:w="616" w:type="pct"/>
            <w:tcBorders>
              <w:top w:val="nil"/>
              <w:left w:val="nil"/>
              <w:bottom w:val="nil"/>
              <w:right w:val="nil"/>
            </w:tcBorders>
            <w:shd w:val="clear" w:color="auto" w:fill="auto"/>
            <w:noWrap/>
            <w:vAlign w:val="center"/>
            <w:hideMark/>
          </w:tcPr>
          <w:p w14:paraId="6749CF2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41</w:t>
            </w:r>
          </w:p>
        </w:tc>
        <w:tc>
          <w:tcPr>
            <w:tcW w:w="693" w:type="pct"/>
            <w:tcBorders>
              <w:top w:val="nil"/>
              <w:left w:val="nil"/>
              <w:bottom w:val="nil"/>
              <w:right w:val="nil"/>
            </w:tcBorders>
            <w:shd w:val="clear" w:color="auto" w:fill="auto"/>
            <w:noWrap/>
            <w:vAlign w:val="center"/>
            <w:hideMark/>
          </w:tcPr>
          <w:p w14:paraId="159C0D5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19</w:t>
            </w:r>
          </w:p>
        </w:tc>
        <w:tc>
          <w:tcPr>
            <w:tcW w:w="381" w:type="pct"/>
            <w:tcBorders>
              <w:top w:val="nil"/>
              <w:left w:val="nil"/>
              <w:bottom w:val="nil"/>
              <w:right w:val="nil"/>
            </w:tcBorders>
            <w:shd w:val="clear" w:color="auto" w:fill="auto"/>
            <w:noWrap/>
            <w:vAlign w:val="center"/>
            <w:hideMark/>
          </w:tcPr>
          <w:p w14:paraId="1EB9839A"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186,4</w:t>
            </w:r>
          </w:p>
        </w:tc>
      </w:tr>
      <w:tr w:rsidR="00C8044F" w:rsidRPr="00C8044F" w14:paraId="4D44966C" w14:textId="77777777" w:rsidTr="00824014">
        <w:trPr>
          <w:trHeight w:val="255"/>
        </w:trPr>
        <w:tc>
          <w:tcPr>
            <w:tcW w:w="2000" w:type="pct"/>
            <w:shd w:val="clear" w:color="auto" w:fill="auto"/>
            <w:noWrap/>
            <w:vAlign w:val="center"/>
            <w:hideMark/>
          </w:tcPr>
          <w:p w14:paraId="19DF9D15"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Správa štátnych hmotných rezerv SR</w:t>
            </w:r>
          </w:p>
        </w:tc>
        <w:tc>
          <w:tcPr>
            <w:tcW w:w="694" w:type="pct"/>
            <w:tcBorders>
              <w:top w:val="nil"/>
              <w:left w:val="nil"/>
              <w:bottom w:val="nil"/>
              <w:right w:val="nil"/>
            </w:tcBorders>
            <w:shd w:val="clear" w:color="auto" w:fill="auto"/>
            <w:noWrap/>
            <w:vAlign w:val="center"/>
            <w:hideMark/>
          </w:tcPr>
          <w:p w14:paraId="3299DB5D"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600</w:t>
            </w:r>
          </w:p>
        </w:tc>
        <w:tc>
          <w:tcPr>
            <w:tcW w:w="616" w:type="pct"/>
            <w:tcBorders>
              <w:top w:val="nil"/>
              <w:left w:val="nil"/>
              <w:bottom w:val="nil"/>
              <w:right w:val="nil"/>
            </w:tcBorders>
            <w:shd w:val="clear" w:color="auto" w:fill="auto"/>
            <w:noWrap/>
            <w:vAlign w:val="center"/>
            <w:hideMark/>
          </w:tcPr>
          <w:p w14:paraId="5381431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600</w:t>
            </w:r>
          </w:p>
        </w:tc>
        <w:tc>
          <w:tcPr>
            <w:tcW w:w="616" w:type="pct"/>
            <w:tcBorders>
              <w:top w:val="nil"/>
              <w:left w:val="nil"/>
              <w:bottom w:val="nil"/>
              <w:right w:val="nil"/>
            </w:tcBorders>
            <w:shd w:val="clear" w:color="auto" w:fill="auto"/>
            <w:noWrap/>
            <w:vAlign w:val="center"/>
            <w:hideMark/>
          </w:tcPr>
          <w:p w14:paraId="20F8C8EA"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2 040</w:t>
            </w:r>
          </w:p>
        </w:tc>
        <w:tc>
          <w:tcPr>
            <w:tcW w:w="693" w:type="pct"/>
            <w:tcBorders>
              <w:top w:val="nil"/>
              <w:left w:val="nil"/>
              <w:bottom w:val="nil"/>
              <w:right w:val="nil"/>
            </w:tcBorders>
            <w:shd w:val="clear" w:color="auto" w:fill="auto"/>
            <w:noWrap/>
            <w:vAlign w:val="center"/>
            <w:hideMark/>
          </w:tcPr>
          <w:p w14:paraId="03408BE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1 440</w:t>
            </w:r>
          </w:p>
        </w:tc>
        <w:tc>
          <w:tcPr>
            <w:tcW w:w="381" w:type="pct"/>
            <w:tcBorders>
              <w:top w:val="nil"/>
              <w:left w:val="nil"/>
              <w:bottom w:val="nil"/>
              <w:right w:val="nil"/>
            </w:tcBorders>
            <w:shd w:val="clear" w:color="auto" w:fill="auto"/>
            <w:noWrap/>
            <w:vAlign w:val="center"/>
            <w:hideMark/>
          </w:tcPr>
          <w:p w14:paraId="5E430C88"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340,0</w:t>
            </w:r>
          </w:p>
        </w:tc>
      </w:tr>
      <w:tr w:rsidR="00C8044F" w:rsidRPr="00C8044F" w14:paraId="71F307D6" w14:textId="77777777" w:rsidTr="00824014">
        <w:trPr>
          <w:trHeight w:val="255"/>
        </w:trPr>
        <w:tc>
          <w:tcPr>
            <w:tcW w:w="2000" w:type="pct"/>
            <w:shd w:val="clear" w:color="auto" w:fill="auto"/>
            <w:noWrap/>
            <w:vAlign w:val="center"/>
            <w:hideMark/>
          </w:tcPr>
          <w:p w14:paraId="5B4B95FC"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Všeobecná pokladničná správa</w:t>
            </w:r>
          </w:p>
        </w:tc>
        <w:tc>
          <w:tcPr>
            <w:tcW w:w="694" w:type="pct"/>
            <w:tcBorders>
              <w:top w:val="nil"/>
              <w:left w:val="nil"/>
              <w:right w:val="nil"/>
            </w:tcBorders>
            <w:shd w:val="clear" w:color="auto" w:fill="auto"/>
            <w:noWrap/>
            <w:vAlign w:val="center"/>
            <w:hideMark/>
          </w:tcPr>
          <w:p w14:paraId="7DC5BBD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16 546 559</w:t>
            </w:r>
          </w:p>
        </w:tc>
        <w:tc>
          <w:tcPr>
            <w:tcW w:w="616" w:type="pct"/>
            <w:tcBorders>
              <w:top w:val="nil"/>
              <w:left w:val="nil"/>
              <w:right w:val="nil"/>
            </w:tcBorders>
            <w:shd w:val="clear" w:color="auto" w:fill="auto"/>
            <w:noWrap/>
            <w:vAlign w:val="center"/>
            <w:hideMark/>
          </w:tcPr>
          <w:p w14:paraId="25C3F209"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18 044 216</w:t>
            </w:r>
          </w:p>
        </w:tc>
        <w:tc>
          <w:tcPr>
            <w:tcW w:w="616" w:type="pct"/>
            <w:tcBorders>
              <w:top w:val="nil"/>
              <w:left w:val="nil"/>
              <w:right w:val="nil"/>
            </w:tcBorders>
            <w:shd w:val="clear" w:color="auto" w:fill="auto"/>
            <w:noWrap/>
            <w:vAlign w:val="center"/>
            <w:hideMark/>
          </w:tcPr>
          <w:p w14:paraId="69290F5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16 366 445</w:t>
            </w:r>
          </w:p>
        </w:tc>
        <w:tc>
          <w:tcPr>
            <w:tcW w:w="693" w:type="pct"/>
            <w:tcBorders>
              <w:top w:val="nil"/>
              <w:left w:val="nil"/>
              <w:right w:val="nil"/>
            </w:tcBorders>
            <w:shd w:val="clear" w:color="auto" w:fill="auto"/>
            <w:noWrap/>
            <w:vAlign w:val="center"/>
            <w:hideMark/>
          </w:tcPr>
          <w:p w14:paraId="673DA4A3"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-1 677 771</w:t>
            </w:r>
          </w:p>
        </w:tc>
        <w:tc>
          <w:tcPr>
            <w:tcW w:w="381" w:type="pct"/>
            <w:tcBorders>
              <w:top w:val="nil"/>
              <w:left w:val="nil"/>
              <w:right w:val="nil"/>
            </w:tcBorders>
            <w:shd w:val="clear" w:color="auto" w:fill="auto"/>
            <w:noWrap/>
            <w:vAlign w:val="center"/>
            <w:hideMark/>
          </w:tcPr>
          <w:p w14:paraId="42E1F7FA"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90,7</w:t>
            </w:r>
          </w:p>
        </w:tc>
      </w:tr>
      <w:tr w:rsidR="00C8044F" w:rsidRPr="00C8044F" w14:paraId="6D401918" w14:textId="77777777" w:rsidTr="00824014">
        <w:trPr>
          <w:trHeight w:val="255"/>
        </w:trPr>
        <w:tc>
          <w:tcPr>
            <w:tcW w:w="2000" w:type="pct"/>
            <w:shd w:val="clear" w:color="auto" w:fill="auto"/>
            <w:noWrap/>
            <w:vAlign w:val="center"/>
            <w:hideMark/>
          </w:tcPr>
          <w:p w14:paraId="13808AAA"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 xml:space="preserve">Slovenská akadémia vied        </w:t>
            </w:r>
          </w:p>
        </w:tc>
        <w:tc>
          <w:tcPr>
            <w:tcW w:w="694" w:type="pct"/>
            <w:tcBorders>
              <w:top w:val="nil"/>
              <w:left w:val="nil"/>
              <w:bottom w:val="nil"/>
              <w:right w:val="nil"/>
            </w:tcBorders>
            <w:shd w:val="clear" w:color="auto" w:fill="auto"/>
            <w:noWrap/>
            <w:vAlign w:val="center"/>
            <w:hideMark/>
          </w:tcPr>
          <w:p w14:paraId="4554613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500</w:t>
            </w:r>
          </w:p>
        </w:tc>
        <w:tc>
          <w:tcPr>
            <w:tcW w:w="616" w:type="pct"/>
            <w:tcBorders>
              <w:top w:val="nil"/>
              <w:left w:val="nil"/>
              <w:bottom w:val="nil"/>
              <w:right w:val="nil"/>
            </w:tcBorders>
            <w:shd w:val="clear" w:color="auto" w:fill="auto"/>
            <w:noWrap/>
            <w:vAlign w:val="center"/>
            <w:hideMark/>
          </w:tcPr>
          <w:p w14:paraId="5122636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500</w:t>
            </w:r>
          </w:p>
        </w:tc>
        <w:tc>
          <w:tcPr>
            <w:tcW w:w="616" w:type="pct"/>
            <w:tcBorders>
              <w:top w:val="nil"/>
              <w:left w:val="nil"/>
              <w:bottom w:val="nil"/>
              <w:right w:val="nil"/>
            </w:tcBorders>
            <w:shd w:val="clear" w:color="auto" w:fill="auto"/>
            <w:noWrap/>
            <w:vAlign w:val="center"/>
            <w:hideMark/>
          </w:tcPr>
          <w:p w14:paraId="2F4D54B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359</w:t>
            </w:r>
          </w:p>
        </w:tc>
        <w:tc>
          <w:tcPr>
            <w:tcW w:w="693" w:type="pct"/>
            <w:tcBorders>
              <w:top w:val="nil"/>
              <w:left w:val="nil"/>
              <w:bottom w:val="nil"/>
              <w:right w:val="nil"/>
            </w:tcBorders>
            <w:shd w:val="clear" w:color="auto" w:fill="auto"/>
            <w:noWrap/>
            <w:vAlign w:val="center"/>
            <w:hideMark/>
          </w:tcPr>
          <w:p w14:paraId="44B8D870"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-141</w:t>
            </w:r>
          </w:p>
        </w:tc>
        <w:tc>
          <w:tcPr>
            <w:tcW w:w="381" w:type="pct"/>
            <w:tcBorders>
              <w:top w:val="nil"/>
              <w:left w:val="nil"/>
              <w:bottom w:val="nil"/>
              <w:right w:val="nil"/>
            </w:tcBorders>
            <w:shd w:val="clear" w:color="auto" w:fill="auto"/>
            <w:noWrap/>
            <w:vAlign w:val="center"/>
            <w:hideMark/>
          </w:tcPr>
          <w:p w14:paraId="02540B3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71,8</w:t>
            </w:r>
          </w:p>
        </w:tc>
      </w:tr>
      <w:tr w:rsidR="00C8044F" w:rsidRPr="00C8044F" w14:paraId="55DB78EC" w14:textId="77777777" w:rsidTr="00824014">
        <w:trPr>
          <w:trHeight w:val="255"/>
        </w:trPr>
        <w:tc>
          <w:tcPr>
            <w:tcW w:w="2000" w:type="pct"/>
            <w:shd w:val="clear" w:color="auto" w:fill="auto"/>
            <w:noWrap/>
            <w:vAlign w:val="center"/>
            <w:hideMark/>
          </w:tcPr>
          <w:p w14:paraId="4F0FAA2D"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Kancelária súdnej rady SR</w:t>
            </w:r>
          </w:p>
        </w:tc>
        <w:tc>
          <w:tcPr>
            <w:tcW w:w="694" w:type="pct"/>
            <w:tcBorders>
              <w:top w:val="nil"/>
              <w:left w:val="nil"/>
              <w:bottom w:val="nil"/>
              <w:right w:val="nil"/>
            </w:tcBorders>
            <w:shd w:val="clear" w:color="auto" w:fill="auto"/>
            <w:noWrap/>
            <w:vAlign w:val="center"/>
            <w:hideMark/>
          </w:tcPr>
          <w:p w14:paraId="270065E1"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0</w:t>
            </w:r>
          </w:p>
        </w:tc>
        <w:tc>
          <w:tcPr>
            <w:tcW w:w="616" w:type="pct"/>
            <w:tcBorders>
              <w:top w:val="nil"/>
              <w:left w:val="nil"/>
              <w:bottom w:val="nil"/>
              <w:right w:val="nil"/>
            </w:tcBorders>
            <w:shd w:val="clear" w:color="auto" w:fill="auto"/>
            <w:noWrap/>
            <w:vAlign w:val="center"/>
            <w:hideMark/>
          </w:tcPr>
          <w:p w14:paraId="555120EF"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0</w:t>
            </w:r>
          </w:p>
        </w:tc>
        <w:tc>
          <w:tcPr>
            <w:tcW w:w="616" w:type="pct"/>
            <w:tcBorders>
              <w:top w:val="nil"/>
              <w:left w:val="nil"/>
              <w:bottom w:val="nil"/>
              <w:right w:val="nil"/>
            </w:tcBorders>
            <w:shd w:val="clear" w:color="auto" w:fill="auto"/>
            <w:noWrap/>
            <w:vAlign w:val="center"/>
            <w:hideMark/>
          </w:tcPr>
          <w:p w14:paraId="24695382"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0</w:t>
            </w:r>
          </w:p>
        </w:tc>
        <w:tc>
          <w:tcPr>
            <w:tcW w:w="693" w:type="pct"/>
            <w:tcBorders>
              <w:top w:val="nil"/>
              <w:left w:val="nil"/>
              <w:bottom w:val="nil"/>
              <w:right w:val="nil"/>
            </w:tcBorders>
            <w:shd w:val="clear" w:color="auto" w:fill="auto"/>
            <w:noWrap/>
            <w:vAlign w:val="center"/>
            <w:hideMark/>
          </w:tcPr>
          <w:p w14:paraId="77B55E2B"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0</w:t>
            </w:r>
          </w:p>
        </w:tc>
        <w:tc>
          <w:tcPr>
            <w:tcW w:w="381" w:type="pct"/>
            <w:tcBorders>
              <w:top w:val="nil"/>
              <w:left w:val="nil"/>
              <w:bottom w:val="nil"/>
              <w:right w:val="nil"/>
            </w:tcBorders>
            <w:shd w:val="clear" w:color="auto" w:fill="auto"/>
            <w:noWrap/>
            <w:vAlign w:val="center"/>
            <w:hideMark/>
          </w:tcPr>
          <w:p w14:paraId="03EA7D74" w14:textId="77777777" w:rsidR="00C8044F" w:rsidRPr="00C8044F" w:rsidRDefault="00C8044F" w:rsidP="00824014">
            <w:pPr>
              <w:spacing w:after="0" w:line="240" w:lineRule="auto"/>
              <w:jc w:val="right"/>
              <w:rPr>
                <w:rFonts w:eastAsia="Calibri" w:cs="Segoe UI"/>
                <w:sz w:val="18"/>
                <w:szCs w:val="18"/>
              </w:rPr>
            </w:pPr>
            <w:r w:rsidRPr="00C8044F">
              <w:rPr>
                <w:rFonts w:eastAsia="Calibri" w:cs="Segoe UI"/>
                <w:sz w:val="18"/>
                <w:szCs w:val="18"/>
              </w:rPr>
              <w:t>0</w:t>
            </w:r>
          </w:p>
        </w:tc>
      </w:tr>
      <w:tr w:rsidR="00C8044F" w:rsidRPr="00C8044F" w14:paraId="755CFC35" w14:textId="77777777" w:rsidTr="00824014">
        <w:trPr>
          <w:trHeight w:val="255"/>
        </w:trPr>
        <w:tc>
          <w:tcPr>
            <w:tcW w:w="2000" w:type="pct"/>
            <w:tcBorders>
              <w:bottom w:val="single" w:sz="4" w:space="0" w:color="auto"/>
            </w:tcBorders>
            <w:shd w:val="clear" w:color="auto" w:fill="auto"/>
            <w:noWrap/>
            <w:vAlign w:val="bottom"/>
            <w:hideMark/>
          </w:tcPr>
          <w:p w14:paraId="5FBACEE6" w14:textId="77777777" w:rsidR="00C8044F" w:rsidRPr="00C8044F" w:rsidRDefault="00C8044F" w:rsidP="00824014">
            <w:pPr>
              <w:spacing w:after="0" w:line="240" w:lineRule="auto"/>
              <w:jc w:val="left"/>
              <w:rPr>
                <w:rFonts w:eastAsia="Calibri" w:cs="Segoe UI"/>
                <w:sz w:val="18"/>
                <w:szCs w:val="18"/>
              </w:rPr>
            </w:pPr>
            <w:r w:rsidRPr="00C8044F">
              <w:rPr>
                <w:rFonts w:eastAsia="Calibri" w:cs="Segoe UI"/>
                <w:sz w:val="18"/>
                <w:szCs w:val="18"/>
              </w:rPr>
              <w:t>Kancelária Najvyššieho správneho súdu SR</w:t>
            </w:r>
          </w:p>
        </w:tc>
        <w:tc>
          <w:tcPr>
            <w:tcW w:w="694" w:type="pct"/>
            <w:tcBorders>
              <w:top w:val="nil"/>
              <w:left w:val="nil"/>
              <w:bottom w:val="single" w:sz="4" w:space="0" w:color="auto"/>
              <w:right w:val="nil"/>
            </w:tcBorders>
            <w:shd w:val="clear" w:color="auto" w:fill="auto"/>
            <w:noWrap/>
            <w:vAlign w:val="center"/>
            <w:hideMark/>
          </w:tcPr>
          <w:p w14:paraId="1CA02D3E"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0</w:t>
            </w:r>
          </w:p>
        </w:tc>
        <w:tc>
          <w:tcPr>
            <w:tcW w:w="616" w:type="pct"/>
            <w:tcBorders>
              <w:top w:val="nil"/>
              <w:left w:val="nil"/>
              <w:bottom w:val="single" w:sz="4" w:space="0" w:color="auto"/>
              <w:right w:val="nil"/>
            </w:tcBorders>
            <w:shd w:val="clear" w:color="auto" w:fill="auto"/>
            <w:noWrap/>
            <w:vAlign w:val="center"/>
            <w:hideMark/>
          </w:tcPr>
          <w:p w14:paraId="47F45547"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0</w:t>
            </w:r>
          </w:p>
        </w:tc>
        <w:tc>
          <w:tcPr>
            <w:tcW w:w="616" w:type="pct"/>
            <w:tcBorders>
              <w:top w:val="nil"/>
              <w:left w:val="nil"/>
              <w:bottom w:val="single" w:sz="4" w:space="0" w:color="auto"/>
              <w:right w:val="nil"/>
            </w:tcBorders>
            <w:shd w:val="clear" w:color="auto" w:fill="auto"/>
            <w:noWrap/>
            <w:vAlign w:val="center"/>
            <w:hideMark/>
          </w:tcPr>
          <w:p w14:paraId="03784FA6"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11</w:t>
            </w:r>
          </w:p>
        </w:tc>
        <w:tc>
          <w:tcPr>
            <w:tcW w:w="693" w:type="pct"/>
            <w:tcBorders>
              <w:top w:val="nil"/>
              <w:left w:val="nil"/>
              <w:bottom w:val="single" w:sz="4" w:space="0" w:color="auto"/>
              <w:right w:val="nil"/>
            </w:tcBorders>
            <w:shd w:val="clear" w:color="auto" w:fill="auto"/>
            <w:noWrap/>
            <w:vAlign w:val="center"/>
            <w:hideMark/>
          </w:tcPr>
          <w:p w14:paraId="39945864" w14:textId="77777777" w:rsidR="00C8044F" w:rsidRPr="00C8044F" w:rsidRDefault="00C8044F" w:rsidP="00824014">
            <w:pPr>
              <w:spacing w:after="0" w:line="240" w:lineRule="auto"/>
              <w:jc w:val="right"/>
              <w:rPr>
                <w:rFonts w:eastAsia="Calibri" w:cs="Segoe UI"/>
                <w:sz w:val="18"/>
                <w:szCs w:val="18"/>
              </w:rPr>
            </w:pPr>
            <w:r w:rsidRPr="00C8044F">
              <w:rPr>
                <w:rFonts w:cs="Segoe UI"/>
                <w:sz w:val="18"/>
                <w:szCs w:val="18"/>
              </w:rPr>
              <w:t>11</w:t>
            </w:r>
          </w:p>
        </w:tc>
        <w:tc>
          <w:tcPr>
            <w:tcW w:w="381" w:type="pct"/>
            <w:tcBorders>
              <w:top w:val="nil"/>
              <w:left w:val="nil"/>
              <w:bottom w:val="single" w:sz="4" w:space="0" w:color="auto"/>
              <w:right w:val="nil"/>
            </w:tcBorders>
            <w:shd w:val="clear" w:color="auto" w:fill="auto"/>
            <w:noWrap/>
            <w:vAlign w:val="center"/>
            <w:hideMark/>
          </w:tcPr>
          <w:p w14:paraId="0B0FB9F1" w14:textId="77777777" w:rsidR="00C8044F" w:rsidRPr="00C8044F" w:rsidRDefault="00C8044F" w:rsidP="00824014">
            <w:pPr>
              <w:spacing w:after="0" w:line="240" w:lineRule="auto"/>
              <w:jc w:val="right"/>
              <w:rPr>
                <w:rFonts w:eastAsia="Calibri" w:cs="Segoe UI"/>
                <w:sz w:val="18"/>
                <w:szCs w:val="18"/>
              </w:rPr>
            </w:pPr>
            <w:r w:rsidRPr="00C8044F">
              <w:rPr>
                <w:rFonts w:eastAsia="Calibri" w:cs="Segoe UI"/>
                <w:sz w:val="18"/>
                <w:szCs w:val="18"/>
              </w:rPr>
              <w:t>0</w:t>
            </w:r>
          </w:p>
        </w:tc>
      </w:tr>
    </w:tbl>
    <w:p w14:paraId="0B447D29" w14:textId="5A636B30" w:rsidR="00C8044F" w:rsidRDefault="00C8044F" w:rsidP="00C8044F">
      <w:pPr>
        <w:pStyle w:val="Zdroj"/>
        <w:spacing w:after="0"/>
      </w:pPr>
      <w:r>
        <w:t>Zdroj: Návrh ŠZÚ 2022.</w:t>
      </w:r>
    </w:p>
    <w:p w14:paraId="5D8243C4" w14:textId="77777777" w:rsidR="00C8044F" w:rsidRDefault="00C8044F" w:rsidP="00C8044F">
      <w:pPr>
        <w:pStyle w:val="Zdroj"/>
        <w:spacing w:after="0"/>
      </w:pPr>
      <w:r w:rsidRPr="007A7DFF">
        <w:t>S – skutočnosť, R – rozpočet, NR – novelizovaný rozpočet</w:t>
      </w:r>
    </w:p>
    <w:p w14:paraId="04A67C07" w14:textId="4FB4F349" w:rsidR="00EA4CBA" w:rsidRDefault="00EA4CBA" w:rsidP="00EA4CBA">
      <w:pPr>
        <w:pStyle w:val="Zdroj"/>
      </w:pPr>
      <w:r>
        <w:br w:type="page"/>
      </w:r>
    </w:p>
    <w:p w14:paraId="2EDF49DD" w14:textId="77777777" w:rsidR="00C8044F" w:rsidRDefault="00C8044F" w:rsidP="00C8044F">
      <w:pPr>
        <w:pStyle w:val="Popis"/>
        <w:keepNext/>
        <w:spacing w:after="120"/>
      </w:pPr>
      <w:r w:rsidRPr="00EA4CBA">
        <w:lastRenderedPageBreak/>
        <w:t xml:space="preserve">Tabuľka </w:t>
      </w:r>
      <w:r>
        <w:t>6: Výdavky podľa kapitol ŠR na hotovostnej báze za rok 2022</w:t>
      </w:r>
      <w:r w:rsidRPr="00A8009D">
        <w:t xml:space="preserve"> </w:t>
      </w:r>
      <w:r>
        <w:t>(</w:t>
      </w:r>
      <w:r w:rsidRPr="00A8009D">
        <w:t>v tis. eur</w:t>
      </w:r>
      <w:r>
        <w:t>)</w:t>
      </w:r>
    </w:p>
    <w:tbl>
      <w:tblPr>
        <w:tblW w:w="5000" w:type="pct"/>
        <w:tblBorders>
          <w:bottom w:val="single" w:sz="4" w:space="0" w:color="314364" w:themeColor="text2"/>
        </w:tblBorders>
        <w:tblCellMar>
          <w:left w:w="70" w:type="dxa"/>
          <w:right w:w="70" w:type="dxa"/>
        </w:tblCellMar>
        <w:tblLook w:val="04A0" w:firstRow="1" w:lastRow="0" w:firstColumn="1" w:lastColumn="0" w:noHBand="0" w:noVBand="1"/>
      </w:tblPr>
      <w:tblGrid>
        <w:gridCol w:w="3828"/>
        <w:gridCol w:w="1135"/>
        <w:gridCol w:w="1135"/>
        <w:gridCol w:w="1135"/>
        <w:gridCol w:w="1135"/>
        <w:gridCol w:w="702"/>
      </w:tblGrid>
      <w:tr w:rsidR="00C8044F" w:rsidRPr="00C8044F" w14:paraId="76A2531D" w14:textId="77777777" w:rsidTr="00824014">
        <w:trPr>
          <w:trHeight w:val="255"/>
        </w:trPr>
        <w:tc>
          <w:tcPr>
            <w:tcW w:w="3830" w:type="dxa"/>
            <w:shd w:val="clear" w:color="auto" w:fill="314364"/>
            <w:noWrap/>
            <w:vAlign w:val="center"/>
          </w:tcPr>
          <w:p w14:paraId="4721672C" w14:textId="77777777" w:rsidR="00C8044F" w:rsidRPr="00C8044F" w:rsidRDefault="00C8044F" w:rsidP="00824014">
            <w:pPr>
              <w:spacing w:after="0" w:line="240" w:lineRule="auto"/>
              <w:jc w:val="left"/>
              <w:rPr>
                <w:rFonts w:eastAsia="Times New Roman" w:cs="Segoe UI"/>
                <w:b/>
                <w:color w:val="FFFFFF"/>
                <w:sz w:val="18"/>
                <w:szCs w:val="18"/>
                <w:lang w:eastAsia="sk-SK"/>
              </w:rPr>
            </w:pPr>
            <w:r w:rsidRPr="00C8044F">
              <w:rPr>
                <w:rFonts w:eastAsia="Times New Roman" w:cs="Segoe UI"/>
                <w:b/>
                <w:color w:val="FFFFFF"/>
                <w:sz w:val="18"/>
                <w:szCs w:val="18"/>
                <w:lang w:eastAsia="sk-SK"/>
              </w:rPr>
              <w:t xml:space="preserve">Výdavky kapitol ŠR </w:t>
            </w:r>
          </w:p>
        </w:tc>
        <w:tc>
          <w:tcPr>
            <w:tcW w:w="1135" w:type="dxa"/>
            <w:shd w:val="clear" w:color="auto" w:fill="314364"/>
            <w:noWrap/>
            <w:vAlign w:val="center"/>
          </w:tcPr>
          <w:p w14:paraId="677FCC30" w14:textId="77777777" w:rsidR="00C8044F" w:rsidRPr="00C8044F" w:rsidRDefault="00C8044F" w:rsidP="00824014">
            <w:pPr>
              <w:spacing w:after="0" w:line="240" w:lineRule="auto"/>
              <w:jc w:val="right"/>
              <w:rPr>
                <w:rFonts w:eastAsia="Times New Roman" w:cs="Segoe UI"/>
                <w:b/>
                <w:color w:val="FFFFFF"/>
                <w:sz w:val="18"/>
                <w:szCs w:val="18"/>
                <w:lang w:eastAsia="sk-SK"/>
              </w:rPr>
            </w:pPr>
            <w:r w:rsidRPr="00C8044F">
              <w:rPr>
                <w:rFonts w:eastAsia="Times New Roman" w:cs="Segoe UI"/>
                <w:b/>
                <w:color w:val="FFFFFF"/>
                <w:sz w:val="18"/>
                <w:szCs w:val="18"/>
                <w:lang w:eastAsia="sk-SK"/>
              </w:rPr>
              <w:t>2022 R</w:t>
            </w:r>
          </w:p>
        </w:tc>
        <w:tc>
          <w:tcPr>
            <w:tcW w:w="1135" w:type="dxa"/>
            <w:shd w:val="clear" w:color="auto" w:fill="314364"/>
            <w:vAlign w:val="center"/>
          </w:tcPr>
          <w:p w14:paraId="2CC93909" w14:textId="77777777" w:rsidR="00C8044F" w:rsidRPr="00C8044F" w:rsidRDefault="00C8044F" w:rsidP="00824014">
            <w:pPr>
              <w:spacing w:after="0" w:line="240" w:lineRule="auto"/>
              <w:jc w:val="right"/>
              <w:rPr>
                <w:rFonts w:eastAsia="Times New Roman" w:cs="Segoe UI"/>
                <w:b/>
                <w:color w:val="FFFFFF"/>
                <w:sz w:val="18"/>
                <w:szCs w:val="18"/>
                <w:lang w:eastAsia="sk-SK"/>
              </w:rPr>
            </w:pPr>
            <w:r w:rsidRPr="00C8044F">
              <w:rPr>
                <w:rFonts w:eastAsia="Times New Roman" w:cs="Segoe UI"/>
                <w:b/>
                <w:color w:val="FFFFFF"/>
                <w:sz w:val="18"/>
                <w:szCs w:val="18"/>
                <w:lang w:eastAsia="sk-SK"/>
              </w:rPr>
              <w:t>2022 NR</w:t>
            </w:r>
          </w:p>
        </w:tc>
        <w:tc>
          <w:tcPr>
            <w:tcW w:w="1135" w:type="dxa"/>
            <w:shd w:val="clear" w:color="auto" w:fill="314364"/>
            <w:noWrap/>
            <w:vAlign w:val="center"/>
          </w:tcPr>
          <w:p w14:paraId="3E9DE1D1" w14:textId="77777777" w:rsidR="00C8044F" w:rsidRPr="00C8044F" w:rsidRDefault="00C8044F" w:rsidP="00824014">
            <w:pPr>
              <w:spacing w:after="0" w:line="240" w:lineRule="auto"/>
              <w:jc w:val="right"/>
              <w:rPr>
                <w:rFonts w:eastAsia="Times New Roman" w:cs="Segoe UI"/>
                <w:b/>
                <w:color w:val="FFFFFF"/>
                <w:sz w:val="18"/>
                <w:szCs w:val="18"/>
                <w:lang w:eastAsia="sk-SK"/>
              </w:rPr>
            </w:pPr>
            <w:r w:rsidRPr="00C8044F">
              <w:rPr>
                <w:rFonts w:eastAsia="Times New Roman" w:cs="Segoe UI"/>
                <w:b/>
                <w:color w:val="FFFFFF"/>
                <w:sz w:val="18"/>
                <w:szCs w:val="18"/>
                <w:lang w:eastAsia="sk-SK"/>
              </w:rPr>
              <w:t>2022 S</w:t>
            </w:r>
          </w:p>
        </w:tc>
        <w:tc>
          <w:tcPr>
            <w:tcW w:w="1135" w:type="dxa"/>
            <w:shd w:val="clear" w:color="auto" w:fill="314364"/>
            <w:noWrap/>
            <w:vAlign w:val="center"/>
          </w:tcPr>
          <w:p w14:paraId="49ECD6B5" w14:textId="77777777" w:rsidR="00C8044F" w:rsidRPr="00C8044F" w:rsidRDefault="00C8044F" w:rsidP="00824014">
            <w:pPr>
              <w:spacing w:after="0" w:line="240" w:lineRule="auto"/>
              <w:jc w:val="right"/>
              <w:rPr>
                <w:rFonts w:eastAsia="Times New Roman" w:cs="Segoe UI"/>
                <w:b/>
                <w:color w:val="FFFFFF"/>
                <w:sz w:val="18"/>
                <w:szCs w:val="18"/>
                <w:lang w:eastAsia="sk-SK"/>
              </w:rPr>
            </w:pPr>
            <w:r w:rsidRPr="00C8044F">
              <w:rPr>
                <w:rFonts w:eastAsia="Times New Roman" w:cs="Segoe UI"/>
                <w:b/>
                <w:color w:val="FFFFFF"/>
                <w:sz w:val="18"/>
                <w:szCs w:val="18"/>
                <w:lang w:eastAsia="sk-SK"/>
              </w:rPr>
              <w:t>22S - 22NR</w:t>
            </w:r>
          </w:p>
        </w:tc>
        <w:tc>
          <w:tcPr>
            <w:tcW w:w="702" w:type="dxa"/>
            <w:shd w:val="clear" w:color="auto" w:fill="314364"/>
            <w:noWrap/>
            <w:vAlign w:val="center"/>
          </w:tcPr>
          <w:p w14:paraId="1DF5B80B" w14:textId="77777777" w:rsidR="00C8044F" w:rsidRPr="00C8044F" w:rsidRDefault="00C8044F" w:rsidP="00824014">
            <w:pPr>
              <w:spacing w:after="0" w:line="240" w:lineRule="auto"/>
              <w:jc w:val="right"/>
              <w:rPr>
                <w:rFonts w:eastAsia="Times New Roman" w:cs="Segoe UI"/>
                <w:b/>
                <w:color w:val="FFFFFF"/>
                <w:sz w:val="18"/>
                <w:szCs w:val="18"/>
                <w:lang w:eastAsia="sk-SK"/>
              </w:rPr>
            </w:pPr>
            <w:r w:rsidRPr="00C8044F">
              <w:rPr>
                <w:rFonts w:eastAsia="Times New Roman" w:cs="Segoe UI"/>
                <w:b/>
                <w:color w:val="FFFFFF"/>
                <w:sz w:val="18"/>
                <w:szCs w:val="18"/>
                <w:lang w:eastAsia="sk-SK"/>
              </w:rPr>
              <w:t>22S/</w:t>
            </w:r>
            <w:r w:rsidRPr="00C8044F">
              <w:rPr>
                <w:rFonts w:eastAsia="Times New Roman" w:cs="Segoe UI"/>
                <w:b/>
                <w:color w:val="FFFFFF"/>
                <w:sz w:val="18"/>
                <w:szCs w:val="18"/>
                <w:lang w:eastAsia="sk-SK"/>
              </w:rPr>
              <w:br/>
              <w:t>22NR</w:t>
            </w:r>
          </w:p>
        </w:tc>
      </w:tr>
      <w:tr w:rsidR="00C8044F" w:rsidRPr="00C8044F" w14:paraId="2EE720B6" w14:textId="77777777" w:rsidTr="00824014">
        <w:trPr>
          <w:trHeight w:val="255"/>
        </w:trPr>
        <w:tc>
          <w:tcPr>
            <w:tcW w:w="3830" w:type="dxa"/>
            <w:shd w:val="clear" w:color="auto" w:fill="auto"/>
            <w:noWrap/>
            <w:vAlign w:val="bottom"/>
            <w:hideMark/>
          </w:tcPr>
          <w:p w14:paraId="4C5B6690" w14:textId="77777777" w:rsidR="00C8044F" w:rsidRPr="00C8044F" w:rsidRDefault="00C8044F" w:rsidP="00824014">
            <w:pPr>
              <w:spacing w:after="0" w:line="240" w:lineRule="auto"/>
              <w:jc w:val="left"/>
              <w:rPr>
                <w:rFonts w:eastAsia="Times New Roman" w:cs="Segoe UI"/>
                <w:b/>
                <w:bCs/>
                <w:sz w:val="18"/>
                <w:szCs w:val="18"/>
                <w:lang w:eastAsia="sk-SK"/>
              </w:rPr>
            </w:pPr>
            <w:r w:rsidRPr="00C8044F">
              <w:rPr>
                <w:rFonts w:eastAsia="Times New Roman" w:cs="Segoe UI"/>
                <w:b/>
                <w:bCs/>
                <w:sz w:val="18"/>
                <w:szCs w:val="18"/>
                <w:lang w:eastAsia="sk-SK"/>
              </w:rPr>
              <w:t>Kapitoly ŠR spolu</w:t>
            </w:r>
          </w:p>
        </w:tc>
        <w:tc>
          <w:tcPr>
            <w:tcW w:w="1135" w:type="dxa"/>
            <w:tcBorders>
              <w:top w:val="nil"/>
              <w:left w:val="nil"/>
              <w:bottom w:val="nil"/>
              <w:right w:val="nil"/>
            </w:tcBorders>
            <w:shd w:val="clear" w:color="auto" w:fill="auto"/>
            <w:noWrap/>
            <w:vAlign w:val="bottom"/>
            <w:hideMark/>
          </w:tcPr>
          <w:p w14:paraId="697A72DC" w14:textId="77777777" w:rsidR="00C8044F" w:rsidRPr="00A6398A" w:rsidRDefault="00C8044F" w:rsidP="00824014">
            <w:pPr>
              <w:spacing w:after="0" w:line="240" w:lineRule="auto"/>
              <w:jc w:val="right"/>
              <w:rPr>
                <w:rFonts w:eastAsia="Times New Roman" w:cs="Segoe UI"/>
                <w:b/>
                <w:bCs/>
                <w:sz w:val="18"/>
                <w:szCs w:val="18"/>
                <w:lang w:eastAsia="sk-SK"/>
              </w:rPr>
            </w:pPr>
            <w:r w:rsidRPr="00A6398A">
              <w:rPr>
                <w:rFonts w:cs="Segoe UI"/>
                <w:b/>
                <w:sz w:val="18"/>
                <w:szCs w:val="18"/>
              </w:rPr>
              <w:t>36 447 759</w:t>
            </w:r>
          </w:p>
        </w:tc>
        <w:tc>
          <w:tcPr>
            <w:tcW w:w="1135" w:type="dxa"/>
            <w:tcBorders>
              <w:top w:val="nil"/>
              <w:left w:val="nil"/>
              <w:bottom w:val="nil"/>
              <w:right w:val="nil"/>
            </w:tcBorders>
            <w:shd w:val="clear" w:color="auto" w:fill="auto"/>
            <w:noWrap/>
            <w:vAlign w:val="bottom"/>
            <w:hideMark/>
          </w:tcPr>
          <w:p w14:paraId="199545E1" w14:textId="77777777" w:rsidR="00C8044F" w:rsidRPr="00A6398A" w:rsidRDefault="00C8044F" w:rsidP="00824014">
            <w:pPr>
              <w:spacing w:after="0" w:line="240" w:lineRule="auto"/>
              <w:jc w:val="right"/>
              <w:rPr>
                <w:rFonts w:eastAsia="Times New Roman" w:cs="Segoe UI"/>
                <w:b/>
                <w:bCs/>
                <w:sz w:val="18"/>
                <w:szCs w:val="18"/>
                <w:lang w:eastAsia="sk-SK"/>
              </w:rPr>
            </w:pPr>
            <w:r w:rsidRPr="00A6398A">
              <w:rPr>
                <w:rFonts w:cs="Segoe UI"/>
                <w:b/>
                <w:sz w:val="18"/>
                <w:szCs w:val="18"/>
              </w:rPr>
              <w:t>26 945 416</w:t>
            </w:r>
          </w:p>
        </w:tc>
        <w:tc>
          <w:tcPr>
            <w:tcW w:w="1135" w:type="dxa"/>
            <w:tcBorders>
              <w:top w:val="nil"/>
              <w:left w:val="nil"/>
              <w:bottom w:val="nil"/>
              <w:right w:val="nil"/>
            </w:tcBorders>
            <w:shd w:val="clear" w:color="auto" w:fill="auto"/>
            <w:noWrap/>
            <w:vAlign w:val="bottom"/>
            <w:hideMark/>
          </w:tcPr>
          <w:p w14:paraId="0EA6880E" w14:textId="77777777" w:rsidR="00C8044F" w:rsidRPr="00A6398A" w:rsidRDefault="00C8044F" w:rsidP="00824014">
            <w:pPr>
              <w:spacing w:after="0" w:line="240" w:lineRule="auto"/>
              <w:jc w:val="right"/>
              <w:rPr>
                <w:rFonts w:eastAsia="Times New Roman" w:cs="Segoe UI"/>
                <w:b/>
                <w:bCs/>
                <w:sz w:val="18"/>
                <w:szCs w:val="18"/>
                <w:lang w:eastAsia="sk-SK"/>
              </w:rPr>
            </w:pPr>
            <w:r w:rsidRPr="00A6398A">
              <w:rPr>
                <w:rFonts w:cs="Segoe UI"/>
                <w:b/>
                <w:sz w:val="18"/>
                <w:szCs w:val="18"/>
              </w:rPr>
              <w:t>23 545 305</w:t>
            </w:r>
          </w:p>
        </w:tc>
        <w:tc>
          <w:tcPr>
            <w:tcW w:w="1135" w:type="dxa"/>
            <w:tcBorders>
              <w:top w:val="nil"/>
              <w:left w:val="nil"/>
              <w:bottom w:val="nil"/>
              <w:right w:val="nil"/>
            </w:tcBorders>
            <w:shd w:val="clear" w:color="auto" w:fill="auto"/>
            <w:noWrap/>
            <w:vAlign w:val="bottom"/>
          </w:tcPr>
          <w:p w14:paraId="25BE4739" w14:textId="77777777" w:rsidR="00C8044F" w:rsidRPr="00A6398A" w:rsidRDefault="00C8044F" w:rsidP="00824014">
            <w:pPr>
              <w:spacing w:after="0" w:line="240" w:lineRule="auto"/>
              <w:jc w:val="right"/>
              <w:rPr>
                <w:rFonts w:eastAsia="Times New Roman" w:cs="Segoe UI"/>
                <w:b/>
                <w:bCs/>
                <w:color w:val="000000"/>
                <w:sz w:val="18"/>
                <w:szCs w:val="18"/>
                <w:lang w:eastAsia="sk-SK"/>
              </w:rPr>
            </w:pPr>
            <w:r w:rsidRPr="00A6398A">
              <w:rPr>
                <w:rFonts w:cs="Segoe UI"/>
                <w:b/>
                <w:sz w:val="18"/>
                <w:szCs w:val="18"/>
              </w:rPr>
              <w:t>-3 400 111</w:t>
            </w:r>
          </w:p>
        </w:tc>
        <w:tc>
          <w:tcPr>
            <w:tcW w:w="702" w:type="dxa"/>
            <w:tcBorders>
              <w:top w:val="nil"/>
              <w:left w:val="nil"/>
              <w:bottom w:val="nil"/>
              <w:right w:val="nil"/>
            </w:tcBorders>
            <w:shd w:val="clear" w:color="auto" w:fill="auto"/>
            <w:noWrap/>
            <w:vAlign w:val="bottom"/>
          </w:tcPr>
          <w:p w14:paraId="0FBF09C9" w14:textId="77777777" w:rsidR="00C8044F" w:rsidRPr="00A6398A" w:rsidRDefault="00C8044F" w:rsidP="00824014">
            <w:pPr>
              <w:spacing w:after="0" w:line="240" w:lineRule="auto"/>
              <w:jc w:val="right"/>
              <w:rPr>
                <w:rFonts w:eastAsia="Times New Roman" w:cs="Segoe UI"/>
                <w:b/>
                <w:bCs/>
                <w:color w:val="000000"/>
                <w:sz w:val="18"/>
                <w:szCs w:val="18"/>
                <w:lang w:eastAsia="sk-SK"/>
              </w:rPr>
            </w:pPr>
            <w:r w:rsidRPr="00A6398A">
              <w:rPr>
                <w:rFonts w:cs="Segoe UI"/>
                <w:b/>
                <w:sz w:val="18"/>
                <w:szCs w:val="18"/>
              </w:rPr>
              <w:t>87,4</w:t>
            </w:r>
          </w:p>
        </w:tc>
      </w:tr>
      <w:tr w:rsidR="00C8044F" w:rsidRPr="00C8044F" w14:paraId="2A2D615E" w14:textId="77777777" w:rsidTr="00824014">
        <w:trPr>
          <w:trHeight w:val="255"/>
        </w:trPr>
        <w:tc>
          <w:tcPr>
            <w:tcW w:w="3830" w:type="dxa"/>
            <w:tcBorders>
              <w:right w:val="nil"/>
            </w:tcBorders>
            <w:shd w:val="clear" w:color="auto" w:fill="auto"/>
            <w:noWrap/>
            <w:vAlign w:val="bottom"/>
            <w:hideMark/>
          </w:tcPr>
          <w:p w14:paraId="73DEC4E6"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Kancelária Národnej rady SR    </w:t>
            </w:r>
          </w:p>
        </w:tc>
        <w:tc>
          <w:tcPr>
            <w:tcW w:w="1135" w:type="dxa"/>
            <w:tcBorders>
              <w:top w:val="nil"/>
              <w:left w:val="nil"/>
              <w:bottom w:val="nil"/>
              <w:right w:val="nil"/>
            </w:tcBorders>
            <w:shd w:val="clear" w:color="auto" w:fill="auto"/>
            <w:noWrap/>
            <w:vAlign w:val="bottom"/>
            <w:hideMark/>
          </w:tcPr>
          <w:p w14:paraId="4434A324"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37 663</w:t>
            </w:r>
          </w:p>
        </w:tc>
        <w:tc>
          <w:tcPr>
            <w:tcW w:w="1135" w:type="dxa"/>
            <w:tcBorders>
              <w:top w:val="nil"/>
              <w:left w:val="nil"/>
              <w:bottom w:val="nil"/>
              <w:right w:val="nil"/>
            </w:tcBorders>
            <w:shd w:val="clear" w:color="auto" w:fill="auto"/>
            <w:noWrap/>
            <w:vAlign w:val="bottom"/>
            <w:hideMark/>
          </w:tcPr>
          <w:p w14:paraId="3263720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37 663</w:t>
            </w:r>
          </w:p>
        </w:tc>
        <w:tc>
          <w:tcPr>
            <w:tcW w:w="1135" w:type="dxa"/>
            <w:tcBorders>
              <w:top w:val="nil"/>
              <w:left w:val="nil"/>
              <w:bottom w:val="nil"/>
              <w:right w:val="nil"/>
            </w:tcBorders>
            <w:shd w:val="clear" w:color="auto" w:fill="auto"/>
            <w:noWrap/>
            <w:vAlign w:val="bottom"/>
            <w:hideMark/>
          </w:tcPr>
          <w:p w14:paraId="2C1A10C5"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41 760</w:t>
            </w:r>
          </w:p>
        </w:tc>
        <w:tc>
          <w:tcPr>
            <w:tcW w:w="1135" w:type="dxa"/>
            <w:tcBorders>
              <w:top w:val="nil"/>
              <w:left w:val="nil"/>
              <w:bottom w:val="nil"/>
              <w:right w:val="nil"/>
            </w:tcBorders>
            <w:shd w:val="clear" w:color="auto" w:fill="auto"/>
            <w:noWrap/>
            <w:vAlign w:val="bottom"/>
          </w:tcPr>
          <w:p w14:paraId="7F021F11"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4 097</w:t>
            </w:r>
          </w:p>
        </w:tc>
        <w:tc>
          <w:tcPr>
            <w:tcW w:w="702" w:type="dxa"/>
            <w:tcBorders>
              <w:top w:val="nil"/>
              <w:left w:val="nil"/>
              <w:bottom w:val="nil"/>
              <w:right w:val="nil"/>
            </w:tcBorders>
            <w:shd w:val="clear" w:color="auto" w:fill="auto"/>
            <w:noWrap/>
            <w:vAlign w:val="bottom"/>
          </w:tcPr>
          <w:p w14:paraId="0F6ED6A6"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110,9</w:t>
            </w:r>
          </w:p>
        </w:tc>
      </w:tr>
      <w:tr w:rsidR="00C8044F" w:rsidRPr="00C8044F" w14:paraId="34A11AD2" w14:textId="77777777" w:rsidTr="00824014">
        <w:trPr>
          <w:trHeight w:val="255"/>
        </w:trPr>
        <w:tc>
          <w:tcPr>
            <w:tcW w:w="3830" w:type="dxa"/>
            <w:tcBorders>
              <w:right w:val="nil"/>
            </w:tcBorders>
            <w:shd w:val="clear" w:color="auto" w:fill="auto"/>
            <w:noWrap/>
            <w:vAlign w:val="bottom"/>
            <w:hideMark/>
          </w:tcPr>
          <w:p w14:paraId="29FD1C6E"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Kancelária prezidenta SR          </w:t>
            </w:r>
          </w:p>
        </w:tc>
        <w:tc>
          <w:tcPr>
            <w:tcW w:w="1135" w:type="dxa"/>
            <w:tcBorders>
              <w:top w:val="nil"/>
              <w:left w:val="nil"/>
              <w:bottom w:val="nil"/>
              <w:right w:val="nil"/>
            </w:tcBorders>
            <w:shd w:val="clear" w:color="auto" w:fill="auto"/>
            <w:noWrap/>
            <w:vAlign w:val="bottom"/>
            <w:hideMark/>
          </w:tcPr>
          <w:p w14:paraId="6E387429"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5 315</w:t>
            </w:r>
          </w:p>
        </w:tc>
        <w:tc>
          <w:tcPr>
            <w:tcW w:w="1135" w:type="dxa"/>
            <w:tcBorders>
              <w:top w:val="nil"/>
              <w:left w:val="nil"/>
              <w:bottom w:val="nil"/>
              <w:right w:val="nil"/>
            </w:tcBorders>
            <w:shd w:val="clear" w:color="auto" w:fill="auto"/>
            <w:noWrap/>
            <w:vAlign w:val="bottom"/>
            <w:hideMark/>
          </w:tcPr>
          <w:p w14:paraId="06CD3EB0"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5 315</w:t>
            </w:r>
          </w:p>
        </w:tc>
        <w:tc>
          <w:tcPr>
            <w:tcW w:w="1135" w:type="dxa"/>
            <w:tcBorders>
              <w:top w:val="nil"/>
              <w:left w:val="nil"/>
              <w:bottom w:val="nil"/>
              <w:right w:val="nil"/>
            </w:tcBorders>
            <w:shd w:val="clear" w:color="auto" w:fill="auto"/>
            <w:noWrap/>
            <w:vAlign w:val="bottom"/>
            <w:hideMark/>
          </w:tcPr>
          <w:p w14:paraId="0AEA87B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6 637</w:t>
            </w:r>
          </w:p>
        </w:tc>
        <w:tc>
          <w:tcPr>
            <w:tcW w:w="1135" w:type="dxa"/>
            <w:tcBorders>
              <w:top w:val="nil"/>
              <w:left w:val="nil"/>
              <w:bottom w:val="nil"/>
              <w:right w:val="nil"/>
            </w:tcBorders>
            <w:shd w:val="clear" w:color="auto" w:fill="auto"/>
            <w:noWrap/>
            <w:vAlign w:val="bottom"/>
          </w:tcPr>
          <w:p w14:paraId="6265E7B3"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1 322</w:t>
            </w:r>
          </w:p>
        </w:tc>
        <w:tc>
          <w:tcPr>
            <w:tcW w:w="702" w:type="dxa"/>
            <w:tcBorders>
              <w:top w:val="nil"/>
              <w:left w:val="nil"/>
              <w:bottom w:val="nil"/>
              <w:right w:val="nil"/>
            </w:tcBorders>
            <w:shd w:val="clear" w:color="auto" w:fill="auto"/>
            <w:noWrap/>
            <w:vAlign w:val="bottom"/>
          </w:tcPr>
          <w:p w14:paraId="7A76A4E7"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124,9</w:t>
            </w:r>
          </w:p>
        </w:tc>
      </w:tr>
      <w:tr w:rsidR="00C8044F" w:rsidRPr="00C8044F" w14:paraId="4015C804" w14:textId="77777777" w:rsidTr="00824014">
        <w:trPr>
          <w:trHeight w:val="255"/>
        </w:trPr>
        <w:tc>
          <w:tcPr>
            <w:tcW w:w="3830" w:type="dxa"/>
            <w:tcBorders>
              <w:right w:val="nil"/>
            </w:tcBorders>
            <w:shd w:val="clear" w:color="auto" w:fill="auto"/>
            <w:noWrap/>
            <w:vAlign w:val="bottom"/>
            <w:hideMark/>
          </w:tcPr>
          <w:p w14:paraId="238EA928"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vlády SR                  </w:t>
            </w:r>
          </w:p>
        </w:tc>
        <w:tc>
          <w:tcPr>
            <w:tcW w:w="1135" w:type="dxa"/>
            <w:tcBorders>
              <w:top w:val="nil"/>
              <w:left w:val="nil"/>
              <w:bottom w:val="nil"/>
              <w:right w:val="nil"/>
            </w:tcBorders>
            <w:shd w:val="clear" w:color="auto" w:fill="auto"/>
            <w:noWrap/>
            <w:vAlign w:val="bottom"/>
            <w:hideMark/>
          </w:tcPr>
          <w:p w14:paraId="32FC2638"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155 046</w:t>
            </w:r>
          </w:p>
        </w:tc>
        <w:tc>
          <w:tcPr>
            <w:tcW w:w="1135" w:type="dxa"/>
            <w:tcBorders>
              <w:top w:val="nil"/>
              <w:left w:val="nil"/>
              <w:bottom w:val="nil"/>
              <w:right w:val="nil"/>
            </w:tcBorders>
            <w:shd w:val="clear" w:color="auto" w:fill="auto"/>
            <w:noWrap/>
            <w:vAlign w:val="bottom"/>
            <w:hideMark/>
          </w:tcPr>
          <w:p w14:paraId="0E52FF2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155 046</w:t>
            </w:r>
          </w:p>
        </w:tc>
        <w:tc>
          <w:tcPr>
            <w:tcW w:w="1135" w:type="dxa"/>
            <w:tcBorders>
              <w:top w:val="nil"/>
              <w:left w:val="nil"/>
              <w:bottom w:val="nil"/>
              <w:right w:val="nil"/>
            </w:tcBorders>
            <w:shd w:val="clear" w:color="auto" w:fill="auto"/>
            <w:noWrap/>
            <w:vAlign w:val="bottom"/>
            <w:hideMark/>
          </w:tcPr>
          <w:p w14:paraId="21130F40"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73 584</w:t>
            </w:r>
          </w:p>
        </w:tc>
        <w:tc>
          <w:tcPr>
            <w:tcW w:w="1135" w:type="dxa"/>
            <w:tcBorders>
              <w:top w:val="nil"/>
              <w:left w:val="nil"/>
              <w:bottom w:val="nil"/>
              <w:right w:val="nil"/>
            </w:tcBorders>
            <w:shd w:val="clear" w:color="auto" w:fill="auto"/>
            <w:noWrap/>
            <w:vAlign w:val="bottom"/>
          </w:tcPr>
          <w:p w14:paraId="733CD7C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-81 462</w:t>
            </w:r>
          </w:p>
        </w:tc>
        <w:tc>
          <w:tcPr>
            <w:tcW w:w="702" w:type="dxa"/>
            <w:tcBorders>
              <w:top w:val="nil"/>
              <w:left w:val="nil"/>
              <w:bottom w:val="nil"/>
              <w:right w:val="nil"/>
            </w:tcBorders>
            <w:shd w:val="clear" w:color="auto" w:fill="auto"/>
            <w:noWrap/>
            <w:vAlign w:val="bottom"/>
          </w:tcPr>
          <w:p w14:paraId="002FAD3E"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47,5</w:t>
            </w:r>
          </w:p>
        </w:tc>
      </w:tr>
      <w:tr w:rsidR="00C8044F" w:rsidRPr="00C8044F" w14:paraId="0186E5D3" w14:textId="77777777" w:rsidTr="00824014">
        <w:trPr>
          <w:trHeight w:val="255"/>
        </w:trPr>
        <w:tc>
          <w:tcPr>
            <w:tcW w:w="3830" w:type="dxa"/>
            <w:tcBorders>
              <w:right w:val="nil"/>
            </w:tcBorders>
            <w:shd w:val="clear" w:color="auto" w:fill="auto"/>
            <w:noWrap/>
            <w:vAlign w:val="bottom"/>
            <w:hideMark/>
          </w:tcPr>
          <w:p w14:paraId="1EA7068A"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Ministerstvo investícií, regionálneho rozvoja a informatizácie SR</w:t>
            </w:r>
          </w:p>
        </w:tc>
        <w:tc>
          <w:tcPr>
            <w:tcW w:w="1135" w:type="dxa"/>
            <w:tcBorders>
              <w:top w:val="nil"/>
              <w:left w:val="nil"/>
              <w:bottom w:val="nil"/>
              <w:right w:val="nil"/>
            </w:tcBorders>
            <w:shd w:val="clear" w:color="auto" w:fill="auto"/>
            <w:noWrap/>
            <w:vAlign w:val="bottom"/>
            <w:hideMark/>
          </w:tcPr>
          <w:p w14:paraId="08B2B022"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791 570</w:t>
            </w:r>
          </w:p>
        </w:tc>
        <w:tc>
          <w:tcPr>
            <w:tcW w:w="1135" w:type="dxa"/>
            <w:tcBorders>
              <w:top w:val="nil"/>
              <w:left w:val="nil"/>
              <w:bottom w:val="nil"/>
              <w:right w:val="nil"/>
            </w:tcBorders>
            <w:shd w:val="clear" w:color="auto" w:fill="auto"/>
            <w:noWrap/>
            <w:vAlign w:val="bottom"/>
            <w:hideMark/>
          </w:tcPr>
          <w:p w14:paraId="4A1BAD3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791 570</w:t>
            </w:r>
          </w:p>
        </w:tc>
        <w:tc>
          <w:tcPr>
            <w:tcW w:w="1135" w:type="dxa"/>
            <w:tcBorders>
              <w:top w:val="nil"/>
              <w:left w:val="nil"/>
              <w:bottom w:val="nil"/>
              <w:right w:val="nil"/>
            </w:tcBorders>
            <w:shd w:val="clear" w:color="auto" w:fill="auto"/>
            <w:noWrap/>
            <w:vAlign w:val="bottom"/>
            <w:hideMark/>
          </w:tcPr>
          <w:p w14:paraId="22D0FEE8"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465 362</w:t>
            </w:r>
          </w:p>
        </w:tc>
        <w:tc>
          <w:tcPr>
            <w:tcW w:w="1135" w:type="dxa"/>
            <w:tcBorders>
              <w:top w:val="nil"/>
              <w:left w:val="nil"/>
              <w:bottom w:val="nil"/>
              <w:right w:val="nil"/>
            </w:tcBorders>
            <w:shd w:val="clear" w:color="auto" w:fill="auto"/>
            <w:noWrap/>
            <w:vAlign w:val="bottom"/>
          </w:tcPr>
          <w:p w14:paraId="46CFE1A6"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-326 208</w:t>
            </w:r>
          </w:p>
        </w:tc>
        <w:tc>
          <w:tcPr>
            <w:tcW w:w="702" w:type="dxa"/>
            <w:tcBorders>
              <w:top w:val="nil"/>
              <w:left w:val="nil"/>
              <w:bottom w:val="nil"/>
              <w:right w:val="nil"/>
            </w:tcBorders>
            <w:shd w:val="clear" w:color="auto" w:fill="auto"/>
            <w:noWrap/>
            <w:vAlign w:val="bottom"/>
          </w:tcPr>
          <w:p w14:paraId="30106F34"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58,8</w:t>
            </w:r>
          </w:p>
        </w:tc>
      </w:tr>
      <w:tr w:rsidR="00C8044F" w:rsidRPr="00C8044F" w14:paraId="186A0F5E" w14:textId="77777777" w:rsidTr="00824014">
        <w:trPr>
          <w:trHeight w:val="255"/>
        </w:trPr>
        <w:tc>
          <w:tcPr>
            <w:tcW w:w="3830" w:type="dxa"/>
            <w:tcBorders>
              <w:right w:val="nil"/>
            </w:tcBorders>
            <w:shd w:val="clear" w:color="auto" w:fill="auto"/>
            <w:noWrap/>
            <w:vAlign w:val="bottom"/>
            <w:hideMark/>
          </w:tcPr>
          <w:p w14:paraId="2F2B9184"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Kancelária Ústavného súdu SR                 </w:t>
            </w:r>
          </w:p>
        </w:tc>
        <w:tc>
          <w:tcPr>
            <w:tcW w:w="1135" w:type="dxa"/>
            <w:tcBorders>
              <w:top w:val="nil"/>
              <w:left w:val="nil"/>
              <w:bottom w:val="nil"/>
              <w:right w:val="nil"/>
            </w:tcBorders>
            <w:shd w:val="clear" w:color="auto" w:fill="auto"/>
            <w:noWrap/>
            <w:vAlign w:val="bottom"/>
            <w:hideMark/>
          </w:tcPr>
          <w:p w14:paraId="357A41D5"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7 414</w:t>
            </w:r>
          </w:p>
        </w:tc>
        <w:tc>
          <w:tcPr>
            <w:tcW w:w="1135" w:type="dxa"/>
            <w:tcBorders>
              <w:top w:val="nil"/>
              <w:left w:val="nil"/>
              <w:bottom w:val="nil"/>
              <w:right w:val="nil"/>
            </w:tcBorders>
            <w:shd w:val="clear" w:color="auto" w:fill="auto"/>
            <w:noWrap/>
            <w:vAlign w:val="bottom"/>
            <w:hideMark/>
          </w:tcPr>
          <w:p w14:paraId="2E3C554B"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7 414</w:t>
            </w:r>
          </w:p>
        </w:tc>
        <w:tc>
          <w:tcPr>
            <w:tcW w:w="1135" w:type="dxa"/>
            <w:tcBorders>
              <w:top w:val="nil"/>
              <w:left w:val="nil"/>
              <w:bottom w:val="nil"/>
              <w:right w:val="nil"/>
            </w:tcBorders>
            <w:shd w:val="clear" w:color="auto" w:fill="auto"/>
            <w:noWrap/>
            <w:vAlign w:val="bottom"/>
            <w:hideMark/>
          </w:tcPr>
          <w:p w14:paraId="5BA0F65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7 877</w:t>
            </w:r>
          </w:p>
        </w:tc>
        <w:tc>
          <w:tcPr>
            <w:tcW w:w="1135" w:type="dxa"/>
            <w:tcBorders>
              <w:top w:val="nil"/>
              <w:left w:val="nil"/>
              <w:bottom w:val="nil"/>
              <w:right w:val="nil"/>
            </w:tcBorders>
            <w:shd w:val="clear" w:color="auto" w:fill="auto"/>
            <w:noWrap/>
            <w:vAlign w:val="bottom"/>
          </w:tcPr>
          <w:p w14:paraId="491818A3"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463</w:t>
            </w:r>
          </w:p>
        </w:tc>
        <w:tc>
          <w:tcPr>
            <w:tcW w:w="702" w:type="dxa"/>
            <w:tcBorders>
              <w:top w:val="nil"/>
              <w:left w:val="nil"/>
              <w:bottom w:val="nil"/>
              <w:right w:val="nil"/>
            </w:tcBorders>
            <w:shd w:val="clear" w:color="auto" w:fill="auto"/>
            <w:noWrap/>
            <w:vAlign w:val="bottom"/>
          </w:tcPr>
          <w:p w14:paraId="3C7610AA"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106,2</w:t>
            </w:r>
          </w:p>
        </w:tc>
      </w:tr>
      <w:tr w:rsidR="00C8044F" w:rsidRPr="00C8044F" w14:paraId="3E98EEB8" w14:textId="77777777" w:rsidTr="00824014">
        <w:trPr>
          <w:trHeight w:val="255"/>
        </w:trPr>
        <w:tc>
          <w:tcPr>
            <w:tcW w:w="3830" w:type="dxa"/>
            <w:tcBorders>
              <w:right w:val="nil"/>
            </w:tcBorders>
            <w:shd w:val="clear" w:color="auto" w:fill="auto"/>
            <w:noWrap/>
            <w:vAlign w:val="bottom"/>
            <w:hideMark/>
          </w:tcPr>
          <w:p w14:paraId="37DC592C"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Najvyšší súd SR</w:t>
            </w:r>
          </w:p>
        </w:tc>
        <w:tc>
          <w:tcPr>
            <w:tcW w:w="1135" w:type="dxa"/>
            <w:tcBorders>
              <w:top w:val="nil"/>
              <w:left w:val="nil"/>
              <w:bottom w:val="nil"/>
              <w:right w:val="nil"/>
            </w:tcBorders>
            <w:shd w:val="clear" w:color="auto" w:fill="auto"/>
            <w:noWrap/>
            <w:vAlign w:val="bottom"/>
            <w:hideMark/>
          </w:tcPr>
          <w:p w14:paraId="1B55C68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13 478</w:t>
            </w:r>
          </w:p>
        </w:tc>
        <w:tc>
          <w:tcPr>
            <w:tcW w:w="1135" w:type="dxa"/>
            <w:tcBorders>
              <w:top w:val="nil"/>
              <w:left w:val="nil"/>
              <w:bottom w:val="nil"/>
              <w:right w:val="nil"/>
            </w:tcBorders>
            <w:shd w:val="clear" w:color="auto" w:fill="auto"/>
            <w:noWrap/>
            <w:vAlign w:val="bottom"/>
            <w:hideMark/>
          </w:tcPr>
          <w:p w14:paraId="44ADDED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13 478</w:t>
            </w:r>
          </w:p>
        </w:tc>
        <w:tc>
          <w:tcPr>
            <w:tcW w:w="1135" w:type="dxa"/>
            <w:tcBorders>
              <w:top w:val="nil"/>
              <w:left w:val="nil"/>
              <w:bottom w:val="nil"/>
              <w:right w:val="nil"/>
            </w:tcBorders>
            <w:shd w:val="clear" w:color="auto" w:fill="auto"/>
            <w:noWrap/>
            <w:vAlign w:val="bottom"/>
            <w:hideMark/>
          </w:tcPr>
          <w:p w14:paraId="5D4AC7F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14 464</w:t>
            </w:r>
          </w:p>
        </w:tc>
        <w:tc>
          <w:tcPr>
            <w:tcW w:w="1135" w:type="dxa"/>
            <w:tcBorders>
              <w:top w:val="nil"/>
              <w:left w:val="nil"/>
              <w:bottom w:val="nil"/>
              <w:right w:val="nil"/>
            </w:tcBorders>
            <w:shd w:val="clear" w:color="auto" w:fill="auto"/>
            <w:noWrap/>
            <w:vAlign w:val="bottom"/>
          </w:tcPr>
          <w:p w14:paraId="18E6B4EA"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986</w:t>
            </w:r>
          </w:p>
        </w:tc>
        <w:tc>
          <w:tcPr>
            <w:tcW w:w="702" w:type="dxa"/>
            <w:tcBorders>
              <w:top w:val="nil"/>
              <w:left w:val="nil"/>
              <w:bottom w:val="nil"/>
              <w:right w:val="nil"/>
            </w:tcBorders>
            <w:shd w:val="clear" w:color="auto" w:fill="auto"/>
            <w:noWrap/>
            <w:vAlign w:val="bottom"/>
          </w:tcPr>
          <w:p w14:paraId="65B7287B"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107,3</w:t>
            </w:r>
          </w:p>
        </w:tc>
      </w:tr>
      <w:tr w:rsidR="00C8044F" w:rsidRPr="00C8044F" w14:paraId="077FDA6A" w14:textId="77777777" w:rsidTr="00824014">
        <w:trPr>
          <w:trHeight w:val="255"/>
        </w:trPr>
        <w:tc>
          <w:tcPr>
            <w:tcW w:w="3830" w:type="dxa"/>
            <w:tcBorders>
              <w:right w:val="nil"/>
            </w:tcBorders>
            <w:shd w:val="clear" w:color="auto" w:fill="auto"/>
            <w:noWrap/>
            <w:vAlign w:val="bottom"/>
            <w:hideMark/>
          </w:tcPr>
          <w:p w14:paraId="0C0AE23D"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Generálna prokuratúra SR       </w:t>
            </w:r>
          </w:p>
        </w:tc>
        <w:tc>
          <w:tcPr>
            <w:tcW w:w="1135" w:type="dxa"/>
            <w:tcBorders>
              <w:top w:val="nil"/>
              <w:left w:val="nil"/>
              <w:bottom w:val="nil"/>
              <w:right w:val="nil"/>
            </w:tcBorders>
            <w:shd w:val="clear" w:color="auto" w:fill="auto"/>
            <w:noWrap/>
            <w:vAlign w:val="bottom"/>
            <w:hideMark/>
          </w:tcPr>
          <w:p w14:paraId="1895E60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119 510</w:t>
            </w:r>
          </w:p>
        </w:tc>
        <w:tc>
          <w:tcPr>
            <w:tcW w:w="1135" w:type="dxa"/>
            <w:tcBorders>
              <w:top w:val="nil"/>
              <w:left w:val="nil"/>
              <w:bottom w:val="nil"/>
              <w:right w:val="nil"/>
            </w:tcBorders>
            <w:shd w:val="clear" w:color="auto" w:fill="auto"/>
            <w:noWrap/>
            <w:vAlign w:val="bottom"/>
            <w:hideMark/>
          </w:tcPr>
          <w:p w14:paraId="49A63FEF"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119 510</w:t>
            </w:r>
          </w:p>
        </w:tc>
        <w:tc>
          <w:tcPr>
            <w:tcW w:w="1135" w:type="dxa"/>
            <w:tcBorders>
              <w:top w:val="nil"/>
              <w:left w:val="nil"/>
              <w:bottom w:val="nil"/>
              <w:right w:val="nil"/>
            </w:tcBorders>
            <w:shd w:val="clear" w:color="auto" w:fill="auto"/>
            <w:noWrap/>
            <w:vAlign w:val="bottom"/>
            <w:hideMark/>
          </w:tcPr>
          <w:p w14:paraId="09EF7FC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126 627</w:t>
            </w:r>
          </w:p>
        </w:tc>
        <w:tc>
          <w:tcPr>
            <w:tcW w:w="1135" w:type="dxa"/>
            <w:tcBorders>
              <w:top w:val="nil"/>
              <w:left w:val="nil"/>
              <w:bottom w:val="nil"/>
              <w:right w:val="nil"/>
            </w:tcBorders>
            <w:shd w:val="clear" w:color="auto" w:fill="auto"/>
            <w:noWrap/>
            <w:vAlign w:val="bottom"/>
          </w:tcPr>
          <w:p w14:paraId="4406BC5B"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7 117</w:t>
            </w:r>
          </w:p>
        </w:tc>
        <w:tc>
          <w:tcPr>
            <w:tcW w:w="702" w:type="dxa"/>
            <w:tcBorders>
              <w:top w:val="nil"/>
              <w:left w:val="nil"/>
              <w:bottom w:val="nil"/>
              <w:right w:val="nil"/>
            </w:tcBorders>
            <w:shd w:val="clear" w:color="auto" w:fill="auto"/>
            <w:noWrap/>
            <w:vAlign w:val="bottom"/>
          </w:tcPr>
          <w:p w14:paraId="5174C394"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106,0</w:t>
            </w:r>
          </w:p>
        </w:tc>
      </w:tr>
      <w:tr w:rsidR="00C8044F" w:rsidRPr="00C8044F" w14:paraId="2231716E" w14:textId="77777777" w:rsidTr="00824014">
        <w:trPr>
          <w:trHeight w:val="255"/>
        </w:trPr>
        <w:tc>
          <w:tcPr>
            <w:tcW w:w="3830" w:type="dxa"/>
            <w:tcBorders>
              <w:right w:val="nil"/>
            </w:tcBorders>
            <w:shd w:val="clear" w:color="auto" w:fill="auto"/>
            <w:noWrap/>
            <w:vAlign w:val="bottom"/>
            <w:hideMark/>
          </w:tcPr>
          <w:p w14:paraId="4EEAB939"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Najvyšší kontrolný úrad SR     </w:t>
            </w:r>
          </w:p>
        </w:tc>
        <w:tc>
          <w:tcPr>
            <w:tcW w:w="1135" w:type="dxa"/>
            <w:tcBorders>
              <w:top w:val="nil"/>
              <w:left w:val="nil"/>
              <w:bottom w:val="nil"/>
              <w:right w:val="nil"/>
            </w:tcBorders>
            <w:shd w:val="clear" w:color="auto" w:fill="auto"/>
            <w:noWrap/>
            <w:vAlign w:val="bottom"/>
            <w:hideMark/>
          </w:tcPr>
          <w:p w14:paraId="1DD099B3"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13 624</w:t>
            </w:r>
          </w:p>
        </w:tc>
        <w:tc>
          <w:tcPr>
            <w:tcW w:w="1135" w:type="dxa"/>
            <w:tcBorders>
              <w:top w:val="nil"/>
              <w:left w:val="nil"/>
              <w:bottom w:val="nil"/>
              <w:right w:val="nil"/>
            </w:tcBorders>
            <w:shd w:val="clear" w:color="auto" w:fill="auto"/>
            <w:noWrap/>
            <w:vAlign w:val="bottom"/>
            <w:hideMark/>
          </w:tcPr>
          <w:p w14:paraId="66A52145"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13 624</w:t>
            </w:r>
          </w:p>
        </w:tc>
        <w:tc>
          <w:tcPr>
            <w:tcW w:w="1135" w:type="dxa"/>
            <w:tcBorders>
              <w:top w:val="nil"/>
              <w:left w:val="nil"/>
              <w:bottom w:val="nil"/>
              <w:right w:val="nil"/>
            </w:tcBorders>
            <w:shd w:val="clear" w:color="auto" w:fill="auto"/>
            <w:noWrap/>
            <w:vAlign w:val="bottom"/>
            <w:hideMark/>
          </w:tcPr>
          <w:p w14:paraId="67FA4B93"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14 286</w:t>
            </w:r>
          </w:p>
        </w:tc>
        <w:tc>
          <w:tcPr>
            <w:tcW w:w="1135" w:type="dxa"/>
            <w:tcBorders>
              <w:top w:val="nil"/>
              <w:left w:val="nil"/>
              <w:bottom w:val="nil"/>
              <w:right w:val="nil"/>
            </w:tcBorders>
            <w:shd w:val="clear" w:color="auto" w:fill="auto"/>
            <w:noWrap/>
            <w:vAlign w:val="bottom"/>
          </w:tcPr>
          <w:p w14:paraId="08323BBE"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662</w:t>
            </w:r>
          </w:p>
        </w:tc>
        <w:tc>
          <w:tcPr>
            <w:tcW w:w="702" w:type="dxa"/>
            <w:tcBorders>
              <w:top w:val="nil"/>
              <w:left w:val="nil"/>
              <w:bottom w:val="nil"/>
              <w:right w:val="nil"/>
            </w:tcBorders>
            <w:shd w:val="clear" w:color="auto" w:fill="auto"/>
            <w:noWrap/>
            <w:vAlign w:val="bottom"/>
          </w:tcPr>
          <w:p w14:paraId="0A2AACB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104,9</w:t>
            </w:r>
          </w:p>
        </w:tc>
      </w:tr>
      <w:tr w:rsidR="00C8044F" w:rsidRPr="00C8044F" w14:paraId="3C4D55A1" w14:textId="77777777" w:rsidTr="00824014">
        <w:trPr>
          <w:trHeight w:val="255"/>
        </w:trPr>
        <w:tc>
          <w:tcPr>
            <w:tcW w:w="3830" w:type="dxa"/>
            <w:tcBorders>
              <w:right w:val="nil"/>
            </w:tcBorders>
            <w:shd w:val="clear" w:color="auto" w:fill="auto"/>
            <w:noWrap/>
            <w:vAlign w:val="bottom"/>
            <w:hideMark/>
          </w:tcPr>
          <w:p w14:paraId="5DD9473A"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Slovenská informačná služba    </w:t>
            </w:r>
          </w:p>
        </w:tc>
        <w:tc>
          <w:tcPr>
            <w:tcW w:w="1135" w:type="dxa"/>
            <w:tcBorders>
              <w:top w:val="nil"/>
              <w:left w:val="nil"/>
              <w:bottom w:val="nil"/>
              <w:right w:val="nil"/>
            </w:tcBorders>
            <w:shd w:val="clear" w:color="auto" w:fill="auto"/>
            <w:noWrap/>
            <w:vAlign w:val="bottom"/>
            <w:hideMark/>
          </w:tcPr>
          <w:p w14:paraId="738E53B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63 968</w:t>
            </w:r>
          </w:p>
        </w:tc>
        <w:tc>
          <w:tcPr>
            <w:tcW w:w="1135" w:type="dxa"/>
            <w:tcBorders>
              <w:top w:val="nil"/>
              <w:left w:val="nil"/>
              <w:bottom w:val="nil"/>
              <w:right w:val="nil"/>
            </w:tcBorders>
            <w:shd w:val="clear" w:color="auto" w:fill="auto"/>
            <w:noWrap/>
            <w:vAlign w:val="bottom"/>
            <w:hideMark/>
          </w:tcPr>
          <w:p w14:paraId="362F411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63 968</w:t>
            </w:r>
          </w:p>
        </w:tc>
        <w:tc>
          <w:tcPr>
            <w:tcW w:w="1135" w:type="dxa"/>
            <w:tcBorders>
              <w:top w:val="nil"/>
              <w:left w:val="nil"/>
              <w:bottom w:val="nil"/>
              <w:right w:val="nil"/>
            </w:tcBorders>
            <w:shd w:val="clear" w:color="auto" w:fill="auto"/>
            <w:noWrap/>
            <w:vAlign w:val="bottom"/>
            <w:hideMark/>
          </w:tcPr>
          <w:p w14:paraId="4DE0070F"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82 088</w:t>
            </w:r>
          </w:p>
        </w:tc>
        <w:tc>
          <w:tcPr>
            <w:tcW w:w="1135" w:type="dxa"/>
            <w:tcBorders>
              <w:top w:val="nil"/>
              <w:left w:val="nil"/>
              <w:bottom w:val="nil"/>
              <w:right w:val="nil"/>
            </w:tcBorders>
            <w:shd w:val="clear" w:color="auto" w:fill="auto"/>
            <w:noWrap/>
            <w:vAlign w:val="bottom"/>
          </w:tcPr>
          <w:p w14:paraId="267BBB2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18 120</w:t>
            </w:r>
          </w:p>
        </w:tc>
        <w:tc>
          <w:tcPr>
            <w:tcW w:w="702" w:type="dxa"/>
            <w:tcBorders>
              <w:top w:val="nil"/>
              <w:left w:val="nil"/>
              <w:bottom w:val="nil"/>
              <w:right w:val="nil"/>
            </w:tcBorders>
            <w:shd w:val="clear" w:color="auto" w:fill="auto"/>
            <w:noWrap/>
            <w:vAlign w:val="bottom"/>
          </w:tcPr>
          <w:p w14:paraId="73C7351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128,3</w:t>
            </w:r>
          </w:p>
        </w:tc>
      </w:tr>
      <w:tr w:rsidR="00C8044F" w:rsidRPr="00C8044F" w14:paraId="5F0148DB" w14:textId="77777777" w:rsidTr="00824014">
        <w:trPr>
          <w:trHeight w:val="255"/>
        </w:trPr>
        <w:tc>
          <w:tcPr>
            <w:tcW w:w="3830" w:type="dxa"/>
            <w:tcBorders>
              <w:right w:val="nil"/>
            </w:tcBorders>
            <w:shd w:val="clear" w:color="auto" w:fill="auto"/>
            <w:noWrap/>
            <w:vAlign w:val="bottom"/>
            <w:hideMark/>
          </w:tcPr>
          <w:p w14:paraId="7DDACF09"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Ministerstvo zahraničných vecí a európskych záležitostí SR</w:t>
            </w:r>
          </w:p>
        </w:tc>
        <w:tc>
          <w:tcPr>
            <w:tcW w:w="1135" w:type="dxa"/>
            <w:tcBorders>
              <w:top w:val="nil"/>
              <w:left w:val="nil"/>
              <w:bottom w:val="nil"/>
              <w:right w:val="nil"/>
            </w:tcBorders>
            <w:shd w:val="clear" w:color="auto" w:fill="auto"/>
            <w:noWrap/>
            <w:vAlign w:val="bottom"/>
            <w:hideMark/>
          </w:tcPr>
          <w:p w14:paraId="4E458C65"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154 381</w:t>
            </w:r>
          </w:p>
        </w:tc>
        <w:tc>
          <w:tcPr>
            <w:tcW w:w="1135" w:type="dxa"/>
            <w:tcBorders>
              <w:top w:val="nil"/>
              <w:left w:val="nil"/>
              <w:bottom w:val="nil"/>
              <w:right w:val="nil"/>
            </w:tcBorders>
            <w:shd w:val="clear" w:color="auto" w:fill="auto"/>
            <w:noWrap/>
            <w:vAlign w:val="bottom"/>
            <w:hideMark/>
          </w:tcPr>
          <w:p w14:paraId="5D27EFE8"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154 381</w:t>
            </w:r>
          </w:p>
        </w:tc>
        <w:tc>
          <w:tcPr>
            <w:tcW w:w="1135" w:type="dxa"/>
            <w:tcBorders>
              <w:top w:val="nil"/>
              <w:left w:val="nil"/>
              <w:bottom w:val="nil"/>
              <w:right w:val="nil"/>
            </w:tcBorders>
            <w:shd w:val="clear" w:color="auto" w:fill="auto"/>
            <w:noWrap/>
            <w:vAlign w:val="bottom"/>
            <w:hideMark/>
          </w:tcPr>
          <w:p w14:paraId="602B82B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167 917</w:t>
            </w:r>
          </w:p>
        </w:tc>
        <w:tc>
          <w:tcPr>
            <w:tcW w:w="1135" w:type="dxa"/>
            <w:tcBorders>
              <w:top w:val="nil"/>
              <w:left w:val="nil"/>
              <w:bottom w:val="nil"/>
              <w:right w:val="nil"/>
            </w:tcBorders>
            <w:shd w:val="clear" w:color="auto" w:fill="auto"/>
            <w:noWrap/>
            <w:vAlign w:val="bottom"/>
          </w:tcPr>
          <w:p w14:paraId="0043058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13 536</w:t>
            </w:r>
          </w:p>
        </w:tc>
        <w:tc>
          <w:tcPr>
            <w:tcW w:w="702" w:type="dxa"/>
            <w:tcBorders>
              <w:top w:val="nil"/>
              <w:left w:val="nil"/>
              <w:bottom w:val="nil"/>
              <w:right w:val="nil"/>
            </w:tcBorders>
            <w:shd w:val="clear" w:color="auto" w:fill="auto"/>
            <w:noWrap/>
            <w:vAlign w:val="bottom"/>
          </w:tcPr>
          <w:p w14:paraId="2638758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108,8</w:t>
            </w:r>
          </w:p>
        </w:tc>
      </w:tr>
      <w:tr w:rsidR="00C8044F" w:rsidRPr="00C8044F" w14:paraId="29EFEFBA" w14:textId="77777777" w:rsidTr="00824014">
        <w:trPr>
          <w:trHeight w:val="255"/>
        </w:trPr>
        <w:tc>
          <w:tcPr>
            <w:tcW w:w="3830" w:type="dxa"/>
            <w:tcBorders>
              <w:right w:val="nil"/>
            </w:tcBorders>
            <w:shd w:val="clear" w:color="auto" w:fill="auto"/>
            <w:noWrap/>
            <w:vAlign w:val="bottom"/>
            <w:hideMark/>
          </w:tcPr>
          <w:p w14:paraId="4F54E41B"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obrany SR         </w:t>
            </w:r>
          </w:p>
        </w:tc>
        <w:tc>
          <w:tcPr>
            <w:tcW w:w="1135" w:type="dxa"/>
            <w:tcBorders>
              <w:top w:val="nil"/>
              <w:left w:val="nil"/>
              <w:bottom w:val="nil"/>
              <w:right w:val="nil"/>
            </w:tcBorders>
            <w:shd w:val="clear" w:color="auto" w:fill="auto"/>
            <w:noWrap/>
            <w:vAlign w:val="bottom"/>
            <w:hideMark/>
          </w:tcPr>
          <w:p w14:paraId="06BFC4E4"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1 333 186</w:t>
            </w:r>
          </w:p>
        </w:tc>
        <w:tc>
          <w:tcPr>
            <w:tcW w:w="1135" w:type="dxa"/>
            <w:tcBorders>
              <w:top w:val="nil"/>
              <w:left w:val="nil"/>
              <w:bottom w:val="nil"/>
              <w:right w:val="nil"/>
            </w:tcBorders>
            <w:shd w:val="clear" w:color="auto" w:fill="auto"/>
            <w:noWrap/>
            <w:vAlign w:val="bottom"/>
            <w:hideMark/>
          </w:tcPr>
          <w:p w14:paraId="05F11395"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1 333 186</w:t>
            </w:r>
          </w:p>
        </w:tc>
        <w:tc>
          <w:tcPr>
            <w:tcW w:w="1135" w:type="dxa"/>
            <w:tcBorders>
              <w:top w:val="nil"/>
              <w:left w:val="nil"/>
              <w:bottom w:val="nil"/>
              <w:right w:val="nil"/>
            </w:tcBorders>
            <w:shd w:val="clear" w:color="auto" w:fill="auto"/>
            <w:noWrap/>
            <w:vAlign w:val="bottom"/>
            <w:hideMark/>
          </w:tcPr>
          <w:p w14:paraId="0C88E9D0"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1 964 782</w:t>
            </w:r>
          </w:p>
        </w:tc>
        <w:tc>
          <w:tcPr>
            <w:tcW w:w="1135" w:type="dxa"/>
            <w:tcBorders>
              <w:top w:val="nil"/>
              <w:left w:val="nil"/>
              <w:bottom w:val="nil"/>
              <w:right w:val="nil"/>
            </w:tcBorders>
            <w:shd w:val="clear" w:color="auto" w:fill="auto"/>
            <w:noWrap/>
            <w:vAlign w:val="bottom"/>
          </w:tcPr>
          <w:p w14:paraId="7B7E8A41"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631 596</w:t>
            </w:r>
          </w:p>
        </w:tc>
        <w:tc>
          <w:tcPr>
            <w:tcW w:w="702" w:type="dxa"/>
            <w:tcBorders>
              <w:top w:val="nil"/>
              <w:left w:val="nil"/>
              <w:bottom w:val="nil"/>
              <w:right w:val="nil"/>
            </w:tcBorders>
            <w:shd w:val="clear" w:color="auto" w:fill="auto"/>
            <w:noWrap/>
            <w:vAlign w:val="bottom"/>
          </w:tcPr>
          <w:p w14:paraId="408ADA92"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147,4</w:t>
            </w:r>
          </w:p>
        </w:tc>
      </w:tr>
      <w:tr w:rsidR="00C8044F" w:rsidRPr="00C8044F" w14:paraId="792C8D4E" w14:textId="77777777" w:rsidTr="00824014">
        <w:trPr>
          <w:trHeight w:val="255"/>
        </w:trPr>
        <w:tc>
          <w:tcPr>
            <w:tcW w:w="3830" w:type="dxa"/>
            <w:tcBorders>
              <w:right w:val="nil"/>
            </w:tcBorders>
            <w:shd w:val="clear" w:color="auto" w:fill="auto"/>
            <w:noWrap/>
            <w:vAlign w:val="bottom"/>
            <w:hideMark/>
          </w:tcPr>
          <w:p w14:paraId="74CC807E"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vnútra SR         </w:t>
            </w:r>
          </w:p>
        </w:tc>
        <w:tc>
          <w:tcPr>
            <w:tcW w:w="1135" w:type="dxa"/>
            <w:tcBorders>
              <w:top w:val="nil"/>
              <w:left w:val="nil"/>
              <w:bottom w:val="nil"/>
              <w:right w:val="nil"/>
            </w:tcBorders>
            <w:shd w:val="clear" w:color="auto" w:fill="auto"/>
            <w:noWrap/>
            <w:vAlign w:val="bottom"/>
            <w:hideMark/>
          </w:tcPr>
          <w:p w14:paraId="646A5E6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1 635 876</w:t>
            </w:r>
          </w:p>
        </w:tc>
        <w:tc>
          <w:tcPr>
            <w:tcW w:w="1135" w:type="dxa"/>
            <w:tcBorders>
              <w:top w:val="nil"/>
              <w:left w:val="nil"/>
              <w:bottom w:val="nil"/>
              <w:right w:val="nil"/>
            </w:tcBorders>
            <w:shd w:val="clear" w:color="auto" w:fill="auto"/>
            <w:noWrap/>
            <w:vAlign w:val="bottom"/>
            <w:hideMark/>
          </w:tcPr>
          <w:p w14:paraId="5FB38BC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1 635 876</w:t>
            </w:r>
          </w:p>
        </w:tc>
        <w:tc>
          <w:tcPr>
            <w:tcW w:w="1135" w:type="dxa"/>
            <w:tcBorders>
              <w:top w:val="nil"/>
              <w:left w:val="nil"/>
              <w:bottom w:val="nil"/>
              <w:right w:val="nil"/>
            </w:tcBorders>
            <w:shd w:val="clear" w:color="auto" w:fill="auto"/>
            <w:noWrap/>
            <w:vAlign w:val="bottom"/>
            <w:hideMark/>
          </w:tcPr>
          <w:p w14:paraId="06061149"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1 856 878</w:t>
            </w:r>
          </w:p>
        </w:tc>
        <w:tc>
          <w:tcPr>
            <w:tcW w:w="1135" w:type="dxa"/>
            <w:tcBorders>
              <w:top w:val="nil"/>
              <w:left w:val="nil"/>
              <w:bottom w:val="nil"/>
              <w:right w:val="nil"/>
            </w:tcBorders>
            <w:shd w:val="clear" w:color="auto" w:fill="auto"/>
            <w:noWrap/>
            <w:vAlign w:val="bottom"/>
          </w:tcPr>
          <w:p w14:paraId="31D1D5A4"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221 002</w:t>
            </w:r>
          </w:p>
        </w:tc>
        <w:tc>
          <w:tcPr>
            <w:tcW w:w="702" w:type="dxa"/>
            <w:tcBorders>
              <w:top w:val="nil"/>
              <w:left w:val="nil"/>
              <w:bottom w:val="nil"/>
              <w:right w:val="nil"/>
            </w:tcBorders>
            <w:shd w:val="clear" w:color="auto" w:fill="auto"/>
            <w:noWrap/>
            <w:vAlign w:val="bottom"/>
          </w:tcPr>
          <w:p w14:paraId="59FDD04A"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113,5</w:t>
            </w:r>
          </w:p>
        </w:tc>
      </w:tr>
      <w:tr w:rsidR="00C8044F" w:rsidRPr="00C8044F" w14:paraId="56E5D47A" w14:textId="77777777" w:rsidTr="00824014">
        <w:trPr>
          <w:trHeight w:val="255"/>
        </w:trPr>
        <w:tc>
          <w:tcPr>
            <w:tcW w:w="3830" w:type="dxa"/>
            <w:tcBorders>
              <w:right w:val="nil"/>
            </w:tcBorders>
            <w:shd w:val="clear" w:color="auto" w:fill="auto"/>
            <w:noWrap/>
            <w:vAlign w:val="bottom"/>
            <w:hideMark/>
          </w:tcPr>
          <w:p w14:paraId="3D35F527"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spravodlivosti SR </w:t>
            </w:r>
          </w:p>
        </w:tc>
        <w:tc>
          <w:tcPr>
            <w:tcW w:w="1135" w:type="dxa"/>
            <w:tcBorders>
              <w:top w:val="nil"/>
              <w:left w:val="nil"/>
              <w:bottom w:val="nil"/>
              <w:right w:val="nil"/>
            </w:tcBorders>
            <w:shd w:val="clear" w:color="auto" w:fill="auto"/>
            <w:noWrap/>
            <w:vAlign w:val="bottom"/>
            <w:hideMark/>
          </w:tcPr>
          <w:p w14:paraId="5A0AB0E8"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572 850</w:t>
            </w:r>
          </w:p>
        </w:tc>
        <w:tc>
          <w:tcPr>
            <w:tcW w:w="1135" w:type="dxa"/>
            <w:tcBorders>
              <w:top w:val="nil"/>
              <w:left w:val="nil"/>
              <w:bottom w:val="nil"/>
              <w:right w:val="nil"/>
            </w:tcBorders>
            <w:shd w:val="clear" w:color="auto" w:fill="auto"/>
            <w:noWrap/>
            <w:vAlign w:val="bottom"/>
            <w:hideMark/>
          </w:tcPr>
          <w:p w14:paraId="6731A904"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572 850</w:t>
            </w:r>
          </w:p>
        </w:tc>
        <w:tc>
          <w:tcPr>
            <w:tcW w:w="1135" w:type="dxa"/>
            <w:tcBorders>
              <w:top w:val="nil"/>
              <w:left w:val="nil"/>
              <w:bottom w:val="nil"/>
              <w:right w:val="nil"/>
            </w:tcBorders>
            <w:shd w:val="clear" w:color="auto" w:fill="auto"/>
            <w:noWrap/>
            <w:vAlign w:val="bottom"/>
            <w:hideMark/>
          </w:tcPr>
          <w:p w14:paraId="772DFE8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556 262</w:t>
            </w:r>
          </w:p>
        </w:tc>
        <w:tc>
          <w:tcPr>
            <w:tcW w:w="1135" w:type="dxa"/>
            <w:tcBorders>
              <w:top w:val="nil"/>
              <w:left w:val="nil"/>
              <w:bottom w:val="nil"/>
              <w:right w:val="nil"/>
            </w:tcBorders>
            <w:shd w:val="clear" w:color="auto" w:fill="auto"/>
            <w:noWrap/>
            <w:vAlign w:val="bottom"/>
          </w:tcPr>
          <w:p w14:paraId="3A8984F6"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-16 588</w:t>
            </w:r>
          </w:p>
        </w:tc>
        <w:tc>
          <w:tcPr>
            <w:tcW w:w="702" w:type="dxa"/>
            <w:tcBorders>
              <w:top w:val="nil"/>
              <w:left w:val="nil"/>
              <w:bottom w:val="nil"/>
              <w:right w:val="nil"/>
            </w:tcBorders>
            <w:shd w:val="clear" w:color="auto" w:fill="auto"/>
            <w:noWrap/>
            <w:vAlign w:val="bottom"/>
          </w:tcPr>
          <w:p w14:paraId="48BEB300"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97,1</w:t>
            </w:r>
          </w:p>
        </w:tc>
      </w:tr>
      <w:tr w:rsidR="00C8044F" w:rsidRPr="00C8044F" w14:paraId="64966399" w14:textId="77777777" w:rsidTr="00824014">
        <w:trPr>
          <w:trHeight w:val="255"/>
        </w:trPr>
        <w:tc>
          <w:tcPr>
            <w:tcW w:w="3830" w:type="dxa"/>
            <w:tcBorders>
              <w:right w:val="nil"/>
            </w:tcBorders>
            <w:shd w:val="clear" w:color="auto" w:fill="auto"/>
            <w:noWrap/>
            <w:vAlign w:val="bottom"/>
            <w:hideMark/>
          </w:tcPr>
          <w:p w14:paraId="4A151F1E"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financií SR       </w:t>
            </w:r>
          </w:p>
        </w:tc>
        <w:tc>
          <w:tcPr>
            <w:tcW w:w="1135" w:type="dxa"/>
            <w:tcBorders>
              <w:top w:val="nil"/>
              <w:left w:val="nil"/>
              <w:bottom w:val="nil"/>
              <w:right w:val="nil"/>
            </w:tcBorders>
            <w:shd w:val="clear" w:color="auto" w:fill="auto"/>
            <w:noWrap/>
            <w:vAlign w:val="bottom"/>
            <w:hideMark/>
          </w:tcPr>
          <w:p w14:paraId="275790B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549 748</w:t>
            </w:r>
          </w:p>
        </w:tc>
        <w:tc>
          <w:tcPr>
            <w:tcW w:w="1135" w:type="dxa"/>
            <w:tcBorders>
              <w:top w:val="nil"/>
              <w:left w:val="nil"/>
              <w:bottom w:val="nil"/>
              <w:right w:val="nil"/>
            </w:tcBorders>
            <w:shd w:val="clear" w:color="auto" w:fill="auto"/>
            <w:noWrap/>
            <w:vAlign w:val="bottom"/>
            <w:hideMark/>
          </w:tcPr>
          <w:p w14:paraId="6557E65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549 748</w:t>
            </w:r>
          </w:p>
        </w:tc>
        <w:tc>
          <w:tcPr>
            <w:tcW w:w="1135" w:type="dxa"/>
            <w:tcBorders>
              <w:top w:val="nil"/>
              <w:left w:val="nil"/>
              <w:bottom w:val="nil"/>
              <w:right w:val="nil"/>
            </w:tcBorders>
            <w:shd w:val="clear" w:color="auto" w:fill="auto"/>
            <w:noWrap/>
            <w:vAlign w:val="bottom"/>
            <w:hideMark/>
          </w:tcPr>
          <w:p w14:paraId="782C8F5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603 727</w:t>
            </w:r>
          </w:p>
        </w:tc>
        <w:tc>
          <w:tcPr>
            <w:tcW w:w="1135" w:type="dxa"/>
            <w:tcBorders>
              <w:top w:val="nil"/>
              <w:left w:val="nil"/>
              <w:bottom w:val="nil"/>
              <w:right w:val="nil"/>
            </w:tcBorders>
            <w:shd w:val="clear" w:color="auto" w:fill="auto"/>
            <w:noWrap/>
            <w:vAlign w:val="bottom"/>
          </w:tcPr>
          <w:p w14:paraId="6083E07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53 979</w:t>
            </w:r>
          </w:p>
        </w:tc>
        <w:tc>
          <w:tcPr>
            <w:tcW w:w="702" w:type="dxa"/>
            <w:tcBorders>
              <w:top w:val="nil"/>
              <w:left w:val="nil"/>
              <w:bottom w:val="nil"/>
              <w:right w:val="nil"/>
            </w:tcBorders>
            <w:shd w:val="clear" w:color="auto" w:fill="auto"/>
            <w:noWrap/>
            <w:vAlign w:val="bottom"/>
          </w:tcPr>
          <w:p w14:paraId="3E47D3D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109,8</w:t>
            </w:r>
          </w:p>
        </w:tc>
      </w:tr>
      <w:tr w:rsidR="00C8044F" w:rsidRPr="00C8044F" w14:paraId="6EE35694" w14:textId="77777777" w:rsidTr="00824014">
        <w:trPr>
          <w:trHeight w:val="255"/>
        </w:trPr>
        <w:tc>
          <w:tcPr>
            <w:tcW w:w="3830" w:type="dxa"/>
            <w:tcBorders>
              <w:right w:val="nil"/>
            </w:tcBorders>
            <w:shd w:val="clear" w:color="auto" w:fill="auto"/>
            <w:noWrap/>
            <w:vAlign w:val="bottom"/>
            <w:hideMark/>
          </w:tcPr>
          <w:p w14:paraId="7877E0E3"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životného prostredia  SR  </w:t>
            </w:r>
          </w:p>
        </w:tc>
        <w:tc>
          <w:tcPr>
            <w:tcW w:w="1135" w:type="dxa"/>
            <w:tcBorders>
              <w:top w:val="nil"/>
              <w:left w:val="nil"/>
              <w:bottom w:val="nil"/>
              <w:right w:val="nil"/>
            </w:tcBorders>
            <w:shd w:val="clear" w:color="auto" w:fill="auto"/>
            <w:noWrap/>
            <w:vAlign w:val="bottom"/>
            <w:hideMark/>
          </w:tcPr>
          <w:p w14:paraId="29FB4B6B"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565 719</w:t>
            </w:r>
          </w:p>
        </w:tc>
        <w:tc>
          <w:tcPr>
            <w:tcW w:w="1135" w:type="dxa"/>
            <w:tcBorders>
              <w:top w:val="nil"/>
              <w:left w:val="nil"/>
              <w:bottom w:val="nil"/>
              <w:right w:val="nil"/>
            </w:tcBorders>
            <w:shd w:val="clear" w:color="auto" w:fill="auto"/>
            <w:noWrap/>
            <w:vAlign w:val="bottom"/>
            <w:hideMark/>
          </w:tcPr>
          <w:p w14:paraId="2889118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565 719</w:t>
            </w:r>
          </w:p>
        </w:tc>
        <w:tc>
          <w:tcPr>
            <w:tcW w:w="1135" w:type="dxa"/>
            <w:tcBorders>
              <w:top w:val="nil"/>
              <w:left w:val="nil"/>
              <w:bottom w:val="nil"/>
              <w:right w:val="nil"/>
            </w:tcBorders>
            <w:shd w:val="clear" w:color="auto" w:fill="auto"/>
            <w:noWrap/>
            <w:vAlign w:val="bottom"/>
            <w:hideMark/>
          </w:tcPr>
          <w:p w14:paraId="2D7230B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389 824</w:t>
            </w:r>
          </w:p>
        </w:tc>
        <w:tc>
          <w:tcPr>
            <w:tcW w:w="1135" w:type="dxa"/>
            <w:tcBorders>
              <w:top w:val="nil"/>
              <w:left w:val="nil"/>
              <w:bottom w:val="nil"/>
              <w:right w:val="nil"/>
            </w:tcBorders>
            <w:shd w:val="clear" w:color="auto" w:fill="auto"/>
            <w:noWrap/>
            <w:vAlign w:val="bottom"/>
          </w:tcPr>
          <w:p w14:paraId="10C40A64"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-175 895</w:t>
            </w:r>
          </w:p>
        </w:tc>
        <w:tc>
          <w:tcPr>
            <w:tcW w:w="702" w:type="dxa"/>
            <w:tcBorders>
              <w:top w:val="nil"/>
              <w:left w:val="nil"/>
              <w:bottom w:val="nil"/>
              <w:right w:val="nil"/>
            </w:tcBorders>
            <w:shd w:val="clear" w:color="auto" w:fill="auto"/>
            <w:noWrap/>
            <w:vAlign w:val="bottom"/>
          </w:tcPr>
          <w:p w14:paraId="4BCF685B"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68,9</w:t>
            </w:r>
          </w:p>
        </w:tc>
      </w:tr>
      <w:tr w:rsidR="00C8044F" w:rsidRPr="00C8044F" w14:paraId="2117BE04" w14:textId="77777777" w:rsidTr="00824014">
        <w:trPr>
          <w:trHeight w:val="255"/>
        </w:trPr>
        <w:tc>
          <w:tcPr>
            <w:tcW w:w="3830" w:type="dxa"/>
            <w:tcBorders>
              <w:right w:val="nil"/>
            </w:tcBorders>
            <w:shd w:val="clear" w:color="auto" w:fill="auto"/>
            <w:noWrap/>
            <w:vAlign w:val="bottom"/>
            <w:hideMark/>
          </w:tcPr>
          <w:p w14:paraId="227D5EB5"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Ministerstvo školstva, vedy, výskumu a športu SR</w:t>
            </w:r>
          </w:p>
        </w:tc>
        <w:tc>
          <w:tcPr>
            <w:tcW w:w="1135" w:type="dxa"/>
            <w:tcBorders>
              <w:top w:val="nil"/>
              <w:left w:val="nil"/>
              <w:bottom w:val="nil"/>
              <w:right w:val="nil"/>
            </w:tcBorders>
            <w:shd w:val="clear" w:color="auto" w:fill="auto"/>
            <w:noWrap/>
            <w:vAlign w:val="bottom"/>
            <w:hideMark/>
          </w:tcPr>
          <w:p w14:paraId="3EA711C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3 643 685</w:t>
            </w:r>
          </w:p>
        </w:tc>
        <w:tc>
          <w:tcPr>
            <w:tcW w:w="1135" w:type="dxa"/>
            <w:tcBorders>
              <w:top w:val="nil"/>
              <w:left w:val="nil"/>
              <w:bottom w:val="nil"/>
              <w:right w:val="nil"/>
            </w:tcBorders>
            <w:shd w:val="clear" w:color="auto" w:fill="auto"/>
            <w:noWrap/>
            <w:vAlign w:val="bottom"/>
            <w:hideMark/>
          </w:tcPr>
          <w:p w14:paraId="2A62F3B0"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3 643 685</w:t>
            </w:r>
          </w:p>
        </w:tc>
        <w:tc>
          <w:tcPr>
            <w:tcW w:w="1135" w:type="dxa"/>
            <w:tcBorders>
              <w:top w:val="nil"/>
              <w:left w:val="nil"/>
              <w:bottom w:val="nil"/>
              <w:right w:val="nil"/>
            </w:tcBorders>
            <w:shd w:val="clear" w:color="auto" w:fill="auto"/>
            <w:noWrap/>
            <w:vAlign w:val="bottom"/>
            <w:hideMark/>
          </w:tcPr>
          <w:p w14:paraId="312B775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3 464 350</w:t>
            </w:r>
          </w:p>
        </w:tc>
        <w:tc>
          <w:tcPr>
            <w:tcW w:w="1135" w:type="dxa"/>
            <w:tcBorders>
              <w:top w:val="nil"/>
              <w:left w:val="nil"/>
              <w:bottom w:val="nil"/>
              <w:right w:val="nil"/>
            </w:tcBorders>
            <w:shd w:val="clear" w:color="auto" w:fill="auto"/>
            <w:noWrap/>
            <w:vAlign w:val="bottom"/>
          </w:tcPr>
          <w:p w14:paraId="6B8DF442"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-179 335</w:t>
            </w:r>
          </w:p>
        </w:tc>
        <w:tc>
          <w:tcPr>
            <w:tcW w:w="702" w:type="dxa"/>
            <w:tcBorders>
              <w:top w:val="nil"/>
              <w:left w:val="nil"/>
              <w:bottom w:val="nil"/>
              <w:right w:val="nil"/>
            </w:tcBorders>
            <w:shd w:val="clear" w:color="auto" w:fill="auto"/>
            <w:noWrap/>
            <w:vAlign w:val="bottom"/>
          </w:tcPr>
          <w:p w14:paraId="3FE075E6"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95,1</w:t>
            </w:r>
          </w:p>
        </w:tc>
      </w:tr>
      <w:tr w:rsidR="00C8044F" w:rsidRPr="00C8044F" w14:paraId="09A9DF9C" w14:textId="77777777" w:rsidTr="00824014">
        <w:trPr>
          <w:trHeight w:val="255"/>
        </w:trPr>
        <w:tc>
          <w:tcPr>
            <w:tcW w:w="3830" w:type="dxa"/>
            <w:tcBorders>
              <w:right w:val="nil"/>
            </w:tcBorders>
            <w:shd w:val="clear" w:color="auto" w:fill="auto"/>
            <w:noWrap/>
            <w:vAlign w:val="bottom"/>
            <w:hideMark/>
          </w:tcPr>
          <w:p w14:paraId="26E1618B"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zdravotníctva SR  </w:t>
            </w:r>
          </w:p>
        </w:tc>
        <w:tc>
          <w:tcPr>
            <w:tcW w:w="1135" w:type="dxa"/>
            <w:tcBorders>
              <w:top w:val="nil"/>
              <w:left w:val="nil"/>
              <w:bottom w:val="nil"/>
              <w:right w:val="nil"/>
            </w:tcBorders>
            <w:shd w:val="clear" w:color="auto" w:fill="auto"/>
            <w:noWrap/>
            <w:vAlign w:val="bottom"/>
            <w:hideMark/>
          </w:tcPr>
          <w:p w14:paraId="2F67CCE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1 606 465</w:t>
            </w:r>
          </w:p>
        </w:tc>
        <w:tc>
          <w:tcPr>
            <w:tcW w:w="1135" w:type="dxa"/>
            <w:tcBorders>
              <w:top w:val="nil"/>
              <w:left w:val="nil"/>
              <w:bottom w:val="nil"/>
              <w:right w:val="nil"/>
            </w:tcBorders>
            <w:shd w:val="clear" w:color="auto" w:fill="auto"/>
            <w:noWrap/>
            <w:vAlign w:val="bottom"/>
            <w:hideMark/>
          </w:tcPr>
          <w:p w14:paraId="3C2D086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1 606 465</w:t>
            </w:r>
          </w:p>
        </w:tc>
        <w:tc>
          <w:tcPr>
            <w:tcW w:w="1135" w:type="dxa"/>
            <w:tcBorders>
              <w:top w:val="nil"/>
              <w:left w:val="nil"/>
              <w:bottom w:val="nil"/>
              <w:right w:val="nil"/>
            </w:tcBorders>
            <w:shd w:val="clear" w:color="auto" w:fill="auto"/>
            <w:noWrap/>
            <w:vAlign w:val="bottom"/>
            <w:hideMark/>
          </w:tcPr>
          <w:p w14:paraId="26A8E1C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2 228 867</w:t>
            </w:r>
          </w:p>
        </w:tc>
        <w:tc>
          <w:tcPr>
            <w:tcW w:w="1135" w:type="dxa"/>
            <w:tcBorders>
              <w:top w:val="nil"/>
              <w:left w:val="nil"/>
              <w:bottom w:val="nil"/>
              <w:right w:val="nil"/>
            </w:tcBorders>
            <w:shd w:val="clear" w:color="auto" w:fill="auto"/>
            <w:noWrap/>
            <w:vAlign w:val="bottom"/>
          </w:tcPr>
          <w:p w14:paraId="37EAD1F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622 402</w:t>
            </w:r>
          </w:p>
        </w:tc>
        <w:tc>
          <w:tcPr>
            <w:tcW w:w="702" w:type="dxa"/>
            <w:tcBorders>
              <w:top w:val="nil"/>
              <w:left w:val="nil"/>
              <w:bottom w:val="nil"/>
              <w:right w:val="nil"/>
            </w:tcBorders>
            <w:shd w:val="clear" w:color="auto" w:fill="auto"/>
            <w:noWrap/>
            <w:vAlign w:val="bottom"/>
          </w:tcPr>
          <w:p w14:paraId="46857A19"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138,7</w:t>
            </w:r>
          </w:p>
        </w:tc>
      </w:tr>
      <w:tr w:rsidR="00C8044F" w:rsidRPr="00C8044F" w14:paraId="10232753" w14:textId="77777777" w:rsidTr="00824014">
        <w:trPr>
          <w:trHeight w:val="255"/>
        </w:trPr>
        <w:tc>
          <w:tcPr>
            <w:tcW w:w="3830" w:type="dxa"/>
            <w:tcBorders>
              <w:right w:val="nil"/>
            </w:tcBorders>
            <w:shd w:val="clear" w:color="auto" w:fill="auto"/>
            <w:noWrap/>
            <w:vAlign w:val="bottom"/>
            <w:hideMark/>
          </w:tcPr>
          <w:p w14:paraId="54F424EF" w14:textId="77777777" w:rsidR="00C8044F" w:rsidRPr="00C8044F" w:rsidRDefault="00C8044F" w:rsidP="00824014">
            <w:pPr>
              <w:spacing w:after="0" w:line="240" w:lineRule="auto"/>
              <w:ind w:right="-72"/>
              <w:jc w:val="left"/>
              <w:rPr>
                <w:rFonts w:eastAsia="Times New Roman" w:cs="Segoe UI"/>
                <w:sz w:val="18"/>
                <w:szCs w:val="18"/>
                <w:lang w:eastAsia="sk-SK"/>
              </w:rPr>
            </w:pPr>
            <w:r w:rsidRPr="00C8044F">
              <w:rPr>
                <w:rFonts w:eastAsia="Times New Roman" w:cs="Segoe UI"/>
                <w:sz w:val="18"/>
                <w:szCs w:val="18"/>
                <w:lang w:eastAsia="sk-SK"/>
              </w:rPr>
              <w:t xml:space="preserve">Ministerstvo práce, sociálnych vecí a rodiny SR </w:t>
            </w:r>
          </w:p>
        </w:tc>
        <w:tc>
          <w:tcPr>
            <w:tcW w:w="1135" w:type="dxa"/>
            <w:tcBorders>
              <w:top w:val="nil"/>
              <w:left w:val="nil"/>
              <w:bottom w:val="nil"/>
              <w:right w:val="nil"/>
            </w:tcBorders>
            <w:shd w:val="clear" w:color="auto" w:fill="auto"/>
            <w:noWrap/>
            <w:vAlign w:val="bottom"/>
            <w:hideMark/>
          </w:tcPr>
          <w:p w14:paraId="3539C6A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3 452 803</w:t>
            </w:r>
          </w:p>
        </w:tc>
        <w:tc>
          <w:tcPr>
            <w:tcW w:w="1135" w:type="dxa"/>
            <w:tcBorders>
              <w:top w:val="nil"/>
              <w:left w:val="nil"/>
              <w:bottom w:val="nil"/>
              <w:right w:val="nil"/>
            </w:tcBorders>
            <w:shd w:val="clear" w:color="auto" w:fill="auto"/>
            <w:noWrap/>
            <w:vAlign w:val="bottom"/>
            <w:hideMark/>
          </w:tcPr>
          <w:p w14:paraId="0487E399"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3 850 460</w:t>
            </w:r>
          </w:p>
        </w:tc>
        <w:tc>
          <w:tcPr>
            <w:tcW w:w="1135" w:type="dxa"/>
            <w:tcBorders>
              <w:top w:val="nil"/>
              <w:left w:val="nil"/>
              <w:bottom w:val="nil"/>
              <w:right w:val="nil"/>
            </w:tcBorders>
            <w:shd w:val="clear" w:color="auto" w:fill="auto"/>
            <w:noWrap/>
            <w:vAlign w:val="bottom"/>
            <w:hideMark/>
          </w:tcPr>
          <w:p w14:paraId="6C3304A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4 146 175</w:t>
            </w:r>
          </w:p>
        </w:tc>
        <w:tc>
          <w:tcPr>
            <w:tcW w:w="1135" w:type="dxa"/>
            <w:tcBorders>
              <w:top w:val="nil"/>
              <w:left w:val="nil"/>
              <w:bottom w:val="nil"/>
              <w:right w:val="nil"/>
            </w:tcBorders>
            <w:shd w:val="clear" w:color="auto" w:fill="auto"/>
            <w:noWrap/>
            <w:vAlign w:val="bottom"/>
          </w:tcPr>
          <w:p w14:paraId="7C464A9D"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295 715</w:t>
            </w:r>
          </w:p>
        </w:tc>
        <w:tc>
          <w:tcPr>
            <w:tcW w:w="702" w:type="dxa"/>
            <w:tcBorders>
              <w:top w:val="nil"/>
              <w:left w:val="nil"/>
              <w:bottom w:val="nil"/>
              <w:right w:val="nil"/>
            </w:tcBorders>
            <w:shd w:val="clear" w:color="auto" w:fill="auto"/>
            <w:noWrap/>
            <w:vAlign w:val="bottom"/>
          </w:tcPr>
          <w:p w14:paraId="2FA9620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107,7</w:t>
            </w:r>
          </w:p>
        </w:tc>
      </w:tr>
      <w:tr w:rsidR="00C8044F" w:rsidRPr="00C8044F" w14:paraId="79CFEC1E" w14:textId="77777777" w:rsidTr="00824014">
        <w:trPr>
          <w:trHeight w:val="255"/>
        </w:trPr>
        <w:tc>
          <w:tcPr>
            <w:tcW w:w="3830" w:type="dxa"/>
            <w:tcBorders>
              <w:right w:val="nil"/>
            </w:tcBorders>
            <w:shd w:val="clear" w:color="auto" w:fill="auto"/>
            <w:noWrap/>
            <w:vAlign w:val="bottom"/>
            <w:hideMark/>
          </w:tcPr>
          <w:p w14:paraId="2FA86123"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kultúry SR        </w:t>
            </w:r>
          </w:p>
        </w:tc>
        <w:tc>
          <w:tcPr>
            <w:tcW w:w="1135" w:type="dxa"/>
            <w:tcBorders>
              <w:top w:val="nil"/>
              <w:left w:val="nil"/>
              <w:bottom w:val="nil"/>
              <w:right w:val="nil"/>
            </w:tcBorders>
            <w:shd w:val="clear" w:color="auto" w:fill="auto"/>
            <w:noWrap/>
            <w:vAlign w:val="bottom"/>
            <w:hideMark/>
          </w:tcPr>
          <w:p w14:paraId="69A3483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318 937</w:t>
            </w:r>
          </w:p>
        </w:tc>
        <w:tc>
          <w:tcPr>
            <w:tcW w:w="1135" w:type="dxa"/>
            <w:tcBorders>
              <w:top w:val="nil"/>
              <w:left w:val="nil"/>
              <w:bottom w:val="nil"/>
              <w:right w:val="nil"/>
            </w:tcBorders>
            <w:shd w:val="clear" w:color="auto" w:fill="auto"/>
            <w:noWrap/>
            <w:vAlign w:val="bottom"/>
            <w:hideMark/>
          </w:tcPr>
          <w:p w14:paraId="3816514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318 937</w:t>
            </w:r>
          </w:p>
        </w:tc>
        <w:tc>
          <w:tcPr>
            <w:tcW w:w="1135" w:type="dxa"/>
            <w:tcBorders>
              <w:top w:val="nil"/>
              <w:left w:val="nil"/>
              <w:bottom w:val="nil"/>
              <w:right w:val="nil"/>
            </w:tcBorders>
            <w:shd w:val="clear" w:color="auto" w:fill="auto"/>
            <w:noWrap/>
            <w:vAlign w:val="bottom"/>
            <w:hideMark/>
          </w:tcPr>
          <w:p w14:paraId="4B38EED4"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365 973</w:t>
            </w:r>
          </w:p>
        </w:tc>
        <w:tc>
          <w:tcPr>
            <w:tcW w:w="1135" w:type="dxa"/>
            <w:tcBorders>
              <w:top w:val="nil"/>
              <w:left w:val="nil"/>
              <w:bottom w:val="nil"/>
              <w:right w:val="nil"/>
            </w:tcBorders>
            <w:shd w:val="clear" w:color="auto" w:fill="auto"/>
            <w:noWrap/>
            <w:vAlign w:val="bottom"/>
          </w:tcPr>
          <w:p w14:paraId="622F1348"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47 036</w:t>
            </w:r>
          </w:p>
        </w:tc>
        <w:tc>
          <w:tcPr>
            <w:tcW w:w="702" w:type="dxa"/>
            <w:tcBorders>
              <w:top w:val="nil"/>
              <w:left w:val="nil"/>
              <w:bottom w:val="nil"/>
              <w:right w:val="nil"/>
            </w:tcBorders>
            <w:shd w:val="clear" w:color="auto" w:fill="auto"/>
            <w:noWrap/>
            <w:vAlign w:val="bottom"/>
          </w:tcPr>
          <w:p w14:paraId="430389F2"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114,7</w:t>
            </w:r>
          </w:p>
        </w:tc>
      </w:tr>
      <w:tr w:rsidR="00C8044F" w:rsidRPr="00C8044F" w14:paraId="37850888" w14:textId="77777777" w:rsidTr="00824014">
        <w:trPr>
          <w:trHeight w:val="255"/>
        </w:trPr>
        <w:tc>
          <w:tcPr>
            <w:tcW w:w="3830" w:type="dxa"/>
            <w:tcBorders>
              <w:right w:val="nil"/>
            </w:tcBorders>
            <w:shd w:val="clear" w:color="auto" w:fill="auto"/>
            <w:noWrap/>
            <w:vAlign w:val="bottom"/>
            <w:hideMark/>
          </w:tcPr>
          <w:p w14:paraId="38A2279F"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hospodárstva SR   </w:t>
            </w:r>
          </w:p>
        </w:tc>
        <w:tc>
          <w:tcPr>
            <w:tcW w:w="1135" w:type="dxa"/>
            <w:tcBorders>
              <w:top w:val="nil"/>
              <w:left w:val="nil"/>
              <w:bottom w:val="nil"/>
              <w:right w:val="nil"/>
            </w:tcBorders>
            <w:shd w:val="clear" w:color="auto" w:fill="auto"/>
            <w:noWrap/>
            <w:vAlign w:val="bottom"/>
            <w:hideMark/>
          </w:tcPr>
          <w:p w14:paraId="3FD6C7D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516 505</w:t>
            </w:r>
          </w:p>
        </w:tc>
        <w:tc>
          <w:tcPr>
            <w:tcW w:w="1135" w:type="dxa"/>
            <w:tcBorders>
              <w:top w:val="nil"/>
              <w:left w:val="nil"/>
              <w:bottom w:val="nil"/>
              <w:right w:val="nil"/>
            </w:tcBorders>
            <w:shd w:val="clear" w:color="auto" w:fill="auto"/>
            <w:noWrap/>
            <w:vAlign w:val="bottom"/>
            <w:hideMark/>
          </w:tcPr>
          <w:p w14:paraId="2DBC7A9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1 416 505</w:t>
            </w:r>
          </w:p>
        </w:tc>
        <w:tc>
          <w:tcPr>
            <w:tcW w:w="1135" w:type="dxa"/>
            <w:tcBorders>
              <w:top w:val="nil"/>
              <w:left w:val="nil"/>
              <w:bottom w:val="nil"/>
              <w:right w:val="nil"/>
            </w:tcBorders>
            <w:shd w:val="clear" w:color="auto" w:fill="auto"/>
            <w:noWrap/>
            <w:vAlign w:val="bottom"/>
            <w:hideMark/>
          </w:tcPr>
          <w:p w14:paraId="32B7A848"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635 328</w:t>
            </w:r>
          </w:p>
        </w:tc>
        <w:tc>
          <w:tcPr>
            <w:tcW w:w="1135" w:type="dxa"/>
            <w:tcBorders>
              <w:top w:val="nil"/>
              <w:left w:val="nil"/>
              <w:bottom w:val="nil"/>
              <w:right w:val="nil"/>
            </w:tcBorders>
            <w:shd w:val="clear" w:color="auto" w:fill="auto"/>
            <w:noWrap/>
            <w:vAlign w:val="bottom"/>
          </w:tcPr>
          <w:p w14:paraId="4ABF9930"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-781 177</w:t>
            </w:r>
          </w:p>
        </w:tc>
        <w:tc>
          <w:tcPr>
            <w:tcW w:w="702" w:type="dxa"/>
            <w:tcBorders>
              <w:top w:val="nil"/>
              <w:left w:val="nil"/>
              <w:bottom w:val="nil"/>
              <w:right w:val="nil"/>
            </w:tcBorders>
            <w:shd w:val="clear" w:color="auto" w:fill="auto"/>
            <w:noWrap/>
            <w:vAlign w:val="bottom"/>
          </w:tcPr>
          <w:p w14:paraId="3364A7C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44,9</w:t>
            </w:r>
          </w:p>
        </w:tc>
      </w:tr>
      <w:tr w:rsidR="00C8044F" w:rsidRPr="00C8044F" w14:paraId="5A1510A4" w14:textId="77777777" w:rsidTr="00824014">
        <w:trPr>
          <w:trHeight w:val="255"/>
        </w:trPr>
        <w:tc>
          <w:tcPr>
            <w:tcW w:w="3830" w:type="dxa"/>
            <w:tcBorders>
              <w:right w:val="nil"/>
            </w:tcBorders>
            <w:shd w:val="clear" w:color="auto" w:fill="auto"/>
            <w:noWrap/>
            <w:vAlign w:val="bottom"/>
            <w:hideMark/>
          </w:tcPr>
          <w:p w14:paraId="05A52CB1"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pôdohospodárstva a rozvoja vidieka SR  </w:t>
            </w:r>
          </w:p>
        </w:tc>
        <w:tc>
          <w:tcPr>
            <w:tcW w:w="1135" w:type="dxa"/>
            <w:tcBorders>
              <w:top w:val="nil"/>
              <w:left w:val="nil"/>
              <w:bottom w:val="nil"/>
              <w:right w:val="nil"/>
            </w:tcBorders>
            <w:shd w:val="clear" w:color="auto" w:fill="auto"/>
            <w:noWrap/>
            <w:vAlign w:val="bottom"/>
            <w:hideMark/>
          </w:tcPr>
          <w:p w14:paraId="2CB02944"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12 213 616</w:t>
            </w:r>
          </w:p>
        </w:tc>
        <w:tc>
          <w:tcPr>
            <w:tcW w:w="1135" w:type="dxa"/>
            <w:tcBorders>
              <w:top w:val="nil"/>
              <w:left w:val="nil"/>
              <w:bottom w:val="nil"/>
              <w:right w:val="nil"/>
            </w:tcBorders>
            <w:shd w:val="clear" w:color="auto" w:fill="auto"/>
            <w:noWrap/>
            <w:vAlign w:val="bottom"/>
            <w:hideMark/>
          </w:tcPr>
          <w:p w14:paraId="7D2BDA8F"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1 213 616</w:t>
            </w:r>
          </w:p>
        </w:tc>
        <w:tc>
          <w:tcPr>
            <w:tcW w:w="1135" w:type="dxa"/>
            <w:tcBorders>
              <w:top w:val="nil"/>
              <w:left w:val="nil"/>
              <w:bottom w:val="nil"/>
              <w:right w:val="nil"/>
            </w:tcBorders>
            <w:shd w:val="clear" w:color="auto" w:fill="auto"/>
            <w:noWrap/>
            <w:vAlign w:val="bottom"/>
            <w:hideMark/>
          </w:tcPr>
          <w:p w14:paraId="166C9D62"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766 916</w:t>
            </w:r>
          </w:p>
        </w:tc>
        <w:tc>
          <w:tcPr>
            <w:tcW w:w="1135" w:type="dxa"/>
            <w:tcBorders>
              <w:top w:val="nil"/>
              <w:left w:val="nil"/>
              <w:bottom w:val="nil"/>
              <w:right w:val="nil"/>
            </w:tcBorders>
            <w:shd w:val="clear" w:color="auto" w:fill="auto"/>
            <w:noWrap/>
            <w:vAlign w:val="bottom"/>
          </w:tcPr>
          <w:p w14:paraId="5FDE6EC6"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-446 700</w:t>
            </w:r>
          </w:p>
        </w:tc>
        <w:tc>
          <w:tcPr>
            <w:tcW w:w="702" w:type="dxa"/>
            <w:tcBorders>
              <w:top w:val="nil"/>
              <w:left w:val="nil"/>
              <w:bottom w:val="nil"/>
              <w:right w:val="nil"/>
            </w:tcBorders>
            <w:shd w:val="clear" w:color="auto" w:fill="auto"/>
            <w:noWrap/>
            <w:vAlign w:val="bottom"/>
          </w:tcPr>
          <w:p w14:paraId="734C8847"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63,2</w:t>
            </w:r>
          </w:p>
        </w:tc>
      </w:tr>
      <w:tr w:rsidR="00C8044F" w:rsidRPr="00C8044F" w14:paraId="3BBE7BB6" w14:textId="77777777" w:rsidTr="00824014">
        <w:trPr>
          <w:trHeight w:val="255"/>
        </w:trPr>
        <w:tc>
          <w:tcPr>
            <w:tcW w:w="3830" w:type="dxa"/>
            <w:tcBorders>
              <w:right w:val="nil"/>
            </w:tcBorders>
            <w:shd w:val="clear" w:color="auto" w:fill="auto"/>
            <w:noWrap/>
            <w:vAlign w:val="bottom"/>
            <w:hideMark/>
          </w:tcPr>
          <w:p w14:paraId="752C3F5D"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Ministerstvo dopravy, výstavby a regionálneho rozvoja SR  </w:t>
            </w:r>
          </w:p>
        </w:tc>
        <w:tc>
          <w:tcPr>
            <w:tcW w:w="1135" w:type="dxa"/>
            <w:tcBorders>
              <w:top w:val="nil"/>
              <w:left w:val="nil"/>
              <w:bottom w:val="nil"/>
              <w:right w:val="nil"/>
            </w:tcBorders>
            <w:shd w:val="clear" w:color="auto" w:fill="auto"/>
            <w:noWrap/>
            <w:vAlign w:val="bottom"/>
            <w:hideMark/>
          </w:tcPr>
          <w:p w14:paraId="3D87C02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2 212 974</w:t>
            </w:r>
          </w:p>
        </w:tc>
        <w:tc>
          <w:tcPr>
            <w:tcW w:w="1135" w:type="dxa"/>
            <w:tcBorders>
              <w:top w:val="nil"/>
              <w:left w:val="nil"/>
              <w:bottom w:val="nil"/>
              <w:right w:val="nil"/>
            </w:tcBorders>
            <w:shd w:val="clear" w:color="auto" w:fill="auto"/>
            <w:noWrap/>
            <w:vAlign w:val="bottom"/>
            <w:hideMark/>
          </w:tcPr>
          <w:p w14:paraId="1BE4860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2 212 974</w:t>
            </w:r>
          </w:p>
        </w:tc>
        <w:tc>
          <w:tcPr>
            <w:tcW w:w="1135" w:type="dxa"/>
            <w:tcBorders>
              <w:top w:val="nil"/>
              <w:left w:val="nil"/>
              <w:bottom w:val="nil"/>
              <w:right w:val="nil"/>
            </w:tcBorders>
            <w:shd w:val="clear" w:color="auto" w:fill="auto"/>
            <w:noWrap/>
            <w:vAlign w:val="bottom"/>
            <w:hideMark/>
          </w:tcPr>
          <w:p w14:paraId="28F72BF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2 151 090</w:t>
            </w:r>
          </w:p>
        </w:tc>
        <w:tc>
          <w:tcPr>
            <w:tcW w:w="1135" w:type="dxa"/>
            <w:tcBorders>
              <w:top w:val="nil"/>
              <w:left w:val="nil"/>
              <w:bottom w:val="nil"/>
              <w:right w:val="nil"/>
            </w:tcBorders>
            <w:shd w:val="clear" w:color="auto" w:fill="auto"/>
            <w:noWrap/>
            <w:vAlign w:val="bottom"/>
          </w:tcPr>
          <w:p w14:paraId="2D5E5FA6"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-61 884</w:t>
            </w:r>
          </w:p>
        </w:tc>
        <w:tc>
          <w:tcPr>
            <w:tcW w:w="702" w:type="dxa"/>
            <w:tcBorders>
              <w:top w:val="nil"/>
              <w:left w:val="nil"/>
              <w:bottom w:val="nil"/>
              <w:right w:val="nil"/>
            </w:tcBorders>
            <w:shd w:val="clear" w:color="auto" w:fill="auto"/>
            <w:noWrap/>
            <w:vAlign w:val="bottom"/>
          </w:tcPr>
          <w:p w14:paraId="188830A2"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97,2</w:t>
            </w:r>
          </w:p>
        </w:tc>
      </w:tr>
      <w:tr w:rsidR="00C8044F" w:rsidRPr="00C8044F" w14:paraId="27938875" w14:textId="77777777" w:rsidTr="00824014">
        <w:trPr>
          <w:trHeight w:val="255"/>
        </w:trPr>
        <w:tc>
          <w:tcPr>
            <w:tcW w:w="3830" w:type="dxa"/>
            <w:tcBorders>
              <w:right w:val="nil"/>
            </w:tcBorders>
            <w:shd w:val="clear" w:color="auto" w:fill="auto"/>
            <w:noWrap/>
            <w:vAlign w:val="bottom"/>
            <w:hideMark/>
          </w:tcPr>
          <w:p w14:paraId="159CCC30"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Úrad geodézie, kartografie a katastra SR</w:t>
            </w:r>
          </w:p>
        </w:tc>
        <w:tc>
          <w:tcPr>
            <w:tcW w:w="1135" w:type="dxa"/>
            <w:tcBorders>
              <w:top w:val="nil"/>
              <w:left w:val="nil"/>
              <w:bottom w:val="nil"/>
              <w:right w:val="nil"/>
            </w:tcBorders>
            <w:shd w:val="clear" w:color="auto" w:fill="auto"/>
            <w:noWrap/>
            <w:vAlign w:val="bottom"/>
            <w:hideMark/>
          </w:tcPr>
          <w:p w14:paraId="3B52037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20 670</w:t>
            </w:r>
          </w:p>
        </w:tc>
        <w:tc>
          <w:tcPr>
            <w:tcW w:w="1135" w:type="dxa"/>
            <w:tcBorders>
              <w:top w:val="nil"/>
              <w:left w:val="nil"/>
              <w:bottom w:val="nil"/>
              <w:right w:val="nil"/>
            </w:tcBorders>
            <w:shd w:val="clear" w:color="auto" w:fill="auto"/>
            <w:noWrap/>
            <w:vAlign w:val="bottom"/>
            <w:hideMark/>
          </w:tcPr>
          <w:p w14:paraId="545B9E48"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20 670</w:t>
            </w:r>
          </w:p>
        </w:tc>
        <w:tc>
          <w:tcPr>
            <w:tcW w:w="1135" w:type="dxa"/>
            <w:tcBorders>
              <w:top w:val="nil"/>
              <w:left w:val="nil"/>
              <w:bottom w:val="nil"/>
              <w:right w:val="nil"/>
            </w:tcBorders>
            <w:shd w:val="clear" w:color="auto" w:fill="auto"/>
            <w:noWrap/>
            <w:vAlign w:val="bottom"/>
            <w:hideMark/>
          </w:tcPr>
          <w:p w14:paraId="59D416E2"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21 397</w:t>
            </w:r>
          </w:p>
        </w:tc>
        <w:tc>
          <w:tcPr>
            <w:tcW w:w="1135" w:type="dxa"/>
            <w:tcBorders>
              <w:top w:val="nil"/>
              <w:left w:val="nil"/>
              <w:bottom w:val="nil"/>
              <w:right w:val="nil"/>
            </w:tcBorders>
            <w:shd w:val="clear" w:color="auto" w:fill="auto"/>
            <w:noWrap/>
            <w:vAlign w:val="bottom"/>
          </w:tcPr>
          <w:p w14:paraId="387EB711"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727</w:t>
            </w:r>
          </w:p>
        </w:tc>
        <w:tc>
          <w:tcPr>
            <w:tcW w:w="702" w:type="dxa"/>
            <w:tcBorders>
              <w:top w:val="nil"/>
              <w:left w:val="nil"/>
              <w:bottom w:val="nil"/>
              <w:right w:val="nil"/>
            </w:tcBorders>
            <w:shd w:val="clear" w:color="auto" w:fill="auto"/>
            <w:noWrap/>
            <w:vAlign w:val="bottom"/>
          </w:tcPr>
          <w:p w14:paraId="7041CE48"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103,5</w:t>
            </w:r>
          </w:p>
        </w:tc>
      </w:tr>
      <w:tr w:rsidR="00C8044F" w:rsidRPr="00C8044F" w14:paraId="0C4C8EB0" w14:textId="77777777" w:rsidTr="00824014">
        <w:trPr>
          <w:trHeight w:val="255"/>
        </w:trPr>
        <w:tc>
          <w:tcPr>
            <w:tcW w:w="3830" w:type="dxa"/>
            <w:tcBorders>
              <w:right w:val="nil"/>
            </w:tcBorders>
            <w:shd w:val="clear" w:color="auto" w:fill="auto"/>
            <w:noWrap/>
            <w:vAlign w:val="bottom"/>
            <w:hideMark/>
          </w:tcPr>
          <w:p w14:paraId="61E6C459"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Štatistický úrad SR            </w:t>
            </w:r>
          </w:p>
        </w:tc>
        <w:tc>
          <w:tcPr>
            <w:tcW w:w="1135" w:type="dxa"/>
            <w:tcBorders>
              <w:top w:val="nil"/>
              <w:left w:val="nil"/>
              <w:bottom w:val="nil"/>
              <w:right w:val="nil"/>
            </w:tcBorders>
            <w:shd w:val="clear" w:color="auto" w:fill="auto"/>
            <w:noWrap/>
            <w:vAlign w:val="bottom"/>
            <w:hideMark/>
          </w:tcPr>
          <w:p w14:paraId="6D076DF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35 193</w:t>
            </w:r>
          </w:p>
        </w:tc>
        <w:tc>
          <w:tcPr>
            <w:tcW w:w="1135" w:type="dxa"/>
            <w:tcBorders>
              <w:top w:val="nil"/>
              <w:left w:val="nil"/>
              <w:bottom w:val="nil"/>
              <w:right w:val="nil"/>
            </w:tcBorders>
            <w:shd w:val="clear" w:color="auto" w:fill="auto"/>
            <w:noWrap/>
            <w:vAlign w:val="bottom"/>
            <w:hideMark/>
          </w:tcPr>
          <w:p w14:paraId="51134CB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35 193</w:t>
            </w:r>
          </w:p>
        </w:tc>
        <w:tc>
          <w:tcPr>
            <w:tcW w:w="1135" w:type="dxa"/>
            <w:tcBorders>
              <w:top w:val="nil"/>
              <w:left w:val="nil"/>
              <w:bottom w:val="nil"/>
              <w:right w:val="nil"/>
            </w:tcBorders>
            <w:shd w:val="clear" w:color="auto" w:fill="auto"/>
            <w:noWrap/>
            <w:vAlign w:val="bottom"/>
            <w:hideMark/>
          </w:tcPr>
          <w:p w14:paraId="6C72DF2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43 759</w:t>
            </w:r>
          </w:p>
        </w:tc>
        <w:tc>
          <w:tcPr>
            <w:tcW w:w="1135" w:type="dxa"/>
            <w:tcBorders>
              <w:top w:val="nil"/>
              <w:left w:val="nil"/>
              <w:bottom w:val="nil"/>
              <w:right w:val="nil"/>
            </w:tcBorders>
            <w:shd w:val="clear" w:color="auto" w:fill="auto"/>
            <w:noWrap/>
            <w:vAlign w:val="bottom"/>
          </w:tcPr>
          <w:p w14:paraId="0DE87AE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8 566</w:t>
            </w:r>
          </w:p>
        </w:tc>
        <w:tc>
          <w:tcPr>
            <w:tcW w:w="702" w:type="dxa"/>
            <w:tcBorders>
              <w:top w:val="nil"/>
              <w:left w:val="nil"/>
              <w:bottom w:val="nil"/>
              <w:right w:val="nil"/>
            </w:tcBorders>
            <w:shd w:val="clear" w:color="auto" w:fill="auto"/>
            <w:noWrap/>
            <w:vAlign w:val="bottom"/>
          </w:tcPr>
          <w:p w14:paraId="2ABF69DA"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124,3</w:t>
            </w:r>
          </w:p>
        </w:tc>
      </w:tr>
      <w:tr w:rsidR="00C8044F" w:rsidRPr="00C8044F" w14:paraId="74D95A35" w14:textId="77777777" w:rsidTr="00824014">
        <w:trPr>
          <w:trHeight w:val="255"/>
        </w:trPr>
        <w:tc>
          <w:tcPr>
            <w:tcW w:w="3830" w:type="dxa"/>
            <w:tcBorders>
              <w:right w:val="nil"/>
            </w:tcBorders>
            <w:shd w:val="clear" w:color="auto" w:fill="auto"/>
            <w:noWrap/>
            <w:vAlign w:val="bottom"/>
            <w:hideMark/>
          </w:tcPr>
          <w:p w14:paraId="700ABC25"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pre verejné obstarávanie </w:t>
            </w:r>
          </w:p>
        </w:tc>
        <w:tc>
          <w:tcPr>
            <w:tcW w:w="1135" w:type="dxa"/>
            <w:tcBorders>
              <w:top w:val="nil"/>
              <w:left w:val="nil"/>
              <w:bottom w:val="nil"/>
              <w:right w:val="nil"/>
            </w:tcBorders>
            <w:shd w:val="clear" w:color="auto" w:fill="auto"/>
            <w:noWrap/>
            <w:vAlign w:val="bottom"/>
            <w:hideMark/>
          </w:tcPr>
          <w:p w14:paraId="66E0B8D9"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10 848</w:t>
            </w:r>
          </w:p>
        </w:tc>
        <w:tc>
          <w:tcPr>
            <w:tcW w:w="1135" w:type="dxa"/>
            <w:tcBorders>
              <w:top w:val="nil"/>
              <w:left w:val="nil"/>
              <w:bottom w:val="nil"/>
              <w:right w:val="nil"/>
            </w:tcBorders>
            <w:shd w:val="clear" w:color="auto" w:fill="auto"/>
            <w:noWrap/>
            <w:vAlign w:val="bottom"/>
            <w:hideMark/>
          </w:tcPr>
          <w:p w14:paraId="56203BC4"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10 848</w:t>
            </w:r>
          </w:p>
        </w:tc>
        <w:tc>
          <w:tcPr>
            <w:tcW w:w="1135" w:type="dxa"/>
            <w:tcBorders>
              <w:top w:val="nil"/>
              <w:left w:val="nil"/>
              <w:bottom w:val="nil"/>
              <w:right w:val="nil"/>
            </w:tcBorders>
            <w:shd w:val="clear" w:color="auto" w:fill="auto"/>
            <w:noWrap/>
            <w:vAlign w:val="bottom"/>
            <w:hideMark/>
          </w:tcPr>
          <w:p w14:paraId="2DA1AD5D"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13 433</w:t>
            </w:r>
          </w:p>
        </w:tc>
        <w:tc>
          <w:tcPr>
            <w:tcW w:w="1135" w:type="dxa"/>
            <w:tcBorders>
              <w:top w:val="nil"/>
              <w:left w:val="nil"/>
              <w:bottom w:val="nil"/>
              <w:right w:val="nil"/>
            </w:tcBorders>
            <w:shd w:val="clear" w:color="auto" w:fill="auto"/>
            <w:noWrap/>
            <w:vAlign w:val="bottom"/>
          </w:tcPr>
          <w:p w14:paraId="2E84967D"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2 585</w:t>
            </w:r>
          </w:p>
        </w:tc>
        <w:tc>
          <w:tcPr>
            <w:tcW w:w="702" w:type="dxa"/>
            <w:tcBorders>
              <w:top w:val="nil"/>
              <w:left w:val="nil"/>
              <w:bottom w:val="nil"/>
              <w:right w:val="nil"/>
            </w:tcBorders>
            <w:shd w:val="clear" w:color="auto" w:fill="auto"/>
            <w:noWrap/>
            <w:vAlign w:val="bottom"/>
          </w:tcPr>
          <w:p w14:paraId="2F8DFAC0"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123,8</w:t>
            </w:r>
          </w:p>
        </w:tc>
      </w:tr>
      <w:tr w:rsidR="00C8044F" w:rsidRPr="00C8044F" w14:paraId="1A05DD9A" w14:textId="77777777" w:rsidTr="00824014">
        <w:trPr>
          <w:trHeight w:val="255"/>
        </w:trPr>
        <w:tc>
          <w:tcPr>
            <w:tcW w:w="3830" w:type="dxa"/>
            <w:tcBorders>
              <w:right w:val="nil"/>
            </w:tcBorders>
            <w:shd w:val="clear" w:color="auto" w:fill="auto"/>
            <w:noWrap/>
            <w:vAlign w:val="bottom"/>
            <w:hideMark/>
          </w:tcPr>
          <w:p w14:paraId="5166A7E0"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Úrad pre reguláciu sieťových  odvetví</w:t>
            </w:r>
          </w:p>
        </w:tc>
        <w:tc>
          <w:tcPr>
            <w:tcW w:w="1135" w:type="dxa"/>
            <w:tcBorders>
              <w:top w:val="nil"/>
              <w:left w:val="nil"/>
              <w:bottom w:val="nil"/>
              <w:right w:val="nil"/>
            </w:tcBorders>
            <w:shd w:val="clear" w:color="auto" w:fill="auto"/>
            <w:noWrap/>
            <w:vAlign w:val="bottom"/>
            <w:hideMark/>
          </w:tcPr>
          <w:p w14:paraId="6A4329B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5 045</w:t>
            </w:r>
          </w:p>
        </w:tc>
        <w:tc>
          <w:tcPr>
            <w:tcW w:w="1135" w:type="dxa"/>
            <w:tcBorders>
              <w:top w:val="nil"/>
              <w:left w:val="nil"/>
              <w:bottom w:val="nil"/>
              <w:right w:val="nil"/>
            </w:tcBorders>
            <w:shd w:val="clear" w:color="auto" w:fill="auto"/>
            <w:noWrap/>
            <w:vAlign w:val="bottom"/>
            <w:hideMark/>
          </w:tcPr>
          <w:p w14:paraId="2DA36C0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5 045</w:t>
            </w:r>
          </w:p>
        </w:tc>
        <w:tc>
          <w:tcPr>
            <w:tcW w:w="1135" w:type="dxa"/>
            <w:tcBorders>
              <w:top w:val="nil"/>
              <w:left w:val="nil"/>
              <w:bottom w:val="nil"/>
              <w:right w:val="nil"/>
            </w:tcBorders>
            <w:shd w:val="clear" w:color="auto" w:fill="auto"/>
            <w:noWrap/>
            <w:vAlign w:val="bottom"/>
            <w:hideMark/>
          </w:tcPr>
          <w:p w14:paraId="717424A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5 274</w:t>
            </w:r>
          </w:p>
        </w:tc>
        <w:tc>
          <w:tcPr>
            <w:tcW w:w="1135" w:type="dxa"/>
            <w:tcBorders>
              <w:top w:val="nil"/>
              <w:left w:val="nil"/>
              <w:bottom w:val="nil"/>
              <w:right w:val="nil"/>
            </w:tcBorders>
            <w:shd w:val="clear" w:color="auto" w:fill="auto"/>
            <w:noWrap/>
            <w:vAlign w:val="bottom"/>
          </w:tcPr>
          <w:p w14:paraId="0FAE1766"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229</w:t>
            </w:r>
          </w:p>
        </w:tc>
        <w:tc>
          <w:tcPr>
            <w:tcW w:w="702" w:type="dxa"/>
            <w:tcBorders>
              <w:top w:val="nil"/>
              <w:left w:val="nil"/>
              <w:bottom w:val="nil"/>
              <w:right w:val="nil"/>
            </w:tcBorders>
            <w:shd w:val="clear" w:color="auto" w:fill="auto"/>
            <w:noWrap/>
            <w:vAlign w:val="bottom"/>
          </w:tcPr>
          <w:p w14:paraId="24C44E8B"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104,5</w:t>
            </w:r>
          </w:p>
        </w:tc>
      </w:tr>
      <w:tr w:rsidR="00C8044F" w:rsidRPr="00C8044F" w14:paraId="23AF9376" w14:textId="77777777" w:rsidTr="00824014">
        <w:trPr>
          <w:trHeight w:val="255"/>
        </w:trPr>
        <w:tc>
          <w:tcPr>
            <w:tcW w:w="3830" w:type="dxa"/>
            <w:tcBorders>
              <w:right w:val="nil"/>
            </w:tcBorders>
            <w:shd w:val="clear" w:color="auto" w:fill="auto"/>
            <w:noWrap/>
            <w:vAlign w:val="bottom"/>
            <w:hideMark/>
          </w:tcPr>
          <w:p w14:paraId="6E130BC6"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jadrového dozoru SR       </w:t>
            </w:r>
          </w:p>
        </w:tc>
        <w:tc>
          <w:tcPr>
            <w:tcW w:w="1135" w:type="dxa"/>
            <w:tcBorders>
              <w:top w:val="nil"/>
              <w:left w:val="nil"/>
              <w:bottom w:val="nil"/>
              <w:right w:val="nil"/>
            </w:tcBorders>
            <w:shd w:val="clear" w:color="auto" w:fill="auto"/>
            <w:noWrap/>
            <w:vAlign w:val="bottom"/>
            <w:hideMark/>
          </w:tcPr>
          <w:p w14:paraId="6BB798E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10 891</w:t>
            </w:r>
          </w:p>
        </w:tc>
        <w:tc>
          <w:tcPr>
            <w:tcW w:w="1135" w:type="dxa"/>
            <w:tcBorders>
              <w:top w:val="nil"/>
              <w:left w:val="nil"/>
              <w:bottom w:val="nil"/>
              <w:right w:val="nil"/>
            </w:tcBorders>
            <w:shd w:val="clear" w:color="auto" w:fill="auto"/>
            <w:noWrap/>
            <w:vAlign w:val="bottom"/>
            <w:hideMark/>
          </w:tcPr>
          <w:p w14:paraId="7D728872"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10 891</w:t>
            </w:r>
          </w:p>
        </w:tc>
        <w:tc>
          <w:tcPr>
            <w:tcW w:w="1135" w:type="dxa"/>
            <w:tcBorders>
              <w:top w:val="nil"/>
              <w:left w:val="nil"/>
              <w:bottom w:val="nil"/>
              <w:right w:val="nil"/>
            </w:tcBorders>
            <w:shd w:val="clear" w:color="auto" w:fill="auto"/>
            <w:noWrap/>
            <w:vAlign w:val="bottom"/>
            <w:hideMark/>
          </w:tcPr>
          <w:p w14:paraId="2DE9813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9 065</w:t>
            </w:r>
          </w:p>
        </w:tc>
        <w:tc>
          <w:tcPr>
            <w:tcW w:w="1135" w:type="dxa"/>
            <w:tcBorders>
              <w:top w:val="nil"/>
              <w:left w:val="nil"/>
              <w:bottom w:val="nil"/>
              <w:right w:val="nil"/>
            </w:tcBorders>
            <w:shd w:val="clear" w:color="auto" w:fill="auto"/>
            <w:noWrap/>
            <w:vAlign w:val="bottom"/>
          </w:tcPr>
          <w:p w14:paraId="720EE1EF"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-1 826</w:t>
            </w:r>
          </w:p>
        </w:tc>
        <w:tc>
          <w:tcPr>
            <w:tcW w:w="702" w:type="dxa"/>
            <w:tcBorders>
              <w:top w:val="nil"/>
              <w:left w:val="nil"/>
              <w:bottom w:val="nil"/>
              <w:right w:val="nil"/>
            </w:tcBorders>
            <w:shd w:val="clear" w:color="auto" w:fill="auto"/>
            <w:noWrap/>
            <w:vAlign w:val="bottom"/>
          </w:tcPr>
          <w:p w14:paraId="3FFE8E8D"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83,2</w:t>
            </w:r>
          </w:p>
        </w:tc>
      </w:tr>
      <w:tr w:rsidR="00C8044F" w:rsidRPr="00C8044F" w14:paraId="5D570B26" w14:textId="77777777" w:rsidTr="00824014">
        <w:trPr>
          <w:trHeight w:val="255"/>
        </w:trPr>
        <w:tc>
          <w:tcPr>
            <w:tcW w:w="3830" w:type="dxa"/>
            <w:tcBorders>
              <w:right w:val="nil"/>
            </w:tcBorders>
            <w:shd w:val="clear" w:color="auto" w:fill="auto"/>
            <w:noWrap/>
            <w:vAlign w:val="bottom"/>
            <w:hideMark/>
          </w:tcPr>
          <w:p w14:paraId="21B8E059"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Úrad priemyselného vlastníctva SR      </w:t>
            </w:r>
          </w:p>
        </w:tc>
        <w:tc>
          <w:tcPr>
            <w:tcW w:w="1135" w:type="dxa"/>
            <w:tcBorders>
              <w:top w:val="nil"/>
              <w:left w:val="nil"/>
              <w:bottom w:val="nil"/>
              <w:right w:val="nil"/>
            </w:tcBorders>
            <w:shd w:val="clear" w:color="auto" w:fill="auto"/>
            <w:noWrap/>
            <w:vAlign w:val="bottom"/>
            <w:hideMark/>
          </w:tcPr>
          <w:p w14:paraId="4C837EF0"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3 889</w:t>
            </w:r>
          </w:p>
        </w:tc>
        <w:tc>
          <w:tcPr>
            <w:tcW w:w="1135" w:type="dxa"/>
            <w:tcBorders>
              <w:top w:val="nil"/>
              <w:left w:val="nil"/>
              <w:bottom w:val="nil"/>
              <w:right w:val="nil"/>
            </w:tcBorders>
            <w:shd w:val="clear" w:color="auto" w:fill="auto"/>
            <w:noWrap/>
            <w:vAlign w:val="bottom"/>
            <w:hideMark/>
          </w:tcPr>
          <w:p w14:paraId="6BA9976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3 889</w:t>
            </w:r>
          </w:p>
        </w:tc>
        <w:tc>
          <w:tcPr>
            <w:tcW w:w="1135" w:type="dxa"/>
            <w:tcBorders>
              <w:top w:val="nil"/>
              <w:left w:val="nil"/>
              <w:bottom w:val="nil"/>
              <w:right w:val="nil"/>
            </w:tcBorders>
            <w:shd w:val="clear" w:color="auto" w:fill="auto"/>
            <w:noWrap/>
            <w:vAlign w:val="bottom"/>
            <w:hideMark/>
          </w:tcPr>
          <w:p w14:paraId="6422189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6 050</w:t>
            </w:r>
          </w:p>
        </w:tc>
        <w:tc>
          <w:tcPr>
            <w:tcW w:w="1135" w:type="dxa"/>
            <w:tcBorders>
              <w:top w:val="nil"/>
              <w:left w:val="nil"/>
              <w:bottom w:val="nil"/>
              <w:right w:val="nil"/>
            </w:tcBorders>
            <w:shd w:val="clear" w:color="auto" w:fill="auto"/>
            <w:noWrap/>
            <w:vAlign w:val="bottom"/>
          </w:tcPr>
          <w:p w14:paraId="0B155DE7"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2 161</w:t>
            </w:r>
          </w:p>
        </w:tc>
        <w:tc>
          <w:tcPr>
            <w:tcW w:w="702" w:type="dxa"/>
            <w:tcBorders>
              <w:top w:val="nil"/>
              <w:left w:val="nil"/>
              <w:bottom w:val="nil"/>
              <w:right w:val="nil"/>
            </w:tcBorders>
            <w:shd w:val="clear" w:color="auto" w:fill="auto"/>
            <w:noWrap/>
            <w:vAlign w:val="bottom"/>
          </w:tcPr>
          <w:p w14:paraId="4DC0179F"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155,6</w:t>
            </w:r>
          </w:p>
        </w:tc>
      </w:tr>
      <w:tr w:rsidR="00C8044F" w:rsidRPr="00C8044F" w14:paraId="56BD86FF" w14:textId="77777777" w:rsidTr="00824014">
        <w:trPr>
          <w:trHeight w:val="255"/>
        </w:trPr>
        <w:tc>
          <w:tcPr>
            <w:tcW w:w="3830" w:type="dxa"/>
            <w:tcBorders>
              <w:right w:val="nil"/>
            </w:tcBorders>
            <w:shd w:val="clear" w:color="auto" w:fill="auto"/>
            <w:noWrap/>
            <w:vAlign w:val="bottom"/>
            <w:hideMark/>
          </w:tcPr>
          <w:p w14:paraId="6F538938"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Úrad pre normalizáciu, metrológiu a skúšobníctvo SR</w:t>
            </w:r>
          </w:p>
        </w:tc>
        <w:tc>
          <w:tcPr>
            <w:tcW w:w="1135" w:type="dxa"/>
            <w:tcBorders>
              <w:top w:val="nil"/>
              <w:left w:val="nil"/>
              <w:bottom w:val="nil"/>
              <w:right w:val="nil"/>
            </w:tcBorders>
            <w:shd w:val="clear" w:color="auto" w:fill="auto"/>
            <w:noWrap/>
            <w:vAlign w:val="bottom"/>
            <w:hideMark/>
          </w:tcPr>
          <w:p w14:paraId="72C4101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7 509</w:t>
            </w:r>
          </w:p>
        </w:tc>
        <w:tc>
          <w:tcPr>
            <w:tcW w:w="1135" w:type="dxa"/>
            <w:tcBorders>
              <w:top w:val="nil"/>
              <w:left w:val="nil"/>
              <w:bottom w:val="nil"/>
              <w:right w:val="nil"/>
            </w:tcBorders>
            <w:shd w:val="clear" w:color="auto" w:fill="auto"/>
            <w:noWrap/>
            <w:vAlign w:val="bottom"/>
            <w:hideMark/>
          </w:tcPr>
          <w:p w14:paraId="66A95D93"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7 509</w:t>
            </w:r>
          </w:p>
        </w:tc>
        <w:tc>
          <w:tcPr>
            <w:tcW w:w="1135" w:type="dxa"/>
            <w:tcBorders>
              <w:top w:val="nil"/>
              <w:left w:val="nil"/>
              <w:bottom w:val="nil"/>
              <w:right w:val="nil"/>
            </w:tcBorders>
            <w:shd w:val="clear" w:color="auto" w:fill="auto"/>
            <w:noWrap/>
            <w:vAlign w:val="bottom"/>
            <w:hideMark/>
          </w:tcPr>
          <w:p w14:paraId="0A77C4EB"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8 733</w:t>
            </w:r>
          </w:p>
        </w:tc>
        <w:tc>
          <w:tcPr>
            <w:tcW w:w="1135" w:type="dxa"/>
            <w:tcBorders>
              <w:top w:val="nil"/>
              <w:left w:val="nil"/>
              <w:bottom w:val="nil"/>
              <w:right w:val="nil"/>
            </w:tcBorders>
            <w:shd w:val="clear" w:color="auto" w:fill="auto"/>
            <w:noWrap/>
            <w:vAlign w:val="bottom"/>
          </w:tcPr>
          <w:p w14:paraId="2FCA3028"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1 224</w:t>
            </w:r>
          </w:p>
        </w:tc>
        <w:tc>
          <w:tcPr>
            <w:tcW w:w="702" w:type="dxa"/>
            <w:tcBorders>
              <w:top w:val="nil"/>
              <w:left w:val="nil"/>
              <w:bottom w:val="nil"/>
              <w:right w:val="nil"/>
            </w:tcBorders>
            <w:shd w:val="clear" w:color="auto" w:fill="auto"/>
            <w:noWrap/>
            <w:vAlign w:val="bottom"/>
          </w:tcPr>
          <w:p w14:paraId="7AA63EA0"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116,3</w:t>
            </w:r>
          </w:p>
        </w:tc>
      </w:tr>
      <w:tr w:rsidR="00C8044F" w:rsidRPr="00C8044F" w14:paraId="2888BE74" w14:textId="77777777" w:rsidTr="00824014">
        <w:trPr>
          <w:trHeight w:val="255"/>
        </w:trPr>
        <w:tc>
          <w:tcPr>
            <w:tcW w:w="3830" w:type="dxa"/>
            <w:tcBorders>
              <w:right w:val="nil"/>
            </w:tcBorders>
            <w:shd w:val="clear" w:color="auto" w:fill="auto"/>
            <w:noWrap/>
            <w:vAlign w:val="bottom"/>
            <w:hideMark/>
          </w:tcPr>
          <w:p w14:paraId="3FF0BCAE"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Protimonopolný úrad SR         </w:t>
            </w:r>
          </w:p>
        </w:tc>
        <w:tc>
          <w:tcPr>
            <w:tcW w:w="1135" w:type="dxa"/>
            <w:tcBorders>
              <w:top w:val="nil"/>
              <w:left w:val="nil"/>
              <w:bottom w:val="nil"/>
              <w:right w:val="nil"/>
            </w:tcBorders>
            <w:shd w:val="clear" w:color="auto" w:fill="auto"/>
            <w:noWrap/>
            <w:vAlign w:val="bottom"/>
            <w:hideMark/>
          </w:tcPr>
          <w:p w14:paraId="11832319"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2 954</w:t>
            </w:r>
          </w:p>
        </w:tc>
        <w:tc>
          <w:tcPr>
            <w:tcW w:w="1135" w:type="dxa"/>
            <w:tcBorders>
              <w:top w:val="nil"/>
              <w:left w:val="nil"/>
              <w:bottom w:val="nil"/>
              <w:right w:val="nil"/>
            </w:tcBorders>
            <w:shd w:val="clear" w:color="auto" w:fill="auto"/>
            <w:noWrap/>
            <w:vAlign w:val="bottom"/>
            <w:hideMark/>
          </w:tcPr>
          <w:p w14:paraId="6EE63F49"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2 954</w:t>
            </w:r>
          </w:p>
        </w:tc>
        <w:tc>
          <w:tcPr>
            <w:tcW w:w="1135" w:type="dxa"/>
            <w:tcBorders>
              <w:top w:val="nil"/>
              <w:left w:val="nil"/>
              <w:bottom w:val="nil"/>
              <w:right w:val="nil"/>
            </w:tcBorders>
            <w:shd w:val="clear" w:color="auto" w:fill="auto"/>
            <w:noWrap/>
            <w:vAlign w:val="bottom"/>
            <w:hideMark/>
          </w:tcPr>
          <w:p w14:paraId="1216BF1F"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3 372</w:t>
            </w:r>
          </w:p>
        </w:tc>
        <w:tc>
          <w:tcPr>
            <w:tcW w:w="1135" w:type="dxa"/>
            <w:tcBorders>
              <w:top w:val="nil"/>
              <w:left w:val="nil"/>
              <w:bottom w:val="nil"/>
              <w:right w:val="nil"/>
            </w:tcBorders>
            <w:shd w:val="clear" w:color="auto" w:fill="auto"/>
            <w:noWrap/>
            <w:vAlign w:val="bottom"/>
          </w:tcPr>
          <w:p w14:paraId="0DAEB572"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418</w:t>
            </w:r>
          </w:p>
        </w:tc>
        <w:tc>
          <w:tcPr>
            <w:tcW w:w="702" w:type="dxa"/>
            <w:tcBorders>
              <w:top w:val="nil"/>
              <w:left w:val="nil"/>
              <w:bottom w:val="nil"/>
              <w:right w:val="nil"/>
            </w:tcBorders>
            <w:shd w:val="clear" w:color="auto" w:fill="auto"/>
            <w:noWrap/>
            <w:vAlign w:val="bottom"/>
          </w:tcPr>
          <w:p w14:paraId="02739E33"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114,2</w:t>
            </w:r>
          </w:p>
        </w:tc>
      </w:tr>
      <w:tr w:rsidR="00C8044F" w:rsidRPr="00C8044F" w14:paraId="2196AC82" w14:textId="77777777" w:rsidTr="00824014">
        <w:trPr>
          <w:trHeight w:val="255"/>
        </w:trPr>
        <w:tc>
          <w:tcPr>
            <w:tcW w:w="3830" w:type="dxa"/>
            <w:tcBorders>
              <w:right w:val="nil"/>
            </w:tcBorders>
            <w:shd w:val="clear" w:color="auto" w:fill="auto"/>
            <w:noWrap/>
            <w:vAlign w:val="bottom"/>
            <w:hideMark/>
          </w:tcPr>
          <w:p w14:paraId="20FF3D44"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Národný bezpečnostný úrad </w:t>
            </w:r>
          </w:p>
        </w:tc>
        <w:tc>
          <w:tcPr>
            <w:tcW w:w="1135" w:type="dxa"/>
            <w:tcBorders>
              <w:top w:val="nil"/>
              <w:left w:val="nil"/>
              <w:bottom w:val="nil"/>
              <w:right w:val="nil"/>
            </w:tcBorders>
            <w:shd w:val="clear" w:color="auto" w:fill="auto"/>
            <w:noWrap/>
            <w:vAlign w:val="bottom"/>
            <w:hideMark/>
          </w:tcPr>
          <w:p w14:paraId="7ADE0B01"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12 844</w:t>
            </w:r>
          </w:p>
        </w:tc>
        <w:tc>
          <w:tcPr>
            <w:tcW w:w="1135" w:type="dxa"/>
            <w:tcBorders>
              <w:top w:val="nil"/>
              <w:left w:val="nil"/>
              <w:bottom w:val="nil"/>
              <w:right w:val="nil"/>
            </w:tcBorders>
            <w:shd w:val="clear" w:color="auto" w:fill="auto"/>
            <w:noWrap/>
            <w:vAlign w:val="bottom"/>
            <w:hideMark/>
          </w:tcPr>
          <w:p w14:paraId="33591322"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12 844</w:t>
            </w:r>
          </w:p>
        </w:tc>
        <w:tc>
          <w:tcPr>
            <w:tcW w:w="1135" w:type="dxa"/>
            <w:tcBorders>
              <w:top w:val="nil"/>
              <w:left w:val="nil"/>
              <w:bottom w:val="nil"/>
              <w:right w:val="nil"/>
            </w:tcBorders>
            <w:shd w:val="clear" w:color="auto" w:fill="auto"/>
            <w:noWrap/>
            <w:vAlign w:val="bottom"/>
            <w:hideMark/>
          </w:tcPr>
          <w:p w14:paraId="7B3FDD3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13 885</w:t>
            </w:r>
          </w:p>
        </w:tc>
        <w:tc>
          <w:tcPr>
            <w:tcW w:w="1135" w:type="dxa"/>
            <w:tcBorders>
              <w:top w:val="nil"/>
              <w:left w:val="nil"/>
              <w:bottom w:val="nil"/>
              <w:right w:val="nil"/>
            </w:tcBorders>
            <w:shd w:val="clear" w:color="auto" w:fill="auto"/>
            <w:noWrap/>
            <w:vAlign w:val="bottom"/>
          </w:tcPr>
          <w:p w14:paraId="5C17377D"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1 041</w:t>
            </w:r>
          </w:p>
        </w:tc>
        <w:tc>
          <w:tcPr>
            <w:tcW w:w="702" w:type="dxa"/>
            <w:tcBorders>
              <w:top w:val="nil"/>
              <w:left w:val="nil"/>
              <w:bottom w:val="nil"/>
              <w:right w:val="nil"/>
            </w:tcBorders>
            <w:shd w:val="clear" w:color="auto" w:fill="auto"/>
            <w:noWrap/>
            <w:vAlign w:val="bottom"/>
          </w:tcPr>
          <w:p w14:paraId="01B89772"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108,1</w:t>
            </w:r>
          </w:p>
        </w:tc>
      </w:tr>
      <w:tr w:rsidR="00C8044F" w:rsidRPr="00C8044F" w14:paraId="06D24F70" w14:textId="77777777" w:rsidTr="00824014">
        <w:trPr>
          <w:trHeight w:val="255"/>
        </w:trPr>
        <w:tc>
          <w:tcPr>
            <w:tcW w:w="3830" w:type="dxa"/>
            <w:tcBorders>
              <w:right w:val="nil"/>
            </w:tcBorders>
            <w:shd w:val="clear" w:color="auto" w:fill="auto"/>
            <w:noWrap/>
            <w:vAlign w:val="bottom"/>
            <w:hideMark/>
          </w:tcPr>
          <w:p w14:paraId="2C64C4A2"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Správa štátnych hmotných rezerv SR</w:t>
            </w:r>
          </w:p>
        </w:tc>
        <w:tc>
          <w:tcPr>
            <w:tcW w:w="1135" w:type="dxa"/>
            <w:tcBorders>
              <w:top w:val="nil"/>
              <w:left w:val="nil"/>
              <w:bottom w:val="nil"/>
              <w:right w:val="nil"/>
            </w:tcBorders>
            <w:shd w:val="clear" w:color="auto" w:fill="auto"/>
            <w:noWrap/>
            <w:vAlign w:val="bottom"/>
            <w:hideMark/>
          </w:tcPr>
          <w:p w14:paraId="30D83752"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8 547</w:t>
            </w:r>
          </w:p>
        </w:tc>
        <w:tc>
          <w:tcPr>
            <w:tcW w:w="1135" w:type="dxa"/>
            <w:tcBorders>
              <w:top w:val="nil"/>
              <w:left w:val="nil"/>
              <w:bottom w:val="nil"/>
              <w:right w:val="nil"/>
            </w:tcBorders>
            <w:shd w:val="clear" w:color="auto" w:fill="auto"/>
            <w:noWrap/>
            <w:vAlign w:val="bottom"/>
            <w:hideMark/>
          </w:tcPr>
          <w:p w14:paraId="71CF0EA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8 547</w:t>
            </w:r>
          </w:p>
        </w:tc>
        <w:tc>
          <w:tcPr>
            <w:tcW w:w="1135" w:type="dxa"/>
            <w:tcBorders>
              <w:top w:val="nil"/>
              <w:left w:val="nil"/>
              <w:bottom w:val="nil"/>
              <w:right w:val="nil"/>
            </w:tcBorders>
            <w:shd w:val="clear" w:color="auto" w:fill="auto"/>
            <w:noWrap/>
            <w:vAlign w:val="bottom"/>
            <w:hideMark/>
          </w:tcPr>
          <w:p w14:paraId="2F7293B5"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17 892</w:t>
            </w:r>
          </w:p>
        </w:tc>
        <w:tc>
          <w:tcPr>
            <w:tcW w:w="1135" w:type="dxa"/>
            <w:tcBorders>
              <w:top w:val="nil"/>
              <w:left w:val="nil"/>
              <w:bottom w:val="nil"/>
              <w:right w:val="nil"/>
            </w:tcBorders>
            <w:shd w:val="clear" w:color="auto" w:fill="auto"/>
            <w:noWrap/>
            <w:vAlign w:val="bottom"/>
          </w:tcPr>
          <w:p w14:paraId="59995BA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9 345</w:t>
            </w:r>
          </w:p>
        </w:tc>
        <w:tc>
          <w:tcPr>
            <w:tcW w:w="702" w:type="dxa"/>
            <w:tcBorders>
              <w:top w:val="nil"/>
              <w:left w:val="nil"/>
              <w:bottom w:val="nil"/>
              <w:right w:val="nil"/>
            </w:tcBorders>
            <w:shd w:val="clear" w:color="auto" w:fill="auto"/>
            <w:noWrap/>
            <w:vAlign w:val="bottom"/>
          </w:tcPr>
          <w:p w14:paraId="6B5DC16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209,3</w:t>
            </w:r>
          </w:p>
        </w:tc>
      </w:tr>
      <w:tr w:rsidR="00C8044F" w:rsidRPr="00C8044F" w14:paraId="2C4EC7AC" w14:textId="77777777" w:rsidTr="00824014">
        <w:trPr>
          <w:trHeight w:val="255"/>
        </w:trPr>
        <w:tc>
          <w:tcPr>
            <w:tcW w:w="3830" w:type="dxa"/>
            <w:tcBorders>
              <w:right w:val="nil"/>
            </w:tcBorders>
            <w:shd w:val="clear" w:color="auto" w:fill="auto"/>
            <w:noWrap/>
            <w:vAlign w:val="bottom"/>
            <w:hideMark/>
          </w:tcPr>
          <w:p w14:paraId="4D3E3143"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Všeobecná pokladničná správa   </w:t>
            </w:r>
          </w:p>
        </w:tc>
        <w:tc>
          <w:tcPr>
            <w:tcW w:w="1135" w:type="dxa"/>
            <w:tcBorders>
              <w:top w:val="nil"/>
              <w:left w:val="nil"/>
              <w:bottom w:val="nil"/>
              <w:right w:val="nil"/>
            </w:tcBorders>
            <w:shd w:val="clear" w:color="auto" w:fill="auto"/>
            <w:noWrap/>
            <w:vAlign w:val="bottom"/>
            <w:hideMark/>
          </w:tcPr>
          <w:p w14:paraId="65F4AC4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6 252 232</w:t>
            </w:r>
          </w:p>
        </w:tc>
        <w:tc>
          <w:tcPr>
            <w:tcW w:w="1135" w:type="dxa"/>
            <w:tcBorders>
              <w:top w:val="nil"/>
              <w:left w:val="nil"/>
              <w:bottom w:val="nil"/>
              <w:right w:val="nil"/>
            </w:tcBorders>
            <w:shd w:val="clear" w:color="auto" w:fill="auto"/>
            <w:noWrap/>
            <w:vAlign w:val="bottom"/>
            <w:hideMark/>
          </w:tcPr>
          <w:p w14:paraId="76832BC9"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6 452 232</w:t>
            </w:r>
          </w:p>
        </w:tc>
        <w:tc>
          <w:tcPr>
            <w:tcW w:w="1135" w:type="dxa"/>
            <w:tcBorders>
              <w:top w:val="nil"/>
              <w:left w:val="nil"/>
              <w:bottom w:val="nil"/>
              <w:right w:val="nil"/>
            </w:tcBorders>
            <w:shd w:val="clear" w:color="auto" w:fill="auto"/>
            <w:noWrap/>
            <w:vAlign w:val="bottom"/>
            <w:hideMark/>
          </w:tcPr>
          <w:p w14:paraId="2133BD1A"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3 154 818</w:t>
            </w:r>
          </w:p>
        </w:tc>
        <w:tc>
          <w:tcPr>
            <w:tcW w:w="1135" w:type="dxa"/>
            <w:tcBorders>
              <w:top w:val="nil"/>
              <w:left w:val="nil"/>
              <w:bottom w:val="nil"/>
              <w:right w:val="nil"/>
            </w:tcBorders>
            <w:shd w:val="clear" w:color="auto" w:fill="auto"/>
            <w:noWrap/>
            <w:vAlign w:val="bottom"/>
          </w:tcPr>
          <w:p w14:paraId="58EA4451"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-3 297 414</w:t>
            </w:r>
          </w:p>
        </w:tc>
        <w:tc>
          <w:tcPr>
            <w:tcW w:w="702" w:type="dxa"/>
            <w:tcBorders>
              <w:top w:val="nil"/>
              <w:left w:val="nil"/>
              <w:bottom w:val="nil"/>
              <w:right w:val="nil"/>
            </w:tcBorders>
            <w:shd w:val="clear" w:color="auto" w:fill="auto"/>
            <w:noWrap/>
            <w:vAlign w:val="bottom"/>
          </w:tcPr>
          <w:p w14:paraId="2E4BC845"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48,9</w:t>
            </w:r>
          </w:p>
        </w:tc>
      </w:tr>
      <w:tr w:rsidR="00C8044F" w:rsidRPr="00C8044F" w14:paraId="6B889E03" w14:textId="77777777" w:rsidTr="00824014">
        <w:trPr>
          <w:trHeight w:val="255"/>
        </w:trPr>
        <w:tc>
          <w:tcPr>
            <w:tcW w:w="3830" w:type="dxa"/>
            <w:tcBorders>
              <w:right w:val="nil"/>
            </w:tcBorders>
            <w:shd w:val="clear" w:color="auto" w:fill="auto"/>
            <w:noWrap/>
            <w:vAlign w:val="bottom"/>
            <w:hideMark/>
          </w:tcPr>
          <w:p w14:paraId="654EEBB2"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 xml:space="preserve">Slovenská akadémia vied        </w:t>
            </w:r>
          </w:p>
        </w:tc>
        <w:tc>
          <w:tcPr>
            <w:tcW w:w="1135" w:type="dxa"/>
            <w:tcBorders>
              <w:top w:val="nil"/>
              <w:left w:val="nil"/>
              <w:bottom w:val="nil"/>
              <w:right w:val="nil"/>
            </w:tcBorders>
            <w:shd w:val="clear" w:color="auto" w:fill="auto"/>
            <w:noWrap/>
            <w:vAlign w:val="bottom"/>
            <w:hideMark/>
          </w:tcPr>
          <w:p w14:paraId="1FB5002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85 012</w:t>
            </w:r>
          </w:p>
        </w:tc>
        <w:tc>
          <w:tcPr>
            <w:tcW w:w="1135" w:type="dxa"/>
            <w:tcBorders>
              <w:top w:val="nil"/>
              <w:left w:val="nil"/>
              <w:bottom w:val="nil"/>
              <w:right w:val="nil"/>
            </w:tcBorders>
            <w:shd w:val="clear" w:color="auto" w:fill="auto"/>
            <w:noWrap/>
            <w:vAlign w:val="bottom"/>
            <w:hideMark/>
          </w:tcPr>
          <w:p w14:paraId="7DD4A97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85 012</w:t>
            </w:r>
          </w:p>
        </w:tc>
        <w:tc>
          <w:tcPr>
            <w:tcW w:w="1135" w:type="dxa"/>
            <w:tcBorders>
              <w:top w:val="nil"/>
              <w:left w:val="nil"/>
              <w:bottom w:val="nil"/>
              <w:right w:val="nil"/>
            </w:tcBorders>
            <w:shd w:val="clear" w:color="auto" w:fill="auto"/>
            <w:noWrap/>
            <w:vAlign w:val="bottom"/>
            <w:hideMark/>
          </w:tcPr>
          <w:p w14:paraId="62773D3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107 369</w:t>
            </w:r>
          </w:p>
        </w:tc>
        <w:tc>
          <w:tcPr>
            <w:tcW w:w="1135" w:type="dxa"/>
            <w:tcBorders>
              <w:top w:val="nil"/>
              <w:left w:val="nil"/>
              <w:bottom w:val="nil"/>
              <w:right w:val="nil"/>
            </w:tcBorders>
            <w:shd w:val="clear" w:color="auto" w:fill="auto"/>
            <w:noWrap/>
            <w:vAlign w:val="bottom"/>
          </w:tcPr>
          <w:p w14:paraId="13750762"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22 357</w:t>
            </w:r>
          </w:p>
        </w:tc>
        <w:tc>
          <w:tcPr>
            <w:tcW w:w="702" w:type="dxa"/>
            <w:tcBorders>
              <w:top w:val="nil"/>
              <w:left w:val="nil"/>
              <w:bottom w:val="nil"/>
              <w:right w:val="nil"/>
            </w:tcBorders>
            <w:shd w:val="clear" w:color="auto" w:fill="auto"/>
            <w:noWrap/>
            <w:vAlign w:val="bottom"/>
          </w:tcPr>
          <w:p w14:paraId="0BA8F340"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126,3</w:t>
            </w:r>
          </w:p>
        </w:tc>
      </w:tr>
      <w:tr w:rsidR="00C8044F" w:rsidRPr="00C8044F" w14:paraId="25978C1B" w14:textId="77777777" w:rsidTr="00824014">
        <w:trPr>
          <w:trHeight w:val="255"/>
        </w:trPr>
        <w:tc>
          <w:tcPr>
            <w:tcW w:w="3830" w:type="dxa"/>
            <w:tcBorders>
              <w:bottom w:val="nil"/>
              <w:right w:val="nil"/>
            </w:tcBorders>
            <w:shd w:val="clear" w:color="auto" w:fill="auto"/>
            <w:noWrap/>
            <w:vAlign w:val="bottom"/>
            <w:hideMark/>
          </w:tcPr>
          <w:p w14:paraId="7322C908"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Kancelária súdnej rady SR</w:t>
            </w:r>
          </w:p>
        </w:tc>
        <w:tc>
          <w:tcPr>
            <w:tcW w:w="1135" w:type="dxa"/>
            <w:tcBorders>
              <w:top w:val="nil"/>
              <w:left w:val="nil"/>
              <w:bottom w:val="nil"/>
              <w:right w:val="nil"/>
            </w:tcBorders>
            <w:shd w:val="clear" w:color="auto" w:fill="auto"/>
            <w:noWrap/>
            <w:vAlign w:val="bottom"/>
            <w:hideMark/>
          </w:tcPr>
          <w:p w14:paraId="18872022"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2 225</w:t>
            </w:r>
          </w:p>
        </w:tc>
        <w:tc>
          <w:tcPr>
            <w:tcW w:w="1135" w:type="dxa"/>
            <w:tcBorders>
              <w:top w:val="nil"/>
              <w:left w:val="nil"/>
              <w:bottom w:val="nil"/>
              <w:right w:val="nil"/>
            </w:tcBorders>
            <w:shd w:val="clear" w:color="auto" w:fill="auto"/>
            <w:noWrap/>
            <w:vAlign w:val="bottom"/>
            <w:hideMark/>
          </w:tcPr>
          <w:p w14:paraId="12E8854E"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2 225</w:t>
            </w:r>
          </w:p>
        </w:tc>
        <w:tc>
          <w:tcPr>
            <w:tcW w:w="1135" w:type="dxa"/>
            <w:tcBorders>
              <w:top w:val="nil"/>
              <w:left w:val="nil"/>
              <w:bottom w:val="nil"/>
              <w:right w:val="nil"/>
            </w:tcBorders>
            <w:shd w:val="clear" w:color="auto" w:fill="auto"/>
            <w:noWrap/>
            <w:vAlign w:val="bottom"/>
            <w:hideMark/>
          </w:tcPr>
          <w:p w14:paraId="7D4EC9B7"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2 361</w:t>
            </w:r>
          </w:p>
        </w:tc>
        <w:tc>
          <w:tcPr>
            <w:tcW w:w="1135" w:type="dxa"/>
            <w:tcBorders>
              <w:top w:val="nil"/>
              <w:left w:val="nil"/>
              <w:bottom w:val="nil"/>
              <w:right w:val="nil"/>
            </w:tcBorders>
            <w:shd w:val="clear" w:color="auto" w:fill="auto"/>
            <w:noWrap/>
            <w:vAlign w:val="bottom"/>
          </w:tcPr>
          <w:p w14:paraId="529D5D27"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136</w:t>
            </w:r>
          </w:p>
        </w:tc>
        <w:tc>
          <w:tcPr>
            <w:tcW w:w="702" w:type="dxa"/>
            <w:tcBorders>
              <w:top w:val="nil"/>
              <w:left w:val="nil"/>
              <w:bottom w:val="nil"/>
              <w:right w:val="nil"/>
            </w:tcBorders>
            <w:shd w:val="clear" w:color="auto" w:fill="auto"/>
            <w:noWrap/>
            <w:vAlign w:val="bottom"/>
          </w:tcPr>
          <w:p w14:paraId="7A0B7BC1"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106,1</w:t>
            </w:r>
          </w:p>
        </w:tc>
      </w:tr>
      <w:tr w:rsidR="00C8044F" w:rsidRPr="00C8044F" w14:paraId="545FCAA9" w14:textId="77777777" w:rsidTr="00824014">
        <w:trPr>
          <w:trHeight w:val="255"/>
        </w:trPr>
        <w:tc>
          <w:tcPr>
            <w:tcW w:w="3830" w:type="dxa"/>
            <w:tcBorders>
              <w:bottom w:val="single" w:sz="4" w:space="0" w:color="auto"/>
              <w:right w:val="nil"/>
            </w:tcBorders>
            <w:shd w:val="clear" w:color="auto" w:fill="auto"/>
            <w:noWrap/>
            <w:vAlign w:val="bottom"/>
            <w:hideMark/>
          </w:tcPr>
          <w:p w14:paraId="41E6BE5A" w14:textId="77777777" w:rsidR="00C8044F" w:rsidRPr="00C8044F" w:rsidRDefault="00C8044F" w:rsidP="00824014">
            <w:pPr>
              <w:spacing w:after="0" w:line="240" w:lineRule="auto"/>
              <w:jc w:val="left"/>
              <w:rPr>
                <w:rFonts w:eastAsia="Times New Roman" w:cs="Segoe UI"/>
                <w:sz w:val="18"/>
                <w:szCs w:val="18"/>
                <w:lang w:eastAsia="sk-SK"/>
              </w:rPr>
            </w:pPr>
            <w:r w:rsidRPr="00C8044F">
              <w:rPr>
                <w:rFonts w:eastAsia="Times New Roman" w:cs="Segoe UI"/>
                <w:sz w:val="18"/>
                <w:szCs w:val="18"/>
                <w:lang w:eastAsia="sk-SK"/>
              </w:rPr>
              <w:t>Kancelária Najvyššieho správneho súdu SR</w:t>
            </w:r>
          </w:p>
        </w:tc>
        <w:tc>
          <w:tcPr>
            <w:tcW w:w="1135" w:type="dxa"/>
            <w:tcBorders>
              <w:top w:val="nil"/>
              <w:left w:val="nil"/>
              <w:bottom w:val="single" w:sz="4" w:space="0" w:color="auto"/>
              <w:right w:val="nil"/>
            </w:tcBorders>
            <w:shd w:val="clear" w:color="auto" w:fill="auto"/>
            <w:noWrap/>
            <w:vAlign w:val="bottom"/>
            <w:hideMark/>
          </w:tcPr>
          <w:p w14:paraId="4C2154AB"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5 567</w:t>
            </w:r>
          </w:p>
        </w:tc>
        <w:tc>
          <w:tcPr>
            <w:tcW w:w="1135" w:type="dxa"/>
            <w:tcBorders>
              <w:top w:val="nil"/>
              <w:left w:val="nil"/>
              <w:bottom w:val="single" w:sz="4" w:space="0" w:color="auto"/>
              <w:right w:val="nil"/>
            </w:tcBorders>
            <w:shd w:val="clear" w:color="auto" w:fill="auto"/>
            <w:noWrap/>
            <w:vAlign w:val="bottom"/>
            <w:hideMark/>
          </w:tcPr>
          <w:p w14:paraId="35B9F306"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5 567</w:t>
            </w:r>
          </w:p>
        </w:tc>
        <w:tc>
          <w:tcPr>
            <w:tcW w:w="1135" w:type="dxa"/>
            <w:tcBorders>
              <w:top w:val="nil"/>
              <w:left w:val="nil"/>
              <w:bottom w:val="single" w:sz="4" w:space="0" w:color="auto"/>
              <w:right w:val="nil"/>
            </w:tcBorders>
            <w:shd w:val="clear" w:color="auto" w:fill="auto"/>
            <w:noWrap/>
            <w:vAlign w:val="bottom"/>
            <w:hideMark/>
          </w:tcPr>
          <w:p w14:paraId="39ACEAEC" w14:textId="77777777" w:rsidR="00C8044F" w:rsidRPr="00C8044F" w:rsidRDefault="00C8044F" w:rsidP="00824014">
            <w:pPr>
              <w:spacing w:after="0" w:line="240" w:lineRule="auto"/>
              <w:jc w:val="right"/>
              <w:rPr>
                <w:rFonts w:eastAsia="Times New Roman" w:cs="Segoe UI"/>
                <w:sz w:val="18"/>
                <w:szCs w:val="18"/>
                <w:lang w:eastAsia="sk-SK"/>
              </w:rPr>
            </w:pPr>
            <w:r w:rsidRPr="00C8044F">
              <w:rPr>
                <w:rFonts w:cs="Segoe UI"/>
                <w:sz w:val="18"/>
                <w:szCs w:val="18"/>
              </w:rPr>
              <w:t>7 123</w:t>
            </w:r>
          </w:p>
        </w:tc>
        <w:tc>
          <w:tcPr>
            <w:tcW w:w="1135" w:type="dxa"/>
            <w:tcBorders>
              <w:top w:val="nil"/>
              <w:left w:val="nil"/>
              <w:bottom w:val="single" w:sz="4" w:space="0" w:color="auto"/>
              <w:right w:val="nil"/>
            </w:tcBorders>
            <w:shd w:val="clear" w:color="auto" w:fill="auto"/>
            <w:noWrap/>
            <w:vAlign w:val="bottom"/>
          </w:tcPr>
          <w:p w14:paraId="39BD2CFC"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1 556</w:t>
            </w:r>
          </w:p>
        </w:tc>
        <w:tc>
          <w:tcPr>
            <w:tcW w:w="702" w:type="dxa"/>
            <w:tcBorders>
              <w:top w:val="nil"/>
              <w:left w:val="nil"/>
              <w:bottom w:val="single" w:sz="4" w:space="0" w:color="auto"/>
              <w:right w:val="nil"/>
            </w:tcBorders>
            <w:shd w:val="clear" w:color="auto" w:fill="auto"/>
            <w:noWrap/>
            <w:vAlign w:val="bottom"/>
          </w:tcPr>
          <w:p w14:paraId="2973A3CD" w14:textId="77777777" w:rsidR="00C8044F" w:rsidRPr="00C8044F" w:rsidRDefault="00C8044F" w:rsidP="00824014">
            <w:pPr>
              <w:spacing w:after="0" w:line="240" w:lineRule="auto"/>
              <w:jc w:val="right"/>
              <w:rPr>
                <w:rFonts w:eastAsia="Times New Roman" w:cs="Segoe UI"/>
                <w:color w:val="000000"/>
                <w:sz w:val="18"/>
                <w:szCs w:val="18"/>
                <w:lang w:eastAsia="sk-SK"/>
              </w:rPr>
            </w:pPr>
            <w:r w:rsidRPr="00C8044F">
              <w:rPr>
                <w:rFonts w:cs="Segoe UI"/>
                <w:sz w:val="18"/>
                <w:szCs w:val="18"/>
              </w:rPr>
              <w:t>128,0</w:t>
            </w:r>
          </w:p>
        </w:tc>
      </w:tr>
    </w:tbl>
    <w:p w14:paraId="79EE9167" w14:textId="430FC17B" w:rsidR="00C8044F" w:rsidRDefault="00C8044F" w:rsidP="00C8044F">
      <w:pPr>
        <w:pStyle w:val="Zdroj"/>
        <w:spacing w:after="0"/>
      </w:pPr>
      <w:r>
        <w:t>Zdroj: Návrh ŠZÚ 2022.</w:t>
      </w:r>
    </w:p>
    <w:p w14:paraId="5EF9724D" w14:textId="656E0410" w:rsidR="006C08DB" w:rsidRDefault="00C8044F" w:rsidP="00C8044F">
      <w:pPr>
        <w:pStyle w:val="Zdroj"/>
        <w:spacing w:after="0"/>
      </w:pPr>
      <w:r w:rsidRPr="007A7DFF">
        <w:t>S – skutočnosť, R – rozpočet, NR – novelizovaný rozpočet</w:t>
      </w:r>
    </w:p>
    <w:p w14:paraId="5A53E884" w14:textId="77777777" w:rsidR="006C08DB" w:rsidRDefault="006C08DB" w:rsidP="006C08DB">
      <w:pPr>
        <w:pStyle w:val="Nadpis4"/>
        <w:rPr>
          <w:rFonts w:cs="Segoe UI"/>
          <w:b/>
          <w:color w:val="314364" w:themeColor="text2"/>
        </w:rPr>
        <w:sectPr w:rsidR="006C08DB" w:rsidSect="00962F36">
          <w:headerReference w:type="default" r:id="rId46"/>
          <w:footerReference w:type="default" r:id="rId47"/>
          <w:pgSz w:w="11906" w:h="16838"/>
          <w:pgMar w:top="1418" w:right="1418" w:bottom="1134" w:left="1418" w:header="0" w:footer="709" w:gutter="0"/>
          <w:cols w:space="708"/>
          <w:docGrid w:linePitch="360"/>
        </w:sectPr>
      </w:pPr>
    </w:p>
    <w:p w14:paraId="0F883D7C" w14:textId="35E976A7" w:rsidR="005074F1" w:rsidRDefault="005074F1" w:rsidP="005074F1">
      <w:pPr>
        <w:pStyle w:val="Nadpis4"/>
        <w:rPr>
          <w:rFonts w:cs="Segoe UI"/>
          <w:b/>
          <w:color w:val="314364" w:themeColor="text2"/>
        </w:rPr>
      </w:pPr>
      <w:r w:rsidRPr="00351F78">
        <w:rPr>
          <w:rFonts w:cs="Segoe UI"/>
          <w:b/>
          <w:color w:val="314364" w:themeColor="text2"/>
        </w:rPr>
        <w:lastRenderedPageBreak/>
        <w:t xml:space="preserve">Tabuľka </w:t>
      </w:r>
      <w:r>
        <w:rPr>
          <w:rFonts w:cs="Segoe UI"/>
          <w:b/>
          <w:color w:val="314364" w:themeColor="text2"/>
        </w:rPr>
        <w:t>7</w:t>
      </w:r>
      <w:r w:rsidRPr="00351F78">
        <w:rPr>
          <w:rFonts w:cs="Segoe UI"/>
          <w:b/>
          <w:color w:val="314364" w:themeColor="text2"/>
        </w:rPr>
        <w:t xml:space="preserve"> - Zoznam uznesení vlády SR</w:t>
      </w:r>
      <w:r w:rsidR="006E4871">
        <w:rPr>
          <w:rFonts w:cs="Segoe UI"/>
          <w:b/>
          <w:color w:val="314364" w:themeColor="text2"/>
        </w:rPr>
        <w:t>,</w:t>
      </w:r>
      <w:r w:rsidRPr="00351F78">
        <w:rPr>
          <w:rFonts w:cs="Segoe UI"/>
          <w:b/>
          <w:color w:val="314364" w:themeColor="text2"/>
        </w:rPr>
        <w:t xml:space="preserve"> týkajúcich sa </w:t>
      </w:r>
      <w:r>
        <w:rPr>
          <w:rFonts w:cs="Segoe UI"/>
          <w:b/>
          <w:color w:val="314364" w:themeColor="text2"/>
        </w:rPr>
        <w:t>darovania majetku Ukrajine</w:t>
      </w:r>
      <w:r w:rsidR="007731C0">
        <w:rPr>
          <w:rFonts w:cs="Segoe UI"/>
          <w:b/>
          <w:color w:val="314364" w:themeColor="text2"/>
        </w:rPr>
        <w:t xml:space="preserve"> v roku </w:t>
      </w:r>
      <w:r w:rsidRPr="00351F78">
        <w:rPr>
          <w:rFonts w:cs="Segoe UI"/>
          <w:b/>
          <w:color w:val="314364" w:themeColor="text2"/>
        </w:rPr>
        <w:t>2022</w:t>
      </w:r>
    </w:p>
    <w:tbl>
      <w:tblPr>
        <w:tblW w:w="5000" w:type="pct"/>
        <w:tblBorders>
          <w:insideH w:val="single" w:sz="4" w:space="0" w:color="314364" w:themeColor="text2"/>
          <w:insideV w:val="single" w:sz="4" w:space="0" w:color="314364" w:themeColor="text2"/>
        </w:tblBorders>
        <w:tblLayout w:type="fixed"/>
        <w:tblCellMar>
          <w:left w:w="70" w:type="dxa"/>
          <w:right w:w="70" w:type="dxa"/>
        </w:tblCellMar>
        <w:tblLook w:val="04A0" w:firstRow="1" w:lastRow="0" w:firstColumn="1" w:lastColumn="0" w:noHBand="0" w:noVBand="1"/>
      </w:tblPr>
      <w:tblGrid>
        <w:gridCol w:w="4395"/>
        <w:gridCol w:w="1274"/>
        <w:gridCol w:w="1420"/>
        <w:gridCol w:w="3543"/>
        <w:gridCol w:w="994"/>
        <w:gridCol w:w="1260"/>
        <w:gridCol w:w="1400"/>
      </w:tblGrid>
      <w:tr w:rsidR="005074F1" w:rsidRPr="006250F2" w14:paraId="482B8114" w14:textId="77777777" w:rsidTr="00C119D8">
        <w:trPr>
          <w:tblHeader/>
        </w:trPr>
        <w:tc>
          <w:tcPr>
            <w:tcW w:w="1538" w:type="pct"/>
            <w:tcBorders>
              <w:top w:val="nil"/>
              <w:bottom w:val="nil"/>
            </w:tcBorders>
            <w:shd w:val="clear" w:color="auto" w:fill="314364" w:themeFill="text2"/>
            <w:noWrap/>
            <w:vAlign w:val="center"/>
            <w:hideMark/>
          </w:tcPr>
          <w:p w14:paraId="78AB7D6F" w14:textId="77777777" w:rsidR="005074F1" w:rsidRPr="006250F2" w:rsidRDefault="005074F1" w:rsidP="00C119D8">
            <w:pPr>
              <w:spacing w:after="0" w:line="240" w:lineRule="auto"/>
              <w:jc w:val="left"/>
              <w:rPr>
                <w:rFonts w:eastAsia="Times New Roman" w:cs="Segoe UI"/>
                <w:b/>
                <w:bCs/>
                <w:color w:val="FFFFFF" w:themeColor="background1"/>
                <w:sz w:val="16"/>
                <w:szCs w:val="16"/>
                <w:lang w:eastAsia="sk-SK"/>
              </w:rPr>
            </w:pPr>
            <w:r w:rsidRPr="006250F2">
              <w:rPr>
                <w:rFonts w:eastAsia="Times New Roman" w:cs="Segoe UI"/>
                <w:b/>
                <w:bCs/>
                <w:color w:val="FFFFFF" w:themeColor="background1"/>
                <w:sz w:val="16"/>
                <w:szCs w:val="16"/>
                <w:lang w:eastAsia="sk-SK"/>
              </w:rPr>
              <w:t>Názov uznesenia</w:t>
            </w:r>
          </w:p>
        </w:tc>
        <w:tc>
          <w:tcPr>
            <w:tcW w:w="446" w:type="pct"/>
            <w:tcBorders>
              <w:top w:val="nil"/>
              <w:bottom w:val="nil"/>
            </w:tcBorders>
            <w:shd w:val="clear" w:color="auto" w:fill="314364" w:themeFill="text2"/>
            <w:noWrap/>
            <w:vAlign w:val="center"/>
            <w:hideMark/>
          </w:tcPr>
          <w:p w14:paraId="65F7FEC9" w14:textId="77777777" w:rsidR="005074F1" w:rsidRPr="006250F2" w:rsidRDefault="005074F1" w:rsidP="00C119D8">
            <w:pPr>
              <w:spacing w:after="0" w:line="240" w:lineRule="auto"/>
              <w:jc w:val="center"/>
              <w:rPr>
                <w:rFonts w:eastAsia="Times New Roman" w:cs="Segoe UI"/>
                <w:b/>
                <w:bCs/>
                <w:color w:val="FFFFFF" w:themeColor="background1"/>
                <w:sz w:val="16"/>
                <w:szCs w:val="16"/>
                <w:lang w:eastAsia="sk-SK"/>
              </w:rPr>
            </w:pPr>
            <w:r w:rsidRPr="006250F2">
              <w:rPr>
                <w:rFonts w:eastAsia="Times New Roman" w:cs="Segoe UI"/>
                <w:b/>
                <w:bCs/>
                <w:color w:val="FFFFFF" w:themeColor="background1"/>
                <w:sz w:val="16"/>
                <w:szCs w:val="16"/>
                <w:lang w:eastAsia="sk-SK"/>
              </w:rPr>
              <w:t xml:space="preserve">Číslo </w:t>
            </w:r>
            <w:proofErr w:type="spellStart"/>
            <w:r w:rsidRPr="006250F2">
              <w:rPr>
                <w:rFonts w:eastAsia="Times New Roman" w:cs="Segoe UI"/>
                <w:b/>
                <w:bCs/>
                <w:color w:val="FFFFFF" w:themeColor="background1"/>
                <w:sz w:val="16"/>
                <w:szCs w:val="16"/>
                <w:lang w:eastAsia="sk-SK"/>
              </w:rPr>
              <w:t>uzn</w:t>
            </w:r>
            <w:proofErr w:type="spellEnd"/>
            <w:r w:rsidRPr="006250F2">
              <w:rPr>
                <w:rFonts w:eastAsia="Times New Roman" w:cs="Segoe UI"/>
                <w:b/>
                <w:bCs/>
                <w:color w:val="FFFFFF" w:themeColor="background1"/>
                <w:sz w:val="16"/>
                <w:szCs w:val="16"/>
                <w:lang w:eastAsia="sk-SK"/>
              </w:rPr>
              <w:t>.</w:t>
            </w:r>
          </w:p>
        </w:tc>
        <w:tc>
          <w:tcPr>
            <w:tcW w:w="497" w:type="pct"/>
            <w:tcBorders>
              <w:top w:val="nil"/>
              <w:bottom w:val="nil"/>
            </w:tcBorders>
            <w:shd w:val="clear" w:color="auto" w:fill="314364" w:themeFill="text2"/>
            <w:noWrap/>
            <w:vAlign w:val="center"/>
            <w:hideMark/>
          </w:tcPr>
          <w:p w14:paraId="75F661C6" w14:textId="77777777" w:rsidR="005074F1" w:rsidRPr="006250F2" w:rsidRDefault="005074F1" w:rsidP="00C119D8">
            <w:pPr>
              <w:spacing w:after="0" w:line="240" w:lineRule="auto"/>
              <w:jc w:val="center"/>
              <w:rPr>
                <w:rFonts w:eastAsia="Times New Roman" w:cs="Segoe UI"/>
                <w:b/>
                <w:bCs/>
                <w:color w:val="FFFFFF" w:themeColor="background1"/>
                <w:sz w:val="16"/>
                <w:szCs w:val="16"/>
                <w:lang w:eastAsia="sk-SK"/>
              </w:rPr>
            </w:pPr>
            <w:r w:rsidRPr="006250F2">
              <w:rPr>
                <w:rFonts w:eastAsia="Times New Roman" w:cs="Segoe UI"/>
                <w:b/>
                <w:bCs/>
                <w:color w:val="FFFFFF" w:themeColor="background1"/>
                <w:sz w:val="16"/>
                <w:szCs w:val="16"/>
                <w:lang w:eastAsia="sk-SK"/>
              </w:rPr>
              <w:t xml:space="preserve">Dátum </w:t>
            </w:r>
            <w:proofErr w:type="spellStart"/>
            <w:r w:rsidRPr="006250F2">
              <w:rPr>
                <w:rFonts w:eastAsia="Times New Roman" w:cs="Segoe UI"/>
                <w:b/>
                <w:bCs/>
                <w:color w:val="FFFFFF" w:themeColor="background1"/>
                <w:sz w:val="16"/>
                <w:szCs w:val="16"/>
                <w:lang w:eastAsia="sk-SK"/>
              </w:rPr>
              <w:t>uzn</w:t>
            </w:r>
            <w:proofErr w:type="spellEnd"/>
            <w:r w:rsidRPr="006250F2">
              <w:rPr>
                <w:rFonts w:eastAsia="Times New Roman" w:cs="Segoe UI"/>
                <w:b/>
                <w:bCs/>
                <w:color w:val="FFFFFF" w:themeColor="background1"/>
                <w:sz w:val="16"/>
                <w:szCs w:val="16"/>
                <w:lang w:eastAsia="sk-SK"/>
              </w:rPr>
              <w:t>.</w:t>
            </w:r>
          </w:p>
        </w:tc>
        <w:tc>
          <w:tcPr>
            <w:tcW w:w="1240" w:type="pct"/>
            <w:tcBorders>
              <w:top w:val="nil"/>
              <w:bottom w:val="nil"/>
            </w:tcBorders>
            <w:shd w:val="clear" w:color="auto" w:fill="314364" w:themeFill="text2"/>
            <w:noWrap/>
            <w:vAlign w:val="center"/>
            <w:hideMark/>
          </w:tcPr>
          <w:p w14:paraId="0811D355" w14:textId="77777777" w:rsidR="005074F1" w:rsidRPr="006250F2" w:rsidRDefault="005074F1" w:rsidP="00C119D8">
            <w:pPr>
              <w:spacing w:after="0" w:line="240" w:lineRule="auto"/>
              <w:rPr>
                <w:rFonts w:eastAsia="Times New Roman" w:cs="Segoe UI"/>
                <w:b/>
                <w:bCs/>
                <w:color w:val="FFFFFF" w:themeColor="background1"/>
                <w:sz w:val="16"/>
                <w:szCs w:val="16"/>
                <w:lang w:eastAsia="sk-SK"/>
              </w:rPr>
            </w:pPr>
            <w:r w:rsidRPr="006250F2">
              <w:rPr>
                <w:rFonts w:eastAsia="Times New Roman" w:cs="Segoe UI"/>
                <w:b/>
                <w:bCs/>
                <w:color w:val="FFFFFF" w:themeColor="background1"/>
                <w:sz w:val="16"/>
                <w:szCs w:val="16"/>
                <w:lang w:eastAsia="sk-SK"/>
              </w:rPr>
              <w:t>Hodnota (mil. eur) / pozn.</w:t>
            </w:r>
          </w:p>
        </w:tc>
        <w:tc>
          <w:tcPr>
            <w:tcW w:w="348" w:type="pct"/>
            <w:tcBorders>
              <w:top w:val="nil"/>
              <w:bottom w:val="nil"/>
            </w:tcBorders>
            <w:shd w:val="clear" w:color="auto" w:fill="314364" w:themeFill="text2"/>
            <w:noWrap/>
            <w:vAlign w:val="center"/>
            <w:hideMark/>
          </w:tcPr>
          <w:p w14:paraId="2EE514A9" w14:textId="77777777" w:rsidR="005074F1" w:rsidRPr="006250F2" w:rsidRDefault="005074F1" w:rsidP="00C119D8">
            <w:pPr>
              <w:spacing w:after="0" w:line="240" w:lineRule="auto"/>
              <w:rPr>
                <w:rFonts w:eastAsia="Times New Roman" w:cs="Segoe UI"/>
                <w:b/>
                <w:bCs/>
                <w:color w:val="FFFFFF" w:themeColor="background1"/>
                <w:sz w:val="16"/>
                <w:szCs w:val="16"/>
                <w:lang w:eastAsia="sk-SK"/>
              </w:rPr>
            </w:pPr>
            <w:r w:rsidRPr="006250F2">
              <w:rPr>
                <w:rFonts w:eastAsia="Times New Roman" w:cs="Segoe UI"/>
                <w:b/>
                <w:bCs/>
                <w:color w:val="FFFFFF" w:themeColor="background1"/>
                <w:sz w:val="16"/>
                <w:szCs w:val="16"/>
                <w:lang w:eastAsia="sk-SK"/>
              </w:rPr>
              <w:t>Schválenie vládou SR</w:t>
            </w:r>
          </w:p>
        </w:tc>
        <w:tc>
          <w:tcPr>
            <w:tcW w:w="441" w:type="pct"/>
            <w:tcBorders>
              <w:top w:val="nil"/>
              <w:bottom w:val="nil"/>
            </w:tcBorders>
            <w:shd w:val="clear" w:color="auto" w:fill="314364" w:themeFill="text2"/>
            <w:noWrap/>
            <w:vAlign w:val="center"/>
            <w:hideMark/>
          </w:tcPr>
          <w:p w14:paraId="25565463" w14:textId="77777777" w:rsidR="005074F1" w:rsidRPr="006250F2" w:rsidRDefault="005074F1" w:rsidP="00C119D8">
            <w:pPr>
              <w:spacing w:after="0" w:line="240" w:lineRule="auto"/>
              <w:rPr>
                <w:rFonts w:eastAsia="Times New Roman" w:cs="Segoe UI"/>
                <w:b/>
                <w:bCs/>
                <w:color w:val="FFFFFF" w:themeColor="background1"/>
                <w:sz w:val="16"/>
                <w:szCs w:val="16"/>
                <w:lang w:eastAsia="sk-SK"/>
              </w:rPr>
            </w:pPr>
            <w:r w:rsidRPr="006250F2">
              <w:rPr>
                <w:rFonts w:eastAsia="Times New Roman" w:cs="Segoe UI"/>
                <w:b/>
                <w:bCs/>
                <w:color w:val="FFFFFF" w:themeColor="background1"/>
                <w:sz w:val="16"/>
                <w:szCs w:val="16"/>
                <w:lang w:eastAsia="sk-SK"/>
              </w:rPr>
              <w:t>Predložil</w:t>
            </w:r>
          </w:p>
        </w:tc>
        <w:tc>
          <w:tcPr>
            <w:tcW w:w="490" w:type="pct"/>
            <w:tcBorders>
              <w:top w:val="nil"/>
              <w:bottom w:val="nil"/>
            </w:tcBorders>
            <w:shd w:val="clear" w:color="auto" w:fill="314364" w:themeFill="text2"/>
            <w:noWrap/>
            <w:vAlign w:val="center"/>
            <w:hideMark/>
          </w:tcPr>
          <w:p w14:paraId="7BF02E41" w14:textId="77777777" w:rsidR="005074F1" w:rsidRPr="006250F2" w:rsidRDefault="005074F1" w:rsidP="00C119D8">
            <w:pPr>
              <w:spacing w:after="0" w:line="240" w:lineRule="auto"/>
              <w:rPr>
                <w:rFonts w:eastAsia="Times New Roman" w:cs="Segoe UI"/>
                <w:b/>
                <w:bCs/>
                <w:color w:val="FFFFFF" w:themeColor="background1"/>
                <w:sz w:val="16"/>
                <w:szCs w:val="16"/>
                <w:lang w:eastAsia="sk-SK"/>
              </w:rPr>
            </w:pPr>
            <w:r w:rsidRPr="006250F2">
              <w:rPr>
                <w:rFonts w:eastAsia="Times New Roman" w:cs="Segoe UI"/>
                <w:b/>
                <w:bCs/>
                <w:color w:val="FFFFFF" w:themeColor="background1"/>
                <w:sz w:val="16"/>
                <w:szCs w:val="16"/>
                <w:lang w:eastAsia="sk-SK"/>
              </w:rPr>
              <w:t>Detail uznesenia vlády SR</w:t>
            </w:r>
          </w:p>
        </w:tc>
      </w:tr>
      <w:tr w:rsidR="005074F1" w:rsidRPr="006250F2" w14:paraId="019C18CC" w14:textId="77777777" w:rsidTr="00C119D8">
        <w:tc>
          <w:tcPr>
            <w:tcW w:w="1538" w:type="pct"/>
            <w:tcBorders>
              <w:top w:val="nil"/>
              <w:bottom w:val="nil"/>
              <w:right w:val="nil"/>
            </w:tcBorders>
            <w:shd w:val="clear" w:color="auto" w:fill="auto"/>
            <w:noWrap/>
            <w:vAlign w:val="center"/>
            <w:hideMark/>
          </w:tcPr>
          <w:p w14:paraId="4803B3B5"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hnuteľného majetku štátu v rámci humanitárnej pomoci Ukrajine</w:t>
            </w:r>
          </w:p>
        </w:tc>
        <w:tc>
          <w:tcPr>
            <w:tcW w:w="446" w:type="pct"/>
            <w:tcBorders>
              <w:top w:val="nil"/>
              <w:left w:val="nil"/>
              <w:bottom w:val="nil"/>
              <w:right w:val="nil"/>
            </w:tcBorders>
            <w:shd w:val="clear" w:color="auto" w:fill="auto"/>
            <w:noWrap/>
            <w:vAlign w:val="center"/>
            <w:hideMark/>
          </w:tcPr>
          <w:p w14:paraId="5111FF9E"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103/2022</w:t>
            </w:r>
          </w:p>
        </w:tc>
        <w:tc>
          <w:tcPr>
            <w:tcW w:w="497" w:type="pct"/>
            <w:tcBorders>
              <w:top w:val="nil"/>
              <w:left w:val="nil"/>
              <w:bottom w:val="nil"/>
              <w:right w:val="nil"/>
            </w:tcBorders>
            <w:shd w:val="clear" w:color="auto" w:fill="auto"/>
            <w:noWrap/>
            <w:vAlign w:val="center"/>
            <w:hideMark/>
          </w:tcPr>
          <w:p w14:paraId="3A883A93"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16.2.2022</w:t>
            </w:r>
          </w:p>
        </w:tc>
        <w:tc>
          <w:tcPr>
            <w:tcW w:w="1240" w:type="pct"/>
            <w:tcBorders>
              <w:top w:val="nil"/>
              <w:left w:val="nil"/>
              <w:bottom w:val="nil"/>
              <w:right w:val="nil"/>
            </w:tcBorders>
            <w:shd w:val="clear" w:color="auto" w:fill="auto"/>
            <w:vAlign w:val="center"/>
            <w:hideMark/>
          </w:tcPr>
          <w:p w14:paraId="173BDBA4"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podľa doložky vplyvov žiadny vplyv na RVS</w:t>
            </w:r>
          </w:p>
          <w:p w14:paraId="6E65EBEE"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 prebytočný majetok štátu</w:t>
            </w:r>
          </w:p>
          <w:p w14:paraId="571902FE"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 darovanie Ukrajine v rámci humanitárnej pomoci 2 kusov odmínovacích zariadení Božena</w:t>
            </w:r>
          </w:p>
        </w:tc>
        <w:tc>
          <w:tcPr>
            <w:tcW w:w="348" w:type="pct"/>
            <w:tcBorders>
              <w:top w:val="nil"/>
              <w:left w:val="nil"/>
              <w:bottom w:val="nil"/>
              <w:right w:val="nil"/>
            </w:tcBorders>
            <w:shd w:val="clear" w:color="auto" w:fill="auto"/>
            <w:noWrap/>
            <w:vAlign w:val="center"/>
            <w:hideMark/>
          </w:tcPr>
          <w:p w14:paraId="7594BC16"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660094D2"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3F5A2DCE"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48" w:history="1">
              <w:r w:rsidR="005074F1" w:rsidRPr="006250F2">
                <w:rPr>
                  <w:rFonts w:eastAsia="Times New Roman" w:cs="Segoe UI"/>
                  <w:color w:val="0563C1"/>
                  <w:sz w:val="16"/>
                  <w:szCs w:val="16"/>
                  <w:u w:val="single"/>
                  <w:lang w:eastAsia="sk-SK"/>
                </w:rPr>
                <w:t>UV-4767/2022</w:t>
              </w:r>
            </w:hyperlink>
          </w:p>
        </w:tc>
      </w:tr>
      <w:tr w:rsidR="005074F1" w:rsidRPr="006250F2" w14:paraId="6464F17C" w14:textId="77777777" w:rsidTr="00C119D8">
        <w:tc>
          <w:tcPr>
            <w:tcW w:w="1538" w:type="pct"/>
            <w:tcBorders>
              <w:top w:val="nil"/>
              <w:bottom w:val="nil"/>
              <w:right w:val="nil"/>
            </w:tcBorders>
            <w:shd w:val="clear" w:color="auto" w:fill="auto"/>
            <w:noWrap/>
            <w:vAlign w:val="center"/>
            <w:hideMark/>
          </w:tcPr>
          <w:p w14:paraId="5C6FFF3B"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materiálu Ukrajine</w:t>
            </w:r>
          </w:p>
        </w:tc>
        <w:tc>
          <w:tcPr>
            <w:tcW w:w="446" w:type="pct"/>
            <w:tcBorders>
              <w:top w:val="nil"/>
              <w:left w:val="nil"/>
              <w:bottom w:val="nil"/>
              <w:right w:val="nil"/>
            </w:tcBorders>
            <w:shd w:val="clear" w:color="auto" w:fill="auto"/>
            <w:noWrap/>
            <w:vAlign w:val="center"/>
            <w:hideMark/>
          </w:tcPr>
          <w:p w14:paraId="4F9F7252"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141/2022</w:t>
            </w:r>
          </w:p>
        </w:tc>
        <w:tc>
          <w:tcPr>
            <w:tcW w:w="497" w:type="pct"/>
            <w:tcBorders>
              <w:top w:val="nil"/>
              <w:left w:val="nil"/>
              <w:bottom w:val="nil"/>
              <w:right w:val="nil"/>
            </w:tcBorders>
            <w:shd w:val="clear" w:color="auto" w:fill="auto"/>
            <w:noWrap/>
            <w:vAlign w:val="center"/>
            <w:hideMark/>
          </w:tcPr>
          <w:p w14:paraId="32F18AB5"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26.2.2022</w:t>
            </w:r>
          </w:p>
        </w:tc>
        <w:tc>
          <w:tcPr>
            <w:tcW w:w="1240" w:type="pct"/>
            <w:tcBorders>
              <w:top w:val="nil"/>
              <w:left w:val="nil"/>
              <w:bottom w:val="nil"/>
              <w:right w:val="nil"/>
            </w:tcBorders>
            <w:shd w:val="clear" w:color="auto" w:fill="auto"/>
            <w:noWrap/>
            <w:vAlign w:val="center"/>
            <w:hideMark/>
          </w:tcPr>
          <w:p w14:paraId="77631033"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2,6 </w:t>
            </w:r>
          </w:p>
        </w:tc>
        <w:tc>
          <w:tcPr>
            <w:tcW w:w="348" w:type="pct"/>
            <w:tcBorders>
              <w:top w:val="nil"/>
              <w:left w:val="nil"/>
              <w:bottom w:val="nil"/>
              <w:right w:val="nil"/>
            </w:tcBorders>
            <w:shd w:val="clear" w:color="auto" w:fill="auto"/>
            <w:noWrap/>
            <w:vAlign w:val="center"/>
            <w:hideMark/>
          </w:tcPr>
          <w:p w14:paraId="2E717B8D"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529D8FFC"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01A9A67E"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49" w:history="1">
              <w:r w:rsidR="005074F1" w:rsidRPr="006250F2">
                <w:rPr>
                  <w:rFonts w:eastAsia="Times New Roman" w:cs="Segoe UI"/>
                  <w:color w:val="0563C1"/>
                  <w:sz w:val="16"/>
                  <w:szCs w:val="16"/>
                  <w:u w:val="single"/>
                  <w:lang w:eastAsia="sk-SK"/>
                </w:rPr>
                <w:t>UV-6169/2022</w:t>
              </w:r>
            </w:hyperlink>
          </w:p>
        </w:tc>
      </w:tr>
      <w:tr w:rsidR="005074F1" w:rsidRPr="006250F2" w14:paraId="16D514E6" w14:textId="77777777" w:rsidTr="00C119D8">
        <w:tc>
          <w:tcPr>
            <w:tcW w:w="1538" w:type="pct"/>
            <w:tcBorders>
              <w:top w:val="nil"/>
              <w:bottom w:val="nil"/>
              <w:right w:val="nil"/>
            </w:tcBorders>
            <w:shd w:val="clear" w:color="auto" w:fill="auto"/>
            <w:noWrap/>
            <w:vAlign w:val="center"/>
            <w:hideMark/>
          </w:tcPr>
          <w:p w14:paraId="0F91075B"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49D3DCD0"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143/2022</w:t>
            </w:r>
          </w:p>
        </w:tc>
        <w:tc>
          <w:tcPr>
            <w:tcW w:w="497" w:type="pct"/>
            <w:tcBorders>
              <w:top w:val="nil"/>
              <w:left w:val="nil"/>
              <w:bottom w:val="nil"/>
              <w:right w:val="nil"/>
            </w:tcBorders>
            <w:shd w:val="clear" w:color="auto" w:fill="auto"/>
            <w:noWrap/>
            <w:vAlign w:val="center"/>
            <w:hideMark/>
          </w:tcPr>
          <w:p w14:paraId="5FCAFE96"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27.2.2022</w:t>
            </w:r>
          </w:p>
        </w:tc>
        <w:tc>
          <w:tcPr>
            <w:tcW w:w="1240" w:type="pct"/>
            <w:tcBorders>
              <w:top w:val="nil"/>
              <w:left w:val="nil"/>
              <w:bottom w:val="nil"/>
              <w:right w:val="nil"/>
            </w:tcBorders>
            <w:shd w:val="clear" w:color="auto" w:fill="auto"/>
            <w:noWrap/>
            <w:vAlign w:val="center"/>
            <w:hideMark/>
          </w:tcPr>
          <w:p w14:paraId="0995B755"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4,4 </w:t>
            </w:r>
          </w:p>
        </w:tc>
        <w:tc>
          <w:tcPr>
            <w:tcW w:w="348" w:type="pct"/>
            <w:tcBorders>
              <w:top w:val="nil"/>
              <w:left w:val="nil"/>
              <w:bottom w:val="nil"/>
              <w:right w:val="nil"/>
            </w:tcBorders>
            <w:shd w:val="clear" w:color="auto" w:fill="auto"/>
            <w:noWrap/>
            <w:vAlign w:val="center"/>
            <w:hideMark/>
          </w:tcPr>
          <w:p w14:paraId="4FA6EE80"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52188E4C"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1317E5BC"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0" w:history="1">
              <w:r w:rsidR="005074F1" w:rsidRPr="006250F2">
                <w:rPr>
                  <w:rFonts w:eastAsia="Times New Roman" w:cs="Segoe UI"/>
                  <w:color w:val="0563C1"/>
                  <w:sz w:val="16"/>
                  <w:szCs w:val="16"/>
                  <w:u w:val="single"/>
                  <w:lang w:eastAsia="sk-SK"/>
                </w:rPr>
                <w:t>UV-6176/2022</w:t>
              </w:r>
            </w:hyperlink>
          </w:p>
        </w:tc>
      </w:tr>
      <w:tr w:rsidR="005074F1" w:rsidRPr="006250F2" w14:paraId="70A453B4" w14:textId="77777777" w:rsidTr="00C119D8">
        <w:tc>
          <w:tcPr>
            <w:tcW w:w="1538" w:type="pct"/>
            <w:tcBorders>
              <w:top w:val="nil"/>
              <w:bottom w:val="nil"/>
              <w:right w:val="nil"/>
            </w:tcBorders>
            <w:shd w:val="clear" w:color="auto" w:fill="auto"/>
            <w:noWrap/>
            <w:vAlign w:val="center"/>
            <w:hideMark/>
          </w:tcPr>
          <w:p w14:paraId="078F667E"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zabezpečenie 10 miliónov litrov motorovej nafty a 2,4 milióna litrov leteckého paliva a na vydanie súhlasu s ich darovaním Ukrajine</w:t>
            </w:r>
          </w:p>
        </w:tc>
        <w:tc>
          <w:tcPr>
            <w:tcW w:w="446" w:type="pct"/>
            <w:tcBorders>
              <w:top w:val="nil"/>
              <w:left w:val="nil"/>
              <w:bottom w:val="nil"/>
              <w:right w:val="nil"/>
            </w:tcBorders>
            <w:shd w:val="clear" w:color="auto" w:fill="auto"/>
            <w:noWrap/>
            <w:vAlign w:val="center"/>
            <w:hideMark/>
          </w:tcPr>
          <w:p w14:paraId="235BA653"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150/2022</w:t>
            </w:r>
          </w:p>
        </w:tc>
        <w:tc>
          <w:tcPr>
            <w:tcW w:w="497" w:type="pct"/>
            <w:tcBorders>
              <w:top w:val="nil"/>
              <w:left w:val="nil"/>
              <w:bottom w:val="nil"/>
              <w:right w:val="nil"/>
            </w:tcBorders>
            <w:shd w:val="clear" w:color="auto" w:fill="auto"/>
            <w:noWrap/>
            <w:vAlign w:val="center"/>
            <w:hideMark/>
          </w:tcPr>
          <w:p w14:paraId="0E087A9F"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2.3.2022</w:t>
            </w:r>
          </w:p>
        </w:tc>
        <w:tc>
          <w:tcPr>
            <w:tcW w:w="1240" w:type="pct"/>
            <w:tcBorders>
              <w:top w:val="nil"/>
              <w:left w:val="nil"/>
              <w:bottom w:val="nil"/>
              <w:right w:val="nil"/>
            </w:tcBorders>
            <w:shd w:val="clear" w:color="auto" w:fill="auto"/>
            <w:vAlign w:val="center"/>
            <w:hideMark/>
          </w:tcPr>
          <w:p w14:paraId="7654EFA3"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materiál neobsahuje doložku vplyvov, nebol predmetom MPK, hodnota neuvedená</w:t>
            </w:r>
          </w:p>
          <w:p w14:paraId="337A442A"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 xml:space="preserve">- darovaných 12,4 mil. litrov pohonných hmôt </w:t>
            </w:r>
          </w:p>
        </w:tc>
        <w:tc>
          <w:tcPr>
            <w:tcW w:w="348" w:type="pct"/>
            <w:tcBorders>
              <w:top w:val="nil"/>
              <w:left w:val="nil"/>
              <w:bottom w:val="nil"/>
              <w:right w:val="nil"/>
            </w:tcBorders>
            <w:shd w:val="clear" w:color="auto" w:fill="auto"/>
            <w:noWrap/>
            <w:vAlign w:val="center"/>
            <w:hideMark/>
          </w:tcPr>
          <w:p w14:paraId="7495D426"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32F8AE4A"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podpredseda vlády a minister hospodárstva</w:t>
            </w:r>
          </w:p>
        </w:tc>
        <w:tc>
          <w:tcPr>
            <w:tcW w:w="490" w:type="pct"/>
            <w:tcBorders>
              <w:top w:val="nil"/>
              <w:left w:val="nil"/>
              <w:bottom w:val="nil"/>
            </w:tcBorders>
            <w:shd w:val="clear" w:color="auto" w:fill="auto"/>
            <w:noWrap/>
            <w:vAlign w:val="center"/>
            <w:hideMark/>
          </w:tcPr>
          <w:p w14:paraId="094329B9"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1" w:history="1">
              <w:r w:rsidR="005074F1" w:rsidRPr="006250F2">
                <w:rPr>
                  <w:rFonts w:eastAsia="Times New Roman" w:cs="Segoe UI"/>
                  <w:color w:val="0563C1"/>
                  <w:sz w:val="16"/>
                  <w:szCs w:val="16"/>
                  <w:u w:val="single"/>
                  <w:lang w:eastAsia="sk-SK"/>
                </w:rPr>
                <w:t>UV-6702/2022</w:t>
              </w:r>
            </w:hyperlink>
          </w:p>
        </w:tc>
      </w:tr>
      <w:tr w:rsidR="005074F1" w:rsidRPr="006250F2" w14:paraId="566C0B16" w14:textId="77777777" w:rsidTr="00C119D8">
        <w:tc>
          <w:tcPr>
            <w:tcW w:w="1538" w:type="pct"/>
            <w:tcBorders>
              <w:top w:val="nil"/>
              <w:bottom w:val="nil"/>
              <w:right w:val="nil"/>
            </w:tcBorders>
            <w:shd w:val="clear" w:color="auto" w:fill="auto"/>
            <w:noWrap/>
            <w:vAlign w:val="center"/>
            <w:hideMark/>
          </w:tcPr>
          <w:p w14:paraId="6B2C14C1"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15250D67"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155/2022</w:t>
            </w:r>
          </w:p>
        </w:tc>
        <w:tc>
          <w:tcPr>
            <w:tcW w:w="497" w:type="pct"/>
            <w:tcBorders>
              <w:top w:val="nil"/>
              <w:left w:val="nil"/>
              <w:bottom w:val="nil"/>
              <w:right w:val="nil"/>
            </w:tcBorders>
            <w:shd w:val="clear" w:color="auto" w:fill="auto"/>
            <w:noWrap/>
            <w:vAlign w:val="center"/>
            <w:hideMark/>
          </w:tcPr>
          <w:p w14:paraId="497FE170" w14:textId="77777777" w:rsidR="005074F1" w:rsidRPr="006250F2" w:rsidRDefault="005074F1" w:rsidP="00C119D8">
            <w:pPr>
              <w:spacing w:after="0" w:line="240" w:lineRule="auto"/>
              <w:jc w:val="center"/>
              <w:rPr>
                <w:rFonts w:eastAsia="Times New Roman" w:cs="Segoe UI"/>
                <w:color w:val="333333"/>
                <w:sz w:val="16"/>
                <w:szCs w:val="16"/>
                <w:lang w:eastAsia="sk-SK"/>
              </w:rPr>
            </w:pPr>
            <w:r w:rsidRPr="006250F2">
              <w:rPr>
                <w:rFonts w:eastAsia="Times New Roman" w:cs="Segoe UI"/>
                <w:color w:val="333333"/>
                <w:sz w:val="16"/>
                <w:szCs w:val="16"/>
                <w:lang w:eastAsia="sk-SK"/>
              </w:rPr>
              <w:t>3.3.2022</w:t>
            </w:r>
          </w:p>
        </w:tc>
        <w:tc>
          <w:tcPr>
            <w:tcW w:w="1240" w:type="pct"/>
            <w:tcBorders>
              <w:top w:val="nil"/>
              <w:left w:val="nil"/>
              <w:bottom w:val="nil"/>
              <w:right w:val="nil"/>
            </w:tcBorders>
            <w:shd w:val="clear" w:color="auto" w:fill="auto"/>
            <w:noWrap/>
            <w:vAlign w:val="center"/>
            <w:hideMark/>
          </w:tcPr>
          <w:p w14:paraId="49F8684B"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6,3 </w:t>
            </w:r>
          </w:p>
        </w:tc>
        <w:tc>
          <w:tcPr>
            <w:tcW w:w="348" w:type="pct"/>
            <w:tcBorders>
              <w:top w:val="nil"/>
              <w:left w:val="nil"/>
              <w:bottom w:val="nil"/>
              <w:right w:val="nil"/>
            </w:tcBorders>
            <w:shd w:val="clear" w:color="auto" w:fill="auto"/>
            <w:noWrap/>
            <w:vAlign w:val="center"/>
            <w:hideMark/>
          </w:tcPr>
          <w:p w14:paraId="59C5E095"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17459E15"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64CE38F5"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2" w:history="1">
              <w:r w:rsidR="005074F1" w:rsidRPr="006250F2">
                <w:rPr>
                  <w:rFonts w:eastAsia="Times New Roman" w:cs="Segoe UI"/>
                  <w:color w:val="0563C1"/>
                  <w:sz w:val="16"/>
                  <w:szCs w:val="16"/>
                  <w:u w:val="single"/>
                  <w:lang w:eastAsia="sk-SK"/>
                </w:rPr>
                <w:t>UV-7065/2022</w:t>
              </w:r>
            </w:hyperlink>
          </w:p>
        </w:tc>
      </w:tr>
      <w:tr w:rsidR="005074F1" w:rsidRPr="006250F2" w14:paraId="6D526D9D" w14:textId="77777777" w:rsidTr="00C119D8">
        <w:tc>
          <w:tcPr>
            <w:tcW w:w="1538" w:type="pct"/>
            <w:tcBorders>
              <w:top w:val="nil"/>
              <w:bottom w:val="nil"/>
              <w:right w:val="nil"/>
            </w:tcBorders>
            <w:shd w:val="clear" w:color="auto" w:fill="auto"/>
            <w:noWrap/>
            <w:vAlign w:val="center"/>
            <w:hideMark/>
          </w:tcPr>
          <w:p w14:paraId="09F21D0B"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2850DE81"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167/2022</w:t>
            </w:r>
          </w:p>
        </w:tc>
        <w:tc>
          <w:tcPr>
            <w:tcW w:w="497" w:type="pct"/>
            <w:tcBorders>
              <w:top w:val="nil"/>
              <w:left w:val="nil"/>
              <w:bottom w:val="nil"/>
              <w:right w:val="nil"/>
            </w:tcBorders>
            <w:shd w:val="clear" w:color="auto" w:fill="auto"/>
            <w:noWrap/>
            <w:vAlign w:val="center"/>
            <w:hideMark/>
          </w:tcPr>
          <w:p w14:paraId="4174B47C"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9.3.2022</w:t>
            </w:r>
          </w:p>
        </w:tc>
        <w:tc>
          <w:tcPr>
            <w:tcW w:w="1240" w:type="pct"/>
            <w:tcBorders>
              <w:top w:val="nil"/>
              <w:left w:val="nil"/>
              <w:bottom w:val="nil"/>
              <w:right w:val="nil"/>
            </w:tcBorders>
            <w:shd w:val="clear" w:color="auto" w:fill="auto"/>
            <w:noWrap/>
            <w:vAlign w:val="center"/>
            <w:hideMark/>
          </w:tcPr>
          <w:p w14:paraId="353CC6AC"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10,0 </w:t>
            </w:r>
          </w:p>
        </w:tc>
        <w:tc>
          <w:tcPr>
            <w:tcW w:w="348" w:type="pct"/>
            <w:tcBorders>
              <w:top w:val="nil"/>
              <w:left w:val="nil"/>
              <w:bottom w:val="nil"/>
              <w:right w:val="nil"/>
            </w:tcBorders>
            <w:shd w:val="clear" w:color="auto" w:fill="auto"/>
            <w:noWrap/>
            <w:vAlign w:val="center"/>
            <w:hideMark/>
          </w:tcPr>
          <w:p w14:paraId="779E9537"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19CF4BEE"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40A0A122"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3" w:history="1">
              <w:r w:rsidR="005074F1" w:rsidRPr="006250F2">
                <w:rPr>
                  <w:rFonts w:eastAsia="Times New Roman" w:cs="Segoe UI"/>
                  <w:color w:val="0563C1"/>
                  <w:sz w:val="16"/>
                  <w:szCs w:val="16"/>
                  <w:u w:val="single"/>
                  <w:lang w:eastAsia="sk-SK"/>
                </w:rPr>
                <w:t>UV-7614/2022</w:t>
              </w:r>
            </w:hyperlink>
          </w:p>
        </w:tc>
      </w:tr>
      <w:tr w:rsidR="005074F1" w:rsidRPr="006250F2" w14:paraId="4F32F0A4" w14:textId="77777777" w:rsidTr="00C119D8">
        <w:tc>
          <w:tcPr>
            <w:tcW w:w="1538" w:type="pct"/>
            <w:tcBorders>
              <w:top w:val="nil"/>
              <w:bottom w:val="nil"/>
              <w:right w:val="nil"/>
            </w:tcBorders>
            <w:shd w:val="clear" w:color="auto" w:fill="auto"/>
            <w:noWrap/>
            <w:vAlign w:val="center"/>
            <w:hideMark/>
          </w:tcPr>
          <w:p w14:paraId="0E441F31"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666D57B7"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180/2022</w:t>
            </w:r>
          </w:p>
        </w:tc>
        <w:tc>
          <w:tcPr>
            <w:tcW w:w="497" w:type="pct"/>
            <w:tcBorders>
              <w:top w:val="nil"/>
              <w:left w:val="nil"/>
              <w:bottom w:val="nil"/>
              <w:right w:val="nil"/>
            </w:tcBorders>
            <w:shd w:val="clear" w:color="auto" w:fill="auto"/>
            <w:noWrap/>
            <w:vAlign w:val="center"/>
            <w:hideMark/>
          </w:tcPr>
          <w:p w14:paraId="0BCAFB2C"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13.3.2022</w:t>
            </w:r>
          </w:p>
        </w:tc>
        <w:tc>
          <w:tcPr>
            <w:tcW w:w="1240" w:type="pct"/>
            <w:tcBorders>
              <w:top w:val="nil"/>
              <w:left w:val="nil"/>
              <w:bottom w:val="nil"/>
              <w:right w:val="nil"/>
            </w:tcBorders>
            <w:shd w:val="clear" w:color="auto" w:fill="auto"/>
            <w:noWrap/>
            <w:vAlign w:val="center"/>
            <w:hideMark/>
          </w:tcPr>
          <w:p w14:paraId="05128BD9"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2,2 </w:t>
            </w:r>
          </w:p>
        </w:tc>
        <w:tc>
          <w:tcPr>
            <w:tcW w:w="348" w:type="pct"/>
            <w:tcBorders>
              <w:top w:val="nil"/>
              <w:left w:val="nil"/>
              <w:bottom w:val="nil"/>
              <w:right w:val="nil"/>
            </w:tcBorders>
            <w:shd w:val="clear" w:color="auto" w:fill="auto"/>
            <w:noWrap/>
            <w:vAlign w:val="center"/>
            <w:hideMark/>
          </w:tcPr>
          <w:p w14:paraId="338BB489"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1199C829"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53A07EF2"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4" w:history="1">
              <w:r w:rsidR="005074F1" w:rsidRPr="006250F2">
                <w:rPr>
                  <w:rFonts w:eastAsia="Times New Roman" w:cs="Segoe UI"/>
                  <w:color w:val="0563C1"/>
                  <w:sz w:val="16"/>
                  <w:szCs w:val="16"/>
                  <w:u w:val="single"/>
                  <w:lang w:eastAsia="sk-SK"/>
                </w:rPr>
                <w:t>UV-8194/2022</w:t>
              </w:r>
            </w:hyperlink>
          </w:p>
        </w:tc>
      </w:tr>
      <w:tr w:rsidR="005074F1" w:rsidRPr="006250F2" w14:paraId="612640AD" w14:textId="77777777" w:rsidTr="00C119D8">
        <w:tc>
          <w:tcPr>
            <w:tcW w:w="1538" w:type="pct"/>
            <w:tcBorders>
              <w:top w:val="nil"/>
              <w:bottom w:val="nil"/>
              <w:right w:val="nil"/>
            </w:tcBorders>
            <w:shd w:val="clear" w:color="auto" w:fill="auto"/>
            <w:noWrap/>
            <w:vAlign w:val="center"/>
            <w:hideMark/>
          </w:tcPr>
          <w:p w14:paraId="70469E8A"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603D019A"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246/2022</w:t>
            </w:r>
          </w:p>
        </w:tc>
        <w:tc>
          <w:tcPr>
            <w:tcW w:w="497" w:type="pct"/>
            <w:tcBorders>
              <w:top w:val="nil"/>
              <w:left w:val="nil"/>
              <w:bottom w:val="nil"/>
              <w:right w:val="nil"/>
            </w:tcBorders>
            <w:shd w:val="clear" w:color="auto" w:fill="auto"/>
            <w:noWrap/>
            <w:vAlign w:val="center"/>
            <w:hideMark/>
          </w:tcPr>
          <w:p w14:paraId="1F735953"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6.4.2022</w:t>
            </w:r>
          </w:p>
        </w:tc>
        <w:tc>
          <w:tcPr>
            <w:tcW w:w="1240" w:type="pct"/>
            <w:tcBorders>
              <w:top w:val="nil"/>
              <w:left w:val="nil"/>
              <w:bottom w:val="nil"/>
              <w:right w:val="nil"/>
            </w:tcBorders>
            <w:shd w:val="clear" w:color="auto" w:fill="auto"/>
            <w:noWrap/>
            <w:vAlign w:val="center"/>
            <w:hideMark/>
          </w:tcPr>
          <w:p w14:paraId="2736799B"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68,9 </w:t>
            </w:r>
          </w:p>
        </w:tc>
        <w:tc>
          <w:tcPr>
            <w:tcW w:w="348" w:type="pct"/>
            <w:tcBorders>
              <w:top w:val="nil"/>
              <w:left w:val="nil"/>
              <w:bottom w:val="nil"/>
              <w:right w:val="nil"/>
            </w:tcBorders>
            <w:shd w:val="clear" w:color="auto" w:fill="auto"/>
            <w:noWrap/>
            <w:vAlign w:val="center"/>
            <w:hideMark/>
          </w:tcPr>
          <w:p w14:paraId="6FE3E87A"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155A80DE"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4C0E7188"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5" w:history="1">
              <w:r w:rsidR="005074F1" w:rsidRPr="006250F2">
                <w:rPr>
                  <w:rFonts w:eastAsia="Times New Roman" w:cs="Segoe UI"/>
                  <w:color w:val="0563C1"/>
                  <w:sz w:val="16"/>
                  <w:szCs w:val="16"/>
                  <w:u w:val="single"/>
                  <w:lang w:eastAsia="sk-SK"/>
                </w:rPr>
                <w:t>UV-13377/2022</w:t>
              </w:r>
            </w:hyperlink>
          </w:p>
        </w:tc>
      </w:tr>
      <w:tr w:rsidR="005074F1" w:rsidRPr="006250F2" w14:paraId="6EF2816E" w14:textId="77777777" w:rsidTr="00C119D8">
        <w:tc>
          <w:tcPr>
            <w:tcW w:w="1538" w:type="pct"/>
            <w:tcBorders>
              <w:top w:val="nil"/>
              <w:bottom w:val="nil"/>
              <w:right w:val="nil"/>
            </w:tcBorders>
            <w:shd w:val="clear" w:color="auto" w:fill="auto"/>
            <w:noWrap/>
            <w:vAlign w:val="center"/>
            <w:hideMark/>
          </w:tcPr>
          <w:p w14:paraId="138C17A0"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00730263"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286/2022</w:t>
            </w:r>
          </w:p>
        </w:tc>
        <w:tc>
          <w:tcPr>
            <w:tcW w:w="497" w:type="pct"/>
            <w:tcBorders>
              <w:top w:val="nil"/>
              <w:left w:val="nil"/>
              <w:bottom w:val="nil"/>
              <w:right w:val="nil"/>
            </w:tcBorders>
            <w:shd w:val="clear" w:color="auto" w:fill="auto"/>
            <w:noWrap/>
            <w:vAlign w:val="center"/>
            <w:hideMark/>
          </w:tcPr>
          <w:p w14:paraId="572F385A"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27.4.2022</w:t>
            </w:r>
          </w:p>
        </w:tc>
        <w:tc>
          <w:tcPr>
            <w:tcW w:w="1240" w:type="pct"/>
            <w:tcBorders>
              <w:top w:val="nil"/>
              <w:left w:val="nil"/>
              <w:bottom w:val="nil"/>
              <w:right w:val="nil"/>
            </w:tcBorders>
            <w:shd w:val="clear" w:color="auto" w:fill="auto"/>
            <w:noWrap/>
            <w:vAlign w:val="center"/>
            <w:hideMark/>
          </w:tcPr>
          <w:p w14:paraId="4991AADD"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2,1 </w:t>
            </w:r>
          </w:p>
        </w:tc>
        <w:tc>
          <w:tcPr>
            <w:tcW w:w="348" w:type="pct"/>
            <w:tcBorders>
              <w:top w:val="nil"/>
              <w:left w:val="nil"/>
              <w:bottom w:val="nil"/>
              <w:right w:val="nil"/>
            </w:tcBorders>
            <w:shd w:val="clear" w:color="auto" w:fill="auto"/>
            <w:noWrap/>
            <w:vAlign w:val="center"/>
            <w:hideMark/>
          </w:tcPr>
          <w:p w14:paraId="7454C13D"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72864302"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23C59BB0"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6" w:history="1">
              <w:r w:rsidR="005074F1" w:rsidRPr="006250F2">
                <w:rPr>
                  <w:rFonts w:eastAsia="Times New Roman" w:cs="Segoe UI"/>
                  <w:color w:val="0563C1"/>
                  <w:sz w:val="16"/>
                  <w:szCs w:val="16"/>
                  <w:u w:val="single"/>
                  <w:lang w:eastAsia="sk-SK"/>
                </w:rPr>
                <w:t>UV-16470/2022</w:t>
              </w:r>
            </w:hyperlink>
          </w:p>
        </w:tc>
      </w:tr>
      <w:tr w:rsidR="005074F1" w:rsidRPr="006250F2" w14:paraId="2A9C9943" w14:textId="77777777" w:rsidTr="00C119D8">
        <w:tc>
          <w:tcPr>
            <w:tcW w:w="1538" w:type="pct"/>
            <w:tcBorders>
              <w:top w:val="nil"/>
              <w:bottom w:val="nil"/>
              <w:right w:val="nil"/>
            </w:tcBorders>
            <w:shd w:val="clear" w:color="auto" w:fill="auto"/>
            <w:noWrap/>
            <w:vAlign w:val="center"/>
            <w:hideMark/>
          </w:tcPr>
          <w:p w14:paraId="685C58A3"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39C152D6"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377/2022</w:t>
            </w:r>
          </w:p>
        </w:tc>
        <w:tc>
          <w:tcPr>
            <w:tcW w:w="497" w:type="pct"/>
            <w:tcBorders>
              <w:top w:val="nil"/>
              <w:left w:val="nil"/>
              <w:bottom w:val="nil"/>
              <w:right w:val="nil"/>
            </w:tcBorders>
            <w:shd w:val="clear" w:color="auto" w:fill="auto"/>
            <w:noWrap/>
            <w:vAlign w:val="center"/>
            <w:hideMark/>
          </w:tcPr>
          <w:p w14:paraId="4893AB9E"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1.6.2022</w:t>
            </w:r>
          </w:p>
        </w:tc>
        <w:tc>
          <w:tcPr>
            <w:tcW w:w="1240" w:type="pct"/>
            <w:tcBorders>
              <w:top w:val="nil"/>
              <w:left w:val="nil"/>
              <w:bottom w:val="nil"/>
              <w:right w:val="nil"/>
            </w:tcBorders>
            <w:shd w:val="clear" w:color="auto" w:fill="auto"/>
            <w:noWrap/>
            <w:vAlign w:val="center"/>
            <w:hideMark/>
          </w:tcPr>
          <w:p w14:paraId="642B9800"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 xml:space="preserve">21,7 </w:t>
            </w:r>
          </w:p>
        </w:tc>
        <w:tc>
          <w:tcPr>
            <w:tcW w:w="348" w:type="pct"/>
            <w:tcBorders>
              <w:top w:val="nil"/>
              <w:left w:val="nil"/>
              <w:bottom w:val="nil"/>
              <w:right w:val="nil"/>
            </w:tcBorders>
            <w:shd w:val="clear" w:color="auto" w:fill="auto"/>
            <w:noWrap/>
            <w:vAlign w:val="center"/>
            <w:hideMark/>
          </w:tcPr>
          <w:p w14:paraId="77731C67"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1615848C"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528A9C57"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7" w:history="1">
              <w:r w:rsidR="005074F1" w:rsidRPr="006250F2">
                <w:rPr>
                  <w:rFonts w:eastAsia="Times New Roman" w:cs="Segoe UI"/>
                  <w:color w:val="0563C1"/>
                  <w:sz w:val="16"/>
                  <w:szCs w:val="16"/>
                  <w:u w:val="single"/>
                  <w:lang w:eastAsia="sk-SK"/>
                </w:rPr>
                <w:t>UV-22291/2022</w:t>
              </w:r>
            </w:hyperlink>
          </w:p>
        </w:tc>
      </w:tr>
      <w:tr w:rsidR="005074F1" w:rsidRPr="006250F2" w14:paraId="77B4C2A2" w14:textId="77777777" w:rsidTr="00C119D8">
        <w:tc>
          <w:tcPr>
            <w:tcW w:w="1538" w:type="pct"/>
            <w:tcBorders>
              <w:top w:val="nil"/>
              <w:bottom w:val="nil"/>
              <w:right w:val="nil"/>
            </w:tcBorders>
            <w:shd w:val="clear" w:color="auto" w:fill="auto"/>
            <w:noWrap/>
            <w:vAlign w:val="center"/>
            <w:hideMark/>
          </w:tcPr>
          <w:p w14:paraId="54B06925"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nil"/>
              <w:right w:val="nil"/>
            </w:tcBorders>
            <w:shd w:val="clear" w:color="auto" w:fill="auto"/>
            <w:noWrap/>
            <w:vAlign w:val="center"/>
            <w:hideMark/>
          </w:tcPr>
          <w:p w14:paraId="0EBE8710"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725/2022</w:t>
            </w:r>
          </w:p>
        </w:tc>
        <w:tc>
          <w:tcPr>
            <w:tcW w:w="497" w:type="pct"/>
            <w:tcBorders>
              <w:top w:val="nil"/>
              <w:left w:val="nil"/>
              <w:bottom w:val="nil"/>
              <w:right w:val="nil"/>
            </w:tcBorders>
            <w:shd w:val="clear" w:color="auto" w:fill="auto"/>
            <w:noWrap/>
            <w:vAlign w:val="center"/>
            <w:hideMark/>
          </w:tcPr>
          <w:p w14:paraId="3E502364"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16.11.2022</w:t>
            </w:r>
          </w:p>
        </w:tc>
        <w:tc>
          <w:tcPr>
            <w:tcW w:w="1240" w:type="pct"/>
            <w:tcBorders>
              <w:top w:val="nil"/>
              <w:left w:val="nil"/>
              <w:bottom w:val="nil"/>
              <w:right w:val="nil"/>
            </w:tcBorders>
            <w:shd w:val="clear" w:color="auto" w:fill="auto"/>
            <w:vAlign w:val="center"/>
            <w:hideMark/>
          </w:tcPr>
          <w:p w14:paraId="236A7E1C" w14:textId="77777777" w:rsidR="005074F1" w:rsidRPr="006250F2" w:rsidRDefault="005074F1" w:rsidP="00C119D8">
            <w:pPr>
              <w:spacing w:before="12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podľa doložky vplyvov žiadny vplyv na RVS, finančná hodnota darovaného materiálu ani samotný materiál nešpecifikovaný.</w:t>
            </w:r>
          </w:p>
        </w:tc>
        <w:tc>
          <w:tcPr>
            <w:tcW w:w="348" w:type="pct"/>
            <w:tcBorders>
              <w:top w:val="nil"/>
              <w:left w:val="nil"/>
              <w:bottom w:val="nil"/>
              <w:right w:val="nil"/>
            </w:tcBorders>
            <w:shd w:val="clear" w:color="auto" w:fill="auto"/>
            <w:noWrap/>
            <w:vAlign w:val="center"/>
            <w:hideMark/>
          </w:tcPr>
          <w:p w14:paraId="4774B64A"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nil"/>
              <w:right w:val="nil"/>
            </w:tcBorders>
            <w:shd w:val="clear" w:color="auto" w:fill="auto"/>
            <w:noWrap/>
            <w:vAlign w:val="center"/>
            <w:hideMark/>
          </w:tcPr>
          <w:p w14:paraId="6381FE9C"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nil"/>
            </w:tcBorders>
            <w:shd w:val="clear" w:color="auto" w:fill="auto"/>
            <w:noWrap/>
            <w:vAlign w:val="center"/>
            <w:hideMark/>
          </w:tcPr>
          <w:p w14:paraId="0D119CB0"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8" w:history="1">
              <w:r w:rsidR="005074F1" w:rsidRPr="006250F2">
                <w:rPr>
                  <w:rFonts w:eastAsia="Times New Roman" w:cs="Segoe UI"/>
                  <w:color w:val="0563C1"/>
                  <w:sz w:val="16"/>
                  <w:szCs w:val="16"/>
                  <w:u w:val="single"/>
                  <w:lang w:eastAsia="sk-SK"/>
                </w:rPr>
                <w:t>UV-45157/2022</w:t>
              </w:r>
            </w:hyperlink>
          </w:p>
        </w:tc>
      </w:tr>
      <w:tr w:rsidR="005074F1" w:rsidRPr="006250F2" w14:paraId="75283274" w14:textId="77777777" w:rsidTr="00C119D8">
        <w:tc>
          <w:tcPr>
            <w:tcW w:w="1538" w:type="pct"/>
            <w:tcBorders>
              <w:top w:val="nil"/>
              <w:bottom w:val="single" w:sz="4" w:space="0" w:color="314364" w:themeColor="text2"/>
              <w:right w:val="nil"/>
            </w:tcBorders>
            <w:shd w:val="clear" w:color="auto" w:fill="auto"/>
            <w:noWrap/>
            <w:vAlign w:val="center"/>
            <w:hideMark/>
          </w:tcPr>
          <w:p w14:paraId="6C9BB19E" w14:textId="77777777" w:rsidR="005074F1" w:rsidRPr="006250F2" w:rsidRDefault="005074F1" w:rsidP="00C119D8">
            <w:pPr>
              <w:spacing w:after="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k návrhu na vydanie súhlasu vlády Slovenskej republiky s darovaním vojenského materiálu Ukrajine</w:t>
            </w:r>
          </w:p>
        </w:tc>
        <w:tc>
          <w:tcPr>
            <w:tcW w:w="446" w:type="pct"/>
            <w:tcBorders>
              <w:top w:val="nil"/>
              <w:left w:val="nil"/>
              <w:bottom w:val="single" w:sz="4" w:space="0" w:color="314364" w:themeColor="text2"/>
              <w:right w:val="nil"/>
            </w:tcBorders>
            <w:shd w:val="clear" w:color="auto" w:fill="auto"/>
            <w:noWrap/>
            <w:vAlign w:val="center"/>
            <w:hideMark/>
          </w:tcPr>
          <w:p w14:paraId="2BF9E27A"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774/2022</w:t>
            </w:r>
          </w:p>
        </w:tc>
        <w:tc>
          <w:tcPr>
            <w:tcW w:w="497" w:type="pct"/>
            <w:tcBorders>
              <w:top w:val="nil"/>
              <w:left w:val="nil"/>
              <w:bottom w:val="single" w:sz="4" w:space="0" w:color="314364" w:themeColor="text2"/>
              <w:right w:val="nil"/>
            </w:tcBorders>
            <w:shd w:val="clear" w:color="auto" w:fill="auto"/>
            <w:noWrap/>
            <w:vAlign w:val="center"/>
            <w:hideMark/>
          </w:tcPr>
          <w:p w14:paraId="2C722156"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7.12.2022</w:t>
            </w:r>
          </w:p>
        </w:tc>
        <w:tc>
          <w:tcPr>
            <w:tcW w:w="1240" w:type="pct"/>
            <w:tcBorders>
              <w:top w:val="nil"/>
              <w:left w:val="nil"/>
              <w:bottom w:val="single" w:sz="4" w:space="0" w:color="314364" w:themeColor="text2"/>
              <w:right w:val="nil"/>
            </w:tcBorders>
            <w:shd w:val="clear" w:color="auto" w:fill="auto"/>
            <w:vAlign w:val="center"/>
            <w:hideMark/>
          </w:tcPr>
          <w:p w14:paraId="3175B0DE" w14:textId="77777777" w:rsidR="005074F1" w:rsidRPr="006250F2" w:rsidRDefault="005074F1" w:rsidP="00C119D8">
            <w:pPr>
              <w:spacing w:before="120" w:line="240" w:lineRule="auto"/>
              <w:jc w:val="left"/>
              <w:rPr>
                <w:rFonts w:eastAsia="Times New Roman" w:cs="Segoe UI"/>
                <w:color w:val="000000"/>
                <w:sz w:val="16"/>
                <w:szCs w:val="16"/>
                <w:lang w:eastAsia="sk-SK"/>
              </w:rPr>
            </w:pPr>
            <w:r w:rsidRPr="006250F2">
              <w:rPr>
                <w:rFonts w:eastAsia="Times New Roman" w:cs="Segoe UI"/>
                <w:color w:val="000000"/>
                <w:sz w:val="16"/>
                <w:szCs w:val="16"/>
                <w:lang w:eastAsia="sk-SK"/>
              </w:rPr>
              <w:t>podľa doložky vplyvov žiadny vplyv na RVS, finančná hodnota darovaného materiálu ani samotný materiál nešpecifikovaný.</w:t>
            </w:r>
          </w:p>
        </w:tc>
        <w:tc>
          <w:tcPr>
            <w:tcW w:w="348" w:type="pct"/>
            <w:tcBorders>
              <w:top w:val="nil"/>
              <w:left w:val="nil"/>
              <w:bottom w:val="single" w:sz="4" w:space="0" w:color="314364" w:themeColor="text2"/>
              <w:right w:val="nil"/>
            </w:tcBorders>
            <w:shd w:val="clear" w:color="auto" w:fill="auto"/>
            <w:noWrap/>
            <w:vAlign w:val="center"/>
            <w:hideMark/>
          </w:tcPr>
          <w:p w14:paraId="0B0EF936" w14:textId="77777777" w:rsidR="005074F1" w:rsidRPr="006250F2" w:rsidRDefault="005074F1" w:rsidP="00C119D8">
            <w:pPr>
              <w:spacing w:after="0" w:line="240" w:lineRule="auto"/>
              <w:jc w:val="center"/>
              <w:rPr>
                <w:rFonts w:eastAsia="Times New Roman" w:cs="Segoe UI"/>
                <w:color w:val="000000"/>
                <w:sz w:val="16"/>
                <w:szCs w:val="16"/>
                <w:lang w:eastAsia="sk-SK"/>
              </w:rPr>
            </w:pPr>
            <w:r w:rsidRPr="006250F2">
              <w:rPr>
                <w:rFonts w:eastAsia="Times New Roman" w:cs="Segoe UI"/>
                <w:color w:val="000000"/>
                <w:sz w:val="16"/>
                <w:szCs w:val="16"/>
                <w:lang w:eastAsia="sk-SK"/>
              </w:rPr>
              <w:t>áno</w:t>
            </w:r>
          </w:p>
        </w:tc>
        <w:tc>
          <w:tcPr>
            <w:tcW w:w="441" w:type="pct"/>
            <w:tcBorders>
              <w:top w:val="nil"/>
              <w:left w:val="nil"/>
              <w:bottom w:val="single" w:sz="4" w:space="0" w:color="314364" w:themeColor="text2"/>
              <w:right w:val="nil"/>
            </w:tcBorders>
            <w:shd w:val="clear" w:color="auto" w:fill="auto"/>
            <w:noWrap/>
            <w:vAlign w:val="center"/>
            <w:hideMark/>
          </w:tcPr>
          <w:p w14:paraId="587B47CF" w14:textId="77777777" w:rsidR="005074F1" w:rsidRPr="006250F2" w:rsidRDefault="005074F1" w:rsidP="00C119D8">
            <w:pPr>
              <w:spacing w:after="0" w:line="240" w:lineRule="auto"/>
              <w:rPr>
                <w:rFonts w:eastAsia="Times New Roman" w:cs="Segoe UI"/>
                <w:color w:val="000000"/>
                <w:sz w:val="16"/>
                <w:szCs w:val="16"/>
                <w:lang w:eastAsia="sk-SK"/>
              </w:rPr>
            </w:pPr>
            <w:r w:rsidRPr="006250F2">
              <w:rPr>
                <w:rFonts w:eastAsia="Times New Roman" w:cs="Segoe UI"/>
                <w:color w:val="000000"/>
                <w:sz w:val="16"/>
                <w:szCs w:val="16"/>
                <w:lang w:eastAsia="sk-SK"/>
              </w:rPr>
              <w:t>minister obrany</w:t>
            </w:r>
          </w:p>
        </w:tc>
        <w:tc>
          <w:tcPr>
            <w:tcW w:w="490" w:type="pct"/>
            <w:tcBorders>
              <w:top w:val="nil"/>
              <w:left w:val="nil"/>
              <w:bottom w:val="single" w:sz="4" w:space="0" w:color="314364" w:themeColor="text2"/>
            </w:tcBorders>
            <w:shd w:val="clear" w:color="auto" w:fill="auto"/>
            <w:noWrap/>
            <w:vAlign w:val="center"/>
            <w:hideMark/>
          </w:tcPr>
          <w:p w14:paraId="0C7EBD13" w14:textId="77777777" w:rsidR="005074F1" w:rsidRPr="006250F2" w:rsidRDefault="009A3EC9" w:rsidP="00C119D8">
            <w:pPr>
              <w:spacing w:after="0" w:line="240" w:lineRule="auto"/>
              <w:jc w:val="center"/>
              <w:rPr>
                <w:rFonts w:eastAsia="Times New Roman" w:cs="Segoe UI"/>
                <w:color w:val="0563C1"/>
                <w:sz w:val="16"/>
                <w:szCs w:val="16"/>
                <w:u w:val="single"/>
                <w:lang w:eastAsia="sk-SK"/>
              </w:rPr>
            </w:pPr>
            <w:hyperlink r:id="rId59" w:history="1">
              <w:r w:rsidR="005074F1" w:rsidRPr="006250F2">
                <w:rPr>
                  <w:rFonts w:eastAsia="Times New Roman" w:cs="Segoe UI"/>
                  <w:color w:val="0563C1"/>
                  <w:sz w:val="16"/>
                  <w:szCs w:val="16"/>
                  <w:u w:val="single"/>
                  <w:lang w:eastAsia="sk-SK"/>
                </w:rPr>
                <w:t>UV-47906/2022</w:t>
              </w:r>
            </w:hyperlink>
          </w:p>
        </w:tc>
      </w:tr>
    </w:tbl>
    <w:p w14:paraId="6D73F15F" w14:textId="0149A776" w:rsidR="005074F1" w:rsidRPr="009F5F8F" w:rsidRDefault="005074F1" w:rsidP="005074F1">
      <w:pPr>
        <w:pStyle w:val="Zdroj"/>
        <w:rPr>
          <w:szCs w:val="16"/>
        </w:rPr>
        <w:sectPr w:rsidR="005074F1" w:rsidRPr="009F5F8F" w:rsidSect="00F0768C">
          <w:headerReference w:type="default" r:id="rId60"/>
          <w:pgSz w:w="16838" w:h="11906" w:orient="landscape"/>
          <w:pgMar w:top="1418" w:right="1418" w:bottom="1418" w:left="1134" w:header="0" w:footer="709" w:gutter="0"/>
          <w:cols w:space="708"/>
          <w:docGrid w:linePitch="360"/>
        </w:sectPr>
      </w:pPr>
      <w:r w:rsidRPr="004B3496">
        <w:rPr>
          <w:szCs w:val="16"/>
        </w:rPr>
        <w:t xml:space="preserve">Zdroj: </w:t>
      </w:r>
      <w:hyperlink r:id="rId61" w:history="1">
        <w:r w:rsidRPr="00A411DA">
          <w:rPr>
            <w:rStyle w:val="Hypertextovprepojenie"/>
            <w:sz w:val="16"/>
            <w:szCs w:val="16"/>
          </w:rPr>
          <w:t>www.rokovania.sk</w:t>
        </w:r>
      </w:hyperlink>
      <w:r>
        <w:rPr>
          <w:szCs w:val="16"/>
        </w:rPr>
        <w:t xml:space="preserve"> </w:t>
      </w:r>
      <w:r w:rsidR="009F5F8F">
        <w:rPr>
          <w:szCs w:val="16"/>
        </w:rPr>
        <w:t>.</w:t>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C11FC7" w:rsidRPr="00AC3675" w14:paraId="7D85AF04" w14:textId="77777777" w:rsidTr="008E72BF">
        <w:trPr>
          <w:trHeight w:val="341"/>
        </w:trPr>
        <w:tc>
          <w:tcPr>
            <w:tcW w:w="9060" w:type="dxa"/>
            <w:shd w:val="clear" w:color="auto" w:fill="EBF0FB" w:themeFill="background2" w:themeFillTint="33"/>
          </w:tcPr>
          <w:p w14:paraId="500F55D3" w14:textId="156E1688" w:rsidR="00C11FC7" w:rsidRPr="00767017" w:rsidRDefault="00C11FC7" w:rsidP="008E72BF">
            <w:pPr>
              <w:spacing w:after="0" w:line="240" w:lineRule="auto"/>
              <w:rPr>
                <w:b/>
                <w:szCs w:val="18"/>
              </w:rPr>
            </w:pPr>
            <w:r>
              <w:rPr>
                <w:b/>
                <w:szCs w:val="18"/>
              </w:rPr>
              <w:lastRenderedPageBreak/>
              <w:t>BOX</w:t>
            </w:r>
            <w:r w:rsidRPr="00767017">
              <w:rPr>
                <w:b/>
                <w:szCs w:val="18"/>
              </w:rPr>
              <w:t xml:space="preserve"> </w:t>
            </w:r>
            <w:r w:rsidR="004C18E7">
              <w:rPr>
                <w:b/>
                <w:szCs w:val="18"/>
              </w:rPr>
              <w:t>8</w:t>
            </w:r>
            <w:r w:rsidRPr="00767017">
              <w:rPr>
                <w:b/>
                <w:szCs w:val="18"/>
              </w:rPr>
              <w:t xml:space="preserve">: </w:t>
            </w:r>
            <w:r>
              <w:rPr>
                <w:b/>
                <w:szCs w:val="18"/>
              </w:rPr>
              <w:t>H</w:t>
            </w:r>
            <w:r>
              <w:rPr>
                <w:b/>
              </w:rPr>
              <w:t xml:space="preserve">odnotenie monitorovania programovej štruktúry </w:t>
            </w:r>
            <w:r w:rsidR="00886F4E">
              <w:rPr>
                <w:b/>
              </w:rPr>
              <w:t xml:space="preserve">za rok 2022 </w:t>
            </w:r>
            <w:r>
              <w:rPr>
                <w:b/>
              </w:rPr>
              <w:t>na vzorke piatich kapitol</w:t>
            </w:r>
          </w:p>
          <w:p w14:paraId="775C62C8" w14:textId="77777777" w:rsidR="00C11FC7" w:rsidRPr="00A3652D" w:rsidRDefault="00C11FC7" w:rsidP="008E72BF">
            <w:pPr>
              <w:spacing w:after="0"/>
              <w:rPr>
                <w:rFonts w:cs="Segoe UI"/>
                <w:sz w:val="6"/>
                <w:szCs w:val="6"/>
              </w:rPr>
            </w:pPr>
          </w:p>
          <w:p w14:paraId="2E467869" w14:textId="64349567" w:rsidR="00C11FC7" w:rsidRDefault="00C11FC7" w:rsidP="008E72BF">
            <w:pPr>
              <w:rPr>
                <w:rFonts w:cs="Segoe UI"/>
                <w:sz w:val="18"/>
                <w:szCs w:val="16"/>
              </w:rPr>
            </w:pPr>
            <w:r w:rsidRPr="005D3BEE">
              <w:rPr>
                <w:rFonts w:cs="Segoe UI"/>
                <w:sz w:val="18"/>
                <w:szCs w:val="16"/>
              </w:rPr>
              <w:t xml:space="preserve">NKÚ SR ako súčasť stanoviska k ŠZÚ vyhodnotil </w:t>
            </w:r>
            <w:r>
              <w:rPr>
                <w:rFonts w:cs="Segoe UI"/>
                <w:sz w:val="18"/>
                <w:szCs w:val="16"/>
              </w:rPr>
              <w:t xml:space="preserve">monitoring programovej štruktúry piatich kapitol (MF SR, MPSVR SR, MO SR, MZ SR a MŠVVaŠ SR) spracovaný v module zameranom na jej monitorovanie a hodnotenie v rámci </w:t>
            </w:r>
            <w:proofErr w:type="spellStart"/>
            <w:r>
              <w:rPr>
                <w:rFonts w:cs="Segoe UI"/>
                <w:sz w:val="18"/>
                <w:szCs w:val="16"/>
              </w:rPr>
              <w:t>RISu</w:t>
            </w:r>
            <w:proofErr w:type="spellEnd"/>
            <w:r>
              <w:rPr>
                <w:rFonts w:cs="Segoe UI"/>
                <w:sz w:val="18"/>
                <w:szCs w:val="16"/>
              </w:rPr>
              <w:t>. Toto monitorovanie majú kapitoly podľa metodiky spracovávať práve v </w:t>
            </w:r>
            <w:proofErr w:type="spellStart"/>
            <w:r>
              <w:rPr>
                <w:rFonts w:cs="Segoe UI"/>
                <w:sz w:val="18"/>
                <w:szCs w:val="16"/>
              </w:rPr>
              <w:t>RISe</w:t>
            </w:r>
            <w:proofErr w:type="spellEnd"/>
            <w:r>
              <w:rPr>
                <w:rFonts w:cs="Segoe UI"/>
                <w:sz w:val="18"/>
                <w:szCs w:val="16"/>
              </w:rPr>
              <w:t xml:space="preserve"> do 28. 2. a vychádza z neho monitorovacia správa programovej štruktúry. Hodnotenie NKÚ SR bolo zamerané na (1) informácie uvedené v komentároch k programovej časti vrátane vlastného monitoringu programovej štruktúry a (2) použité ukazovatele, ich význam a vzťah k plneniu zámerov a cieľov, ich štruktúru, hierarchiu a typy používaných ukazovateľov výstupu/výsledku/efektívnosti.</w:t>
            </w:r>
          </w:p>
          <w:p w14:paraId="395B561C" w14:textId="77777777" w:rsidR="002011C1" w:rsidRPr="00DF40E7" w:rsidRDefault="002011C1" w:rsidP="003451D7">
            <w:pPr>
              <w:pStyle w:val="Odsekzoznamu"/>
              <w:numPr>
                <w:ilvl w:val="0"/>
                <w:numId w:val="9"/>
              </w:numPr>
              <w:rPr>
                <w:rFonts w:cs="Segoe UI"/>
                <w:sz w:val="18"/>
                <w:szCs w:val="16"/>
              </w:rPr>
            </w:pPr>
            <w:r w:rsidRPr="00DF40E7">
              <w:rPr>
                <w:rFonts w:cs="Segoe UI"/>
                <w:b/>
                <w:sz w:val="18"/>
                <w:szCs w:val="16"/>
              </w:rPr>
              <w:t>M</w:t>
            </w:r>
            <w:r>
              <w:rPr>
                <w:rFonts w:cs="Segoe UI"/>
                <w:b/>
                <w:sz w:val="18"/>
                <w:szCs w:val="16"/>
              </w:rPr>
              <w:t>F</w:t>
            </w:r>
            <w:r w:rsidRPr="00DF40E7">
              <w:rPr>
                <w:rFonts w:cs="Segoe UI"/>
                <w:b/>
                <w:sz w:val="18"/>
                <w:szCs w:val="16"/>
              </w:rPr>
              <w:t xml:space="preserve"> SR</w:t>
            </w:r>
            <w:r w:rsidRPr="00DF40E7">
              <w:rPr>
                <w:rFonts w:cs="Segoe UI"/>
                <w:sz w:val="18"/>
                <w:szCs w:val="16"/>
              </w:rPr>
              <w:t xml:space="preserve"> malo zo všetkých hodnotených kapitol najlepšie spracovanú textovú časť, komentáre boli informačne najbohatšie</w:t>
            </w:r>
            <w:r>
              <w:rPr>
                <w:rFonts w:cs="Segoe UI"/>
                <w:sz w:val="18"/>
                <w:szCs w:val="16"/>
              </w:rPr>
              <w:t>,</w:t>
            </w:r>
            <w:r w:rsidRPr="00DF40E7">
              <w:rPr>
                <w:rFonts w:cs="Segoe UI"/>
                <w:sz w:val="18"/>
                <w:szCs w:val="16"/>
              </w:rPr>
              <w:t> presahujú</w:t>
            </w:r>
            <w:r>
              <w:rPr>
                <w:rFonts w:cs="Segoe UI"/>
                <w:sz w:val="18"/>
                <w:szCs w:val="16"/>
              </w:rPr>
              <w:t>ce</w:t>
            </w:r>
            <w:r w:rsidRPr="00DF40E7">
              <w:rPr>
                <w:rFonts w:cs="Segoe UI"/>
                <w:sz w:val="18"/>
                <w:szCs w:val="16"/>
              </w:rPr>
              <w:t xml:space="preserve"> informácie z jednotlivých ukazovateľov. Použité ukazovatele boli zmysluplné, no napr. FS by mohla použiť ukazovateľ medzery (efektívnosti) výberu namiesto ukazovateľa výberu na 1 </w:t>
            </w:r>
            <w:proofErr w:type="spellStart"/>
            <w:r w:rsidRPr="00DF40E7">
              <w:rPr>
                <w:rFonts w:cs="Segoe UI"/>
                <w:sz w:val="18"/>
                <w:szCs w:val="16"/>
              </w:rPr>
              <w:t>zam</w:t>
            </w:r>
            <w:proofErr w:type="spellEnd"/>
            <w:r>
              <w:rPr>
                <w:rFonts w:cs="Segoe UI"/>
                <w:sz w:val="18"/>
                <w:szCs w:val="16"/>
              </w:rPr>
              <w:t>.</w:t>
            </w:r>
            <w:r w:rsidRPr="00DF40E7">
              <w:rPr>
                <w:rFonts w:cs="Segoe UI"/>
                <w:sz w:val="18"/>
                <w:szCs w:val="16"/>
              </w:rPr>
              <w:t xml:space="preserve">, ktorý je ovplyvnený aj externými faktormi – vyšší hotovostný výber je viac ovplyvnený rastom hospodárstva </w:t>
            </w:r>
            <w:r>
              <w:rPr>
                <w:rFonts w:cs="Segoe UI"/>
                <w:sz w:val="18"/>
                <w:szCs w:val="16"/>
              </w:rPr>
              <w:t>než</w:t>
            </w:r>
            <w:r w:rsidRPr="00DF40E7">
              <w:rPr>
                <w:rFonts w:cs="Segoe UI"/>
                <w:sz w:val="18"/>
                <w:szCs w:val="16"/>
              </w:rPr>
              <w:t xml:space="preserve"> efektívnosťou vlastného výberu. Časť logických ukazovateľov (áno/nie) by mohla byť nahradená číselnými</w:t>
            </w:r>
            <w:r>
              <w:rPr>
                <w:rFonts w:cs="Segoe UI"/>
                <w:sz w:val="18"/>
                <w:szCs w:val="16"/>
              </w:rPr>
              <w:t xml:space="preserve"> hodnotami</w:t>
            </w:r>
            <w:r w:rsidRPr="00DF40E7">
              <w:rPr>
                <w:rFonts w:cs="Segoe UI"/>
                <w:sz w:val="18"/>
                <w:szCs w:val="16"/>
              </w:rPr>
              <w:t xml:space="preserve">. </w:t>
            </w:r>
          </w:p>
          <w:p w14:paraId="00034E49" w14:textId="77777777" w:rsidR="002011C1" w:rsidRDefault="002011C1" w:rsidP="003451D7">
            <w:pPr>
              <w:pStyle w:val="Odsekzoznamu"/>
              <w:numPr>
                <w:ilvl w:val="0"/>
                <w:numId w:val="4"/>
              </w:numPr>
              <w:rPr>
                <w:rFonts w:cs="Segoe UI"/>
                <w:sz w:val="18"/>
                <w:szCs w:val="16"/>
              </w:rPr>
            </w:pPr>
            <w:r>
              <w:rPr>
                <w:rFonts w:cs="Segoe UI"/>
                <w:b/>
                <w:sz w:val="18"/>
                <w:szCs w:val="16"/>
              </w:rPr>
              <w:t>MŠVVaŠ SR</w:t>
            </w:r>
            <w:r>
              <w:rPr>
                <w:rFonts w:cs="Segoe UI"/>
                <w:sz w:val="18"/>
                <w:szCs w:val="16"/>
              </w:rPr>
              <w:t xml:space="preserve"> malo z porovnávaných kapitol najlepšiu kombináciu a štruktúru používaných ukazovateľov v nadväznosti na sledované zámery a ciele </w:t>
            </w:r>
            <w:proofErr w:type="spellStart"/>
            <w:r>
              <w:rPr>
                <w:rFonts w:cs="Segoe UI"/>
                <w:sz w:val="18"/>
                <w:szCs w:val="16"/>
              </w:rPr>
              <w:t>gestorovaných</w:t>
            </w:r>
            <w:proofErr w:type="spellEnd"/>
            <w:r>
              <w:rPr>
                <w:rFonts w:cs="Segoe UI"/>
                <w:sz w:val="18"/>
                <w:szCs w:val="16"/>
              </w:rPr>
              <w:t xml:space="preserve"> programov. Aj tu sa nájdu logické ukazovatele (áno/nie), ktoré majú vhodnejšie ekvivalenty. Samotné komentáre k programovej štruktúre a monitoring nie sú vyčerpávajúce, no komplexne zachytávajú sledovanú problematiku. </w:t>
            </w:r>
          </w:p>
          <w:p w14:paraId="19DEFF65" w14:textId="77777777" w:rsidR="002011C1" w:rsidRDefault="002011C1" w:rsidP="003451D7">
            <w:pPr>
              <w:pStyle w:val="Odsekzoznamu"/>
              <w:numPr>
                <w:ilvl w:val="0"/>
                <w:numId w:val="4"/>
              </w:numPr>
              <w:rPr>
                <w:rFonts w:cs="Segoe UI"/>
                <w:sz w:val="18"/>
                <w:szCs w:val="16"/>
              </w:rPr>
            </w:pPr>
            <w:r>
              <w:rPr>
                <w:rFonts w:cs="Segoe UI"/>
                <w:b/>
                <w:sz w:val="18"/>
                <w:szCs w:val="16"/>
              </w:rPr>
              <w:t xml:space="preserve">MO SR </w:t>
            </w:r>
            <w:r>
              <w:rPr>
                <w:rFonts w:cs="Segoe UI"/>
                <w:sz w:val="18"/>
                <w:szCs w:val="16"/>
              </w:rPr>
              <w:t>spracovávalo monitoring programovej štruktúry na viackrát. Časť malo spracovanú v </w:t>
            </w:r>
            <w:proofErr w:type="spellStart"/>
            <w:r>
              <w:rPr>
                <w:rFonts w:cs="Segoe UI"/>
                <w:sz w:val="18"/>
                <w:szCs w:val="16"/>
              </w:rPr>
              <w:t>RISe</w:t>
            </w:r>
            <w:proofErr w:type="spellEnd"/>
            <w:r>
              <w:rPr>
                <w:rFonts w:cs="Segoe UI"/>
                <w:sz w:val="18"/>
                <w:szCs w:val="16"/>
              </w:rPr>
              <w:t xml:space="preserve"> a túto následne prepisovalo do textového dokumentu, ktorý tvorí prílohu ZÚK (iné kapitoly prikladajú priamo export z </w:t>
            </w:r>
            <w:proofErr w:type="spellStart"/>
            <w:r>
              <w:rPr>
                <w:rFonts w:cs="Segoe UI"/>
                <w:sz w:val="18"/>
                <w:szCs w:val="16"/>
              </w:rPr>
              <w:t>RISu</w:t>
            </w:r>
            <w:proofErr w:type="spellEnd"/>
            <w:r>
              <w:rPr>
                <w:rFonts w:cs="Segoe UI"/>
                <w:sz w:val="18"/>
                <w:szCs w:val="16"/>
              </w:rPr>
              <w:t xml:space="preserve">). Naviac bola časť monitoringu súčasťou utajovanej verzie, ktorá nebola predmetom tohto hodnotenia. Samotné komentáre v monitoringu boli stručné, jasné a výstižné. Pri ukazovateľoch bolo však </w:t>
            </w:r>
            <w:r w:rsidRPr="0085098A">
              <w:rPr>
                <w:rFonts w:cs="Segoe UI"/>
                <w:sz w:val="18"/>
                <w:szCs w:val="16"/>
              </w:rPr>
              <w:t xml:space="preserve">v niektorých prípadoch náročné pochopiť prepojenie hodnôt ukazovateľov </w:t>
            </w:r>
            <w:r>
              <w:rPr>
                <w:rFonts w:cs="Segoe UI"/>
                <w:sz w:val="18"/>
                <w:szCs w:val="16"/>
              </w:rPr>
              <w:t>so</w:t>
            </w:r>
            <w:r w:rsidRPr="0085098A">
              <w:rPr>
                <w:rFonts w:cs="Segoe UI"/>
                <w:sz w:val="18"/>
                <w:szCs w:val="16"/>
              </w:rPr>
              <w:t xml:space="preserve"> zámer</w:t>
            </w:r>
            <w:r>
              <w:rPr>
                <w:rFonts w:cs="Segoe UI"/>
                <w:sz w:val="18"/>
                <w:szCs w:val="16"/>
              </w:rPr>
              <w:t>mi</w:t>
            </w:r>
            <w:r w:rsidRPr="0085098A">
              <w:rPr>
                <w:rFonts w:cs="Segoe UI"/>
                <w:sz w:val="18"/>
                <w:szCs w:val="16"/>
              </w:rPr>
              <w:t xml:space="preserve"> a cie</w:t>
            </w:r>
            <w:r>
              <w:rPr>
                <w:rFonts w:cs="Segoe UI"/>
                <w:sz w:val="18"/>
                <w:szCs w:val="16"/>
              </w:rPr>
              <w:t>ľmi</w:t>
            </w:r>
            <w:r w:rsidRPr="0085098A">
              <w:rPr>
                <w:rFonts w:cs="Segoe UI"/>
                <w:sz w:val="18"/>
                <w:szCs w:val="16"/>
              </w:rPr>
              <w:t xml:space="preserve"> </w:t>
            </w:r>
            <w:r>
              <w:rPr>
                <w:rFonts w:cs="Segoe UI"/>
                <w:sz w:val="18"/>
                <w:szCs w:val="16"/>
              </w:rPr>
              <w:t>(</w:t>
            </w:r>
            <w:r w:rsidRPr="0085098A">
              <w:rPr>
                <w:rFonts w:cs="Segoe UI"/>
                <w:sz w:val="18"/>
                <w:szCs w:val="16"/>
              </w:rPr>
              <w:t>napr. % výsledku pre automatizované systémy vzdušných síl</w:t>
            </w:r>
            <w:r>
              <w:rPr>
                <w:rFonts w:cs="Segoe UI"/>
                <w:sz w:val="18"/>
                <w:szCs w:val="16"/>
              </w:rPr>
              <w:t>).</w:t>
            </w:r>
          </w:p>
          <w:p w14:paraId="0B980333" w14:textId="77777777" w:rsidR="002011C1" w:rsidRDefault="002011C1" w:rsidP="003451D7">
            <w:pPr>
              <w:pStyle w:val="Odsekzoznamu"/>
              <w:numPr>
                <w:ilvl w:val="0"/>
                <w:numId w:val="4"/>
              </w:numPr>
              <w:rPr>
                <w:rFonts w:cs="Segoe UI"/>
                <w:sz w:val="18"/>
                <w:szCs w:val="16"/>
              </w:rPr>
            </w:pPr>
            <w:r>
              <w:rPr>
                <w:rFonts w:cs="Segoe UI"/>
                <w:b/>
                <w:sz w:val="18"/>
                <w:szCs w:val="16"/>
              </w:rPr>
              <w:t>MPSVR SR</w:t>
            </w:r>
            <w:r>
              <w:rPr>
                <w:rFonts w:cs="Segoe UI"/>
                <w:sz w:val="18"/>
                <w:szCs w:val="16"/>
              </w:rPr>
              <w:t xml:space="preserve"> a jeho programová štruktúra boli hodnotené už v stanovisku NKÚ SR k ŠZÚ 2021. Jedným zo zistení bolo, že kapitola neprispôsobila svoju programovú štruktúru mimoriadnym okolnostiam (Covid-19), aj keď to umožňovala metodika aj systém. Pri hodnotení ostatných kapitol sa toto zistenie potvrdilo a kapitoly pristupujú v súčasnosti pri mimoriadnych okolnostiach k svojej programovej štruktúre kreatívne. Samotný monitoring bol formálne dobre vypracovaný.</w:t>
            </w:r>
          </w:p>
          <w:p w14:paraId="6E52E770" w14:textId="317FB6E3" w:rsidR="00C11FC7" w:rsidRPr="002011C1" w:rsidRDefault="002011C1" w:rsidP="003451D7">
            <w:pPr>
              <w:pStyle w:val="Odsekzoznamu"/>
              <w:numPr>
                <w:ilvl w:val="0"/>
                <w:numId w:val="4"/>
              </w:numPr>
              <w:rPr>
                <w:rFonts w:cs="Segoe UI"/>
                <w:sz w:val="18"/>
                <w:szCs w:val="16"/>
              </w:rPr>
            </w:pPr>
            <w:r w:rsidRPr="006A430D">
              <w:rPr>
                <w:rFonts w:cs="Segoe UI"/>
                <w:b/>
                <w:sz w:val="18"/>
                <w:szCs w:val="16"/>
              </w:rPr>
              <w:t>M</w:t>
            </w:r>
            <w:r>
              <w:rPr>
                <w:rFonts w:cs="Segoe UI"/>
                <w:b/>
                <w:sz w:val="18"/>
                <w:szCs w:val="16"/>
              </w:rPr>
              <w:t>Z</w:t>
            </w:r>
            <w:r w:rsidRPr="006A430D">
              <w:rPr>
                <w:rFonts w:cs="Segoe UI"/>
                <w:b/>
                <w:sz w:val="18"/>
                <w:szCs w:val="16"/>
              </w:rPr>
              <w:t xml:space="preserve"> SR</w:t>
            </w:r>
            <w:r w:rsidRPr="006A430D">
              <w:rPr>
                <w:rFonts w:cs="Segoe UI"/>
                <w:sz w:val="18"/>
                <w:szCs w:val="16"/>
              </w:rPr>
              <w:t xml:space="preserve"> používa</w:t>
            </w:r>
            <w:r>
              <w:rPr>
                <w:rFonts w:cs="Segoe UI"/>
                <w:sz w:val="18"/>
                <w:szCs w:val="16"/>
              </w:rPr>
              <w:t>lo</w:t>
            </w:r>
            <w:r w:rsidRPr="006A430D">
              <w:rPr>
                <w:rFonts w:cs="Segoe UI"/>
                <w:sz w:val="18"/>
                <w:szCs w:val="16"/>
              </w:rPr>
              <w:t xml:space="preserve"> pri monitorovaní programovej štruktúry veľké množstvo logických ukazovateľov, aj keď majú číselný ekvivalent uvedený </w:t>
            </w:r>
            <w:r>
              <w:rPr>
                <w:rFonts w:cs="Segoe UI"/>
                <w:sz w:val="18"/>
                <w:szCs w:val="16"/>
              </w:rPr>
              <w:t xml:space="preserve">priamo </w:t>
            </w:r>
            <w:r w:rsidRPr="006A430D">
              <w:rPr>
                <w:rFonts w:cs="Segoe UI"/>
                <w:sz w:val="18"/>
                <w:szCs w:val="16"/>
              </w:rPr>
              <w:t xml:space="preserve">v komentári. Používanie ukazovateľov </w:t>
            </w:r>
            <w:r>
              <w:rPr>
                <w:rFonts w:cs="Segoe UI"/>
                <w:sz w:val="18"/>
                <w:szCs w:val="16"/>
              </w:rPr>
              <w:t>nebolo</w:t>
            </w:r>
            <w:r w:rsidRPr="006A430D">
              <w:rPr>
                <w:rFonts w:cs="Segoe UI"/>
                <w:sz w:val="18"/>
                <w:szCs w:val="16"/>
              </w:rPr>
              <w:t xml:space="preserve"> konzistentné </w:t>
            </w:r>
            <w:r>
              <w:rPr>
                <w:rFonts w:cs="Segoe UI"/>
                <w:sz w:val="18"/>
                <w:szCs w:val="16"/>
              </w:rPr>
              <w:t>(</w:t>
            </w:r>
            <w:r w:rsidRPr="006A430D">
              <w:rPr>
                <w:rFonts w:cs="Segoe UI"/>
                <w:sz w:val="18"/>
                <w:szCs w:val="16"/>
              </w:rPr>
              <w:t xml:space="preserve">napr. pri POO </w:t>
            </w:r>
            <w:r>
              <w:rPr>
                <w:rFonts w:cs="Segoe UI"/>
                <w:sz w:val="18"/>
                <w:szCs w:val="16"/>
              </w:rPr>
              <w:t>bol</w:t>
            </w:r>
            <w:r w:rsidRPr="006A430D">
              <w:rPr>
                <w:rFonts w:cs="Segoe UI"/>
                <w:sz w:val="18"/>
                <w:szCs w:val="16"/>
              </w:rPr>
              <w:t xml:space="preserve"> ukazovateľ počet lôžok a hodnoty áno/nie, pri </w:t>
            </w:r>
            <w:proofErr w:type="spellStart"/>
            <w:r w:rsidRPr="006A430D">
              <w:rPr>
                <w:rFonts w:cs="Segoe UI"/>
                <w:sz w:val="18"/>
                <w:szCs w:val="16"/>
              </w:rPr>
              <w:t>zaočkovanosti</w:t>
            </w:r>
            <w:proofErr w:type="spellEnd"/>
            <w:r w:rsidRPr="006A430D">
              <w:rPr>
                <w:rFonts w:cs="Segoe UI"/>
                <w:sz w:val="18"/>
                <w:szCs w:val="16"/>
              </w:rPr>
              <w:t xml:space="preserve"> sú namiesto % uvedené hodnoty áno/nie</w:t>
            </w:r>
            <w:r>
              <w:rPr>
                <w:rFonts w:cs="Segoe UI"/>
                <w:sz w:val="18"/>
                <w:szCs w:val="16"/>
              </w:rPr>
              <w:t>)</w:t>
            </w:r>
            <w:r w:rsidRPr="006A430D">
              <w:rPr>
                <w:rFonts w:cs="Segoe UI"/>
                <w:sz w:val="18"/>
                <w:szCs w:val="16"/>
              </w:rPr>
              <w:t>. Neúčinné používanie ukazovateľov sa nepodarilo vyvážiť kvalitnými komentármi</w:t>
            </w:r>
            <w:r>
              <w:rPr>
                <w:rFonts w:cs="Segoe UI"/>
                <w:sz w:val="18"/>
                <w:szCs w:val="16"/>
              </w:rPr>
              <w:t>, ako pri iných kapitolách,</w:t>
            </w:r>
            <w:r w:rsidRPr="006A430D">
              <w:rPr>
                <w:rFonts w:cs="Segoe UI"/>
                <w:sz w:val="18"/>
                <w:szCs w:val="16"/>
              </w:rPr>
              <w:t xml:space="preserve"> poskytujúcimi ucelený </w:t>
            </w:r>
            <w:r>
              <w:rPr>
                <w:rFonts w:cs="Segoe UI"/>
                <w:sz w:val="18"/>
                <w:szCs w:val="16"/>
              </w:rPr>
              <w:t>pohľad a preto bol monitoring MZ </w:t>
            </w:r>
            <w:r w:rsidRPr="006A430D">
              <w:rPr>
                <w:rFonts w:cs="Segoe UI"/>
                <w:sz w:val="18"/>
                <w:szCs w:val="16"/>
              </w:rPr>
              <w:t>SR z</w:t>
            </w:r>
            <w:r>
              <w:rPr>
                <w:rFonts w:cs="Segoe UI"/>
                <w:sz w:val="18"/>
                <w:szCs w:val="16"/>
              </w:rPr>
              <w:t> </w:t>
            </w:r>
            <w:r w:rsidRPr="006A430D">
              <w:rPr>
                <w:rFonts w:cs="Segoe UI"/>
                <w:sz w:val="18"/>
                <w:szCs w:val="16"/>
              </w:rPr>
              <w:t xml:space="preserve">piatich </w:t>
            </w:r>
            <w:r>
              <w:rPr>
                <w:rFonts w:cs="Segoe UI"/>
                <w:sz w:val="18"/>
                <w:szCs w:val="16"/>
              </w:rPr>
              <w:t>kapitol vyhodnotený ako najslabší.</w:t>
            </w:r>
          </w:p>
        </w:tc>
      </w:tr>
    </w:tbl>
    <w:p w14:paraId="6AA17314" w14:textId="02E42113" w:rsidR="00C11FC7" w:rsidRDefault="00C11FC7" w:rsidP="005074F1">
      <w:pPr>
        <w:pStyle w:val="Zdroj"/>
      </w:pPr>
    </w:p>
    <w:p w14:paraId="1E876AA1" w14:textId="6248B026" w:rsidR="00846EB5" w:rsidRDefault="00846EB5">
      <w:pPr>
        <w:spacing w:after="160" w:line="259" w:lineRule="auto"/>
        <w:jc w:val="left"/>
        <w:rPr>
          <w:i/>
          <w:color w:val="314364" w:themeColor="text2"/>
          <w:sz w:val="16"/>
        </w:rPr>
      </w:pPr>
      <w:r>
        <w:br w:type="page"/>
      </w:r>
    </w:p>
    <w:tbl>
      <w:tblPr>
        <w:tblStyle w:val="Mriekatabuky"/>
        <w:tblW w:w="0" w:type="auto"/>
        <w:tblBorders>
          <w:top w:val="single" w:sz="4" w:space="0" w:color="314364" w:themeColor="text2"/>
          <w:left w:val="single" w:sz="4" w:space="0" w:color="314364" w:themeColor="text2"/>
          <w:bottom w:val="single" w:sz="4" w:space="0" w:color="314364" w:themeColor="text2"/>
          <w:right w:val="single" w:sz="4" w:space="0" w:color="314364" w:themeColor="text2"/>
          <w:insideH w:val="none" w:sz="0" w:space="0" w:color="auto"/>
          <w:insideV w:val="none" w:sz="0" w:space="0" w:color="auto"/>
        </w:tblBorders>
        <w:shd w:val="clear" w:color="auto" w:fill="EBF0FB" w:themeFill="background2" w:themeFillTint="33"/>
        <w:tblLook w:val="04A0" w:firstRow="1" w:lastRow="0" w:firstColumn="1" w:lastColumn="0" w:noHBand="0" w:noVBand="1"/>
      </w:tblPr>
      <w:tblGrid>
        <w:gridCol w:w="9060"/>
      </w:tblGrid>
      <w:tr w:rsidR="00067346" w:rsidRPr="006250F2" w14:paraId="30ACAD26" w14:textId="77777777" w:rsidTr="00846EB5">
        <w:tc>
          <w:tcPr>
            <w:tcW w:w="9060" w:type="dxa"/>
            <w:shd w:val="clear" w:color="auto" w:fill="EBF0FB" w:themeFill="background2" w:themeFillTint="33"/>
          </w:tcPr>
          <w:p w14:paraId="4C126792" w14:textId="17775F49" w:rsidR="00067346" w:rsidRPr="00C60492" w:rsidRDefault="00067346" w:rsidP="00846EB5">
            <w:pPr>
              <w:spacing w:before="120"/>
              <w:rPr>
                <w:rFonts w:cs="Segoe UI"/>
                <w:b/>
                <w:szCs w:val="20"/>
              </w:rPr>
            </w:pPr>
            <w:r w:rsidRPr="00C60492">
              <w:rPr>
                <w:rFonts w:cs="Segoe UI"/>
                <w:b/>
                <w:szCs w:val="20"/>
              </w:rPr>
              <w:lastRenderedPageBreak/>
              <w:t xml:space="preserve">BOX </w:t>
            </w:r>
            <w:r>
              <w:rPr>
                <w:rFonts w:cs="Segoe UI"/>
                <w:b/>
                <w:szCs w:val="20"/>
              </w:rPr>
              <w:t>9</w:t>
            </w:r>
            <w:r w:rsidRPr="00C60492">
              <w:rPr>
                <w:rFonts w:cs="Segoe UI"/>
                <w:b/>
                <w:szCs w:val="20"/>
              </w:rPr>
              <w:t xml:space="preserve">: </w:t>
            </w:r>
            <w:r w:rsidR="003C7B7C">
              <w:rPr>
                <w:rFonts w:cs="Segoe UI"/>
                <w:b/>
                <w:szCs w:val="20"/>
              </w:rPr>
              <w:t>Z</w:t>
            </w:r>
            <w:r w:rsidRPr="00C60492">
              <w:rPr>
                <w:rFonts w:cs="Segoe UI"/>
                <w:b/>
                <w:szCs w:val="20"/>
              </w:rPr>
              <w:t xml:space="preserve">istenia a riziká identifikované v kontrolách </w:t>
            </w:r>
            <w:r w:rsidR="00F75CE6">
              <w:rPr>
                <w:rFonts w:cs="Segoe UI"/>
                <w:b/>
                <w:szCs w:val="20"/>
              </w:rPr>
              <w:t>v roku 2022</w:t>
            </w:r>
            <w:r w:rsidRPr="00C60492">
              <w:rPr>
                <w:rFonts w:cs="Segoe UI"/>
                <w:b/>
                <w:szCs w:val="20"/>
              </w:rPr>
              <w:t xml:space="preserve"> v </w:t>
            </w:r>
            <w:r w:rsidR="003C7B7C">
              <w:rPr>
                <w:rFonts w:cs="Segoe UI"/>
                <w:b/>
                <w:szCs w:val="20"/>
              </w:rPr>
              <w:t>územnej samospráve</w:t>
            </w:r>
          </w:p>
          <w:p w14:paraId="2EA1CAE4" w14:textId="77777777" w:rsidR="00BC5A20" w:rsidRPr="00B27B32" w:rsidRDefault="00BC5A20" w:rsidP="003451D7">
            <w:pPr>
              <w:pStyle w:val="Odsekzoznamu"/>
              <w:numPr>
                <w:ilvl w:val="0"/>
                <w:numId w:val="6"/>
              </w:numPr>
              <w:rPr>
                <w:rFonts w:cs="Segoe UI"/>
                <w:sz w:val="18"/>
                <w:szCs w:val="20"/>
              </w:rPr>
            </w:pPr>
            <w:r w:rsidRPr="00B27B32">
              <w:rPr>
                <w:rFonts w:cs="Segoe UI"/>
                <w:i/>
                <w:sz w:val="18"/>
                <w:szCs w:val="20"/>
              </w:rPr>
              <w:t>Porušeni</w:t>
            </w:r>
            <w:r>
              <w:rPr>
                <w:rFonts w:cs="Segoe UI"/>
                <w:i/>
                <w:sz w:val="18"/>
                <w:szCs w:val="20"/>
              </w:rPr>
              <w:t>e</w:t>
            </w:r>
            <w:r w:rsidRPr="00B27B32">
              <w:rPr>
                <w:rFonts w:cs="Segoe UI"/>
                <w:i/>
                <w:sz w:val="18"/>
                <w:szCs w:val="20"/>
              </w:rPr>
              <w:t xml:space="preserve"> zákona č. 523/2004 Z. z. o rozpočtových pravidlách verejnej správy, územnej samosprávy</w:t>
            </w:r>
          </w:p>
          <w:p w14:paraId="0FF14939" w14:textId="1DB748A0" w:rsidR="00BC5A20" w:rsidRPr="00B27B32" w:rsidRDefault="00BC5A20" w:rsidP="00BC5A20">
            <w:pPr>
              <w:rPr>
                <w:rFonts w:cs="Segoe UI"/>
                <w:sz w:val="18"/>
                <w:szCs w:val="20"/>
              </w:rPr>
            </w:pPr>
            <w:r w:rsidRPr="00B27B32">
              <w:rPr>
                <w:rFonts w:cs="Segoe UI"/>
                <w:sz w:val="18"/>
                <w:szCs w:val="20"/>
              </w:rPr>
              <w:t>NKÚ SR</w:t>
            </w:r>
            <w:r w:rsidRPr="00B27B32">
              <w:rPr>
                <w:rFonts w:cs="Segoe UI"/>
                <w:i/>
                <w:sz w:val="18"/>
                <w:szCs w:val="20"/>
              </w:rPr>
              <w:t xml:space="preserve"> </w:t>
            </w:r>
            <w:r w:rsidRPr="00B27B32">
              <w:rPr>
                <w:rFonts w:cs="Segoe UI"/>
                <w:sz w:val="18"/>
                <w:szCs w:val="20"/>
              </w:rPr>
              <w:t xml:space="preserve">poslal na Úrad vládneho auditu (ÚVA SR) za </w:t>
            </w:r>
            <w:r w:rsidR="003C7B7C">
              <w:rPr>
                <w:rFonts w:cs="Segoe UI"/>
                <w:sz w:val="18"/>
                <w:szCs w:val="20"/>
              </w:rPr>
              <w:t xml:space="preserve">kontroly </w:t>
            </w:r>
            <w:r w:rsidRPr="00B27B32">
              <w:rPr>
                <w:rFonts w:cs="Segoe UI"/>
                <w:sz w:val="18"/>
                <w:szCs w:val="20"/>
              </w:rPr>
              <w:t xml:space="preserve">ukončené </w:t>
            </w:r>
            <w:r w:rsidR="003C7B7C">
              <w:rPr>
                <w:rFonts w:cs="Segoe UI"/>
                <w:sz w:val="18"/>
                <w:szCs w:val="20"/>
              </w:rPr>
              <w:t>v roku</w:t>
            </w:r>
            <w:r w:rsidRPr="00B27B32">
              <w:rPr>
                <w:rFonts w:cs="Segoe UI"/>
                <w:sz w:val="18"/>
                <w:szCs w:val="20"/>
              </w:rPr>
              <w:t xml:space="preserve"> 2022 tieto kontrolné zistenia:</w:t>
            </w:r>
          </w:p>
          <w:p w14:paraId="3692D29E" w14:textId="19BD6779" w:rsidR="00BC5A20" w:rsidRDefault="00BC5A20" w:rsidP="003451D7">
            <w:pPr>
              <w:pStyle w:val="Odsekzoznamu"/>
              <w:numPr>
                <w:ilvl w:val="0"/>
                <w:numId w:val="5"/>
              </w:numPr>
              <w:ind w:left="306" w:hanging="22"/>
              <w:contextualSpacing w:val="0"/>
              <w:rPr>
                <w:rFonts w:cs="Segoe UI"/>
                <w:sz w:val="18"/>
                <w:szCs w:val="20"/>
              </w:rPr>
            </w:pPr>
            <w:r w:rsidRPr="00C60492">
              <w:rPr>
                <w:rFonts w:cs="Segoe UI"/>
                <w:i/>
                <w:sz w:val="18"/>
                <w:szCs w:val="20"/>
              </w:rPr>
              <w:t>Obec Andovce</w:t>
            </w:r>
          </w:p>
          <w:p w14:paraId="39A6D91B" w14:textId="5537D0A2" w:rsidR="00BC5A20" w:rsidRPr="00C60492" w:rsidRDefault="00BC5A20" w:rsidP="00BC5A20">
            <w:pPr>
              <w:pStyle w:val="Odsekzoznamu"/>
              <w:ind w:left="0"/>
              <w:contextualSpacing w:val="0"/>
              <w:rPr>
                <w:rFonts w:cs="Segoe UI"/>
                <w:sz w:val="18"/>
                <w:szCs w:val="20"/>
              </w:rPr>
            </w:pPr>
            <w:r w:rsidRPr="00C60492">
              <w:rPr>
                <w:rFonts w:cs="Segoe UI"/>
                <w:sz w:val="18"/>
                <w:szCs w:val="20"/>
              </w:rPr>
              <w:t xml:space="preserve">Obec porušila § 19 ods. 6, § 31 ods. 1 písm. g), j) a k) zákona č.523/2004 Z. z. o rozpočtových pravidlách </w:t>
            </w:r>
            <w:r w:rsidR="003C7B7C">
              <w:rPr>
                <w:rFonts w:cs="Segoe UI"/>
                <w:sz w:val="18"/>
                <w:szCs w:val="20"/>
              </w:rPr>
              <w:t>VS</w:t>
            </w:r>
            <w:r w:rsidRPr="00C60492">
              <w:rPr>
                <w:rFonts w:cs="Segoe UI"/>
                <w:sz w:val="18"/>
                <w:szCs w:val="20"/>
              </w:rPr>
              <w:t>, kontrolova</w:t>
            </w:r>
            <w:r w:rsidR="003C7B7C">
              <w:rPr>
                <w:rFonts w:cs="Segoe UI"/>
                <w:sz w:val="18"/>
                <w:szCs w:val="20"/>
              </w:rPr>
              <w:t>li sa roky</w:t>
            </w:r>
            <w:r w:rsidRPr="00C60492">
              <w:rPr>
                <w:rFonts w:cs="Segoe UI"/>
                <w:sz w:val="18"/>
                <w:szCs w:val="20"/>
              </w:rPr>
              <w:t xml:space="preserve"> 2019 a</w:t>
            </w:r>
            <w:r>
              <w:rPr>
                <w:rFonts w:cs="Segoe UI"/>
                <w:sz w:val="18"/>
                <w:szCs w:val="20"/>
              </w:rPr>
              <w:t> </w:t>
            </w:r>
            <w:r w:rsidRPr="00C60492">
              <w:rPr>
                <w:rFonts w:cs="Segoe UI"/>
                <w:sz w:val="18"/>
                <w:szCs w:val="20"/>
              </w:rPr>
              <w:t>202</w:t>
            </w:r>
            <w:r>
              <w:rPr>
                <w:rFonts w:cs="Segoe UI"/>
                <w:sz w:val="18"/>
                <w:szCs w:val="20"/>
              </w:rPr>
              <w:t>0.</w:t>
            </w:r>
            <w:r w:rsidRPr="00C60492">
              <w:rPr>
                <w:rFonts w:cs="Segoe UI"/>
                <w:sz w:val="18"/>
                <w:szCs w:val="20"/>
              </w:rPr>
              <w:t xml:space="preserve"> Oznámenie bolo podané na ÚVA SR v januári 2022. </w:t>
            </w:r>
          </w:p>
          <w:p w14:paraId="50E3B541" w14:textId="09553248" w:rsidR="00BC5A20" w:rsidRPr="00B27B32" w:rsidRDefault="00BC5A20" w:rsidP="003451D7">
            <w:pPr>
              <w:pStyle w:val="Odsekzoznamu"/>
              <w:numPr>
                <w:ilvl w:val="0"/>
                <w:numId w:val="5"/>
              </w:numPr>
              <w:ind w:left="306" w:hanging="22"/>
              <w:contextualSpacing w:val="0"/>
              <w:rPr>
                <w:rFonts w:cs="Segoe UI"/>
                <w:sz w:val="18"/>
                <w:szCs w:val="20"/>
              </w:rPr>
            </w:pPr>
            <w:r>
              <w:rPr>
                <w:rFonts w:cs="Segoe UI"/>
                <w:i/>
                <w:sz w:val="18"/>
                <w:szCs w:val="20"/>
              </w:rPr>
              <w:t>Vymáhanie nedoplatkov v samospráve</w:t>
            </w:r>
          </w:p>
          <w:p w14:paraId="4AAD4D4A" w14:textId="5C6596B5" w:rsidR="00BC5A20" w:rsidRPr="00C60492" w:rsidRDefault="00BC5A20" w:rsidP="00BC5A20">
            <w:pPr>
              <w:pStyle w:val="Odsekzoznamu"/>
              <w:ind w:left="0"/>
              <w:contextualSpacing w:val="0"/>
              <w:rPr>
                <w:rFonts w:cs="Segoe UI"/>
                <w:sz w:val="18"/>
                <w:szCs w:val="20"/>
              </w:rPr>
            </w:pPr>
            <w:r>
              <w:rPr>
                <w:rFonts w:cs="Segoe UI"/>
                <w:sz w:val="18"/>
                <w:szCs w:val="20"/>
              </w:rPr>
              <w:t>O</w:t>
            </w:r>
            <w:r w:rsidRPr="00C60492">
              <w:rPr>
                <w:rFonts w:cs="Segoe UI"/>
                <w:sz w:val="18"/>
                <w:szCs w:val="20"/>
              </w:rPr>
              <w:t>bec umožnila bezdôvodné obohatenie získaním finančného prospech z verejných prostriedkov, keď poskytla občanovi potvrdenie, že má miestnu daň uhradenú, čím bola porušená finančná disciplína podľa § 31 ods. 1 písm. g) zákona o rozpočtových pravidlách</w:t>
            </w:r>
            <w:r w:rsidR="003C7B7C">
              <w:rPr>
                <w:rFonts w:cs="Segoe UI"/>
                <w:sz w:val="18"/>
                <w:szCs w:val="20"/>
              </w:rPr>
              <w:t xml:space="preserve"> VS</w:t>
            </w:r>
            <w:r w:rsidRPr="00C60492">
              <w:rPr>
                <w:rFonts w:cs="Segoe UI"/>
                <w:sz w:val="18"/>
                <w:szCs w:val="20"/>
              </w:rPr>
              <w:t>. Kontrolo</w:t>
            </w:r>
            <w:r w:rsidR="003C7B7C">
              <w:rPr>
                <w:rFonts w:cs="Segoe UI"/>
                <w:sz w:val="18"/>
                <w:szCs w:val="20"/>
              </w:rPr>
              <w:t>valo sa</w:t>
            </w:r>
            <w:r w:rsidRPr="00C60492">
              <w:rPr>
                <w:rFonts w:cs="Segoe UI"/>
                <w:sz w:val="18"/>
                <w:szCs w:val="20"/>
              </w:rPr>
              <w:t xml:space="preserve"> obdobie </w:t>
            </w:r>
            <w:r w:rsidR="003C7B7C">
              <w:rPr>
                <w:rFonts w:cs="Segoe UI"/>
                <w:sz w:val="18"/>
                <w:szCs w:val="20"/>
              </w:rPr>
              <w:t>rokov</w:t>
            </w:r>
            <w:r w:rsidRPr="00C60492">
              <w:rPr>
                <w:rFonts w:cs="Segoe UI"/>
                <w:sz w:val="18"/>
                <w:szCs w:val="20"/>
              </w:rPr>
              <w:t xml:space="preserve"> 2019 – 2020.  Oznámenie bolo podané </w:t>
            </w:r>
            <w:r>
              <w:rPr>
                <w:rFonts w:cs="Segoe UI"/>
                <w:sz w:val="18"/>
                <w:szCs w:val="20"/>
              </w:rPr>
              <w:t xml:space="preserve">na ÚVA SR </w:t>
            </w:r>
            <w:r w:rsidR="003C7B7C">
              <w:rPr>
                <w:rFonts w:cs="Segoe UI"/>
                <w:sz w:val="18"/>
                <w:szCs w:val="20"/>
              </w:rPr>
              <w:t>v marci 2023.</w:t>
            </w:r>
          </w:p>
          <w:p w14:paraId="05CD023F" w14:textId="32C70855" w:rsidR="00BC5A20" w:rsidRPr="00450053" w:rsidRDefault="00BC5A20" w:rsidP="003451D7">
            <w:pPr>
              <w:pStyle w:val="Odsekzoznamu"/>
              <w:numPr>
                <w:ilvl w:val="0"/>
                <w:numId w:val="6"/>
              </w:numPr>
              <w:rPr>
                <w:rFonts w:cs="Segoe UI"/>
                <w:i/>
                <w:sz w:val="18"/>
                <w:szCs w:val="20"/>
              </w:rPr>
            </w:pPr>
            <w:r w:rsidRPr="00450053">
              <w:rPr>
                <w:rFonts w:cs="Segoe UI"/>
                <w:i/>
                <w:sz w:val="18"/>
                <w:szCs w:val="20"/>
              </w:rPr>
              <w:t>Poskytovanie pomoci v hmotnej núdzi</w:t>
            </w:r>
          </w:p>
          <w:p w14:paraId="24DBE7A8" w14:textId="593C5F80" w:rsidR="00BC5A20" w:rsidRDefault="00BC5A20" w:rsidP="00BC5A20">
            <w:pPr>
              <w:pStyle w:val="Odsekzoznamu"/>
              <w:ind w:left="22"/>
              <w:rPr>
                <w:rFonts w:cs="Segoe UI"/>
                <w:sz w:val="18"/>
                <w:szCs w:val="20"/>
              </w:rPr>
            </w:pPr>
            <w:r w:rsidRPr="00450053">
              <w:rPr>
                <w:rFonts w:cs="Segoe UI"/>
                <w:sz w:val="18"/>
                <w:szCs w:val="20"/>
              </w:rPr>
              <w:t xml:space="preserve">Administratívny proces umožňujúci vyplácanie finančných prostriedkov na základe nesprávnych informácií nie je účinným a transparentným nástrojom pre adresné poskytovanie pomoci v hmotnej núdzi. Negatívnym príkladom je tiež príspevok na bývanie, keď kontrolóri identifikovali prípady potvrdení vydaných obcou, o splnení podmienok nároku na príspevok na bývanie, ktoré v skutočnosti neboli žiadateľom splnené. Nastavenie systému právomocí a plnenia povinností zo strany organizátorov menších obecných služieb vytváralo priestor pre neefektívne využívanie prostriedkov </w:t>
            </w:r>
            <w:r w:rsidR="00097220">
              <w:rPr>
                <w:rFonts w:cs="Segoe UI"/>
                <w:sz w:val="18"/>
                <w:szCs w:val="20"/>
              </w:rPr>
              <w:t>ŠR</w:t>
            </w:r>
            <w:r w:rsidRPr="00450053">
              <w:rPr>
                <w:rFonts w:cs="Segoe UI"/>
                <w:sz w:val="18"/>
                <w:szCs w:val="20"/>
              </w:rPr>
              <w:t xml:space="preserve">. Takmer 20-ročný model pomoci často nereflektuje vývoj spoločnosti. NKÚ </w:t>
            </w:r>
            <w:r w:rsidR="00097220">
              <w:rPr>
                <w:rFonts w:cs="Segoe UI"/>
                <w:sz w:val="18"/>
                <w:szCs w:val="20"/>
              </w:rPr>
              <w:t xml:space="preserve">SR </w:t>
            </w:r>
            <w:r w:rsidRPr="00450053">
              <w:rPr>
                <w:rFonts w:cs="Segoe UI"/>
                <w:sz w:val="18"/>
                <w:szCs w:val="20"/>
              </w:rPr>
              <w:t>preto odpor</w:t>
            </w:r>
            <w:r w:rsidR="00097220">
              <w:rPr>
                <w:rFonts w:cs="Segoe UI"/>
                <w:sz w:val="18"/>
                <w:szCs w:val="20"/>
              </w:rPr>
              <w:t>učil</w:t>
            </w:r>
            <w:r w:rsidRPr="00450053">
              <w:rPr>
                <w:rFonts w:cs="Segoe UI"/>
                <w:sz w:val="18"/>
                <w:szCs w:val="20"/>
              </w:rPr>
              <w:t xml:space="preserve"> zabezpečiť jeho adekvátne nastavenie v jednoduchej a jasnej forme</w:t>
            </w:r>
            <w:r w:rsidR="00FC01BD">
              <w:rPr>
                <w:rFonts w:cs="Segoe UI"/>
                <w:sz w:val="18"/>
                <w:szCs w:val="20"/>
              </w:rPr>
              <w:t>,</w:t>
            </w:r>
            <w:r w:rsidRPr="00450053">
              <w:rPr>
                <w:rFonts w:cs="Segoe UI"/>
                <w:sz w:val="18"/>
                <w:szCs w:val="20"/>
              </w:rPr>
              <w:t xml:space="preserve"> s cieľom prispieť k transparentnosti systému.</w:t>
            </w:r>
          </w:p>
          <w:p w14:paraId="6E72E0C2" w14:textId="77777777" w:rsidR="00BC5A20" w:rsidRPr="00450053" w:rsidRDefault="00BC5A20" w:rsidP="00BC5A20">
            <w:pPr>
              <w:pStyle w:val="Odsekzoznamu"/>
              <w:ind w:left="22"/>
              <w:rPr>
                <w:rFonts w:cs="Segoe UI"/>
                <w:sz w:val="18"/>
                <w:szCs w:val="20"/>
              </w:rPr>
            </w:pPr>
          </w:p>
          <w:p w14:paraId="3C1F1756" w14:textId="77863C88" w:rsidR="00BC5A20" w:rsidRPr="00C60492" w:rsidRDefault="00BC5A20" w:rsidP="003451D7">
            <w:pPr>
              <w:pStyle w:val="Odsekzoznamu"/>
              <w:numPr>
                <w:ilvl w:val="0"/>
                <w:numId w:val="6"/>
              </w:numPr>
              <w:rPr>
                <w:rFonts w:cs="Segoe UI"/>
                <w:i/>
                <w:sz w:val="18"/>
                <w:szCs w:val="20"/>
              </w:rPr>
            </w:pPr>
            <w:r w:rsidRPr="00C60492">
              <w:rPr>
                <w:rFonts w:cs="Segoe UI"/>
                <w:i/>
                <w:sz w:val="18"/>
                <w:szCs w:val="20"/>
              </w:rPr>
              <w:t>Príjmy obcí v pandémii</w:t>
            </w:r>
          </w:p>
          <w:p w14:paraId="0FCF1490" w14:textId="1A3713F6" w:rsidR="00BC5A20" w:rsidRPr="00C60492" w:rsidRDefault="00BC5A20" w:rsidP="00BC5A20">
            <w:pPr>
              <w:rPr>
                <w:rFonts w:cs="Segoe UI"/>
                <w:sz w:val="18"/>
                <w:szCs w:val="20"/>
              </w:rPr>
            </w:pPr>
            <w:r w:rsidRPr="00C60492">
              <w:rPr>
                <w:rFonts w:cs="Segoe UI"/>
                <w:sz w:val="18"/>
                <w:szCs w:val="20"/>
              </w:rPr>
              <w:t>Najväčší dopad pandémie C</w:t>
            </w:r>
            <w:r w:rsidR="00097220">
              <w:rPr>
                <w:rFonts w:cs="Segoe UI"/>
                <w:sz w:val="18"/>
                <w:szCs w:val="20"/>
              </w:rPr>
              <w:t>OVID</w:t>
            </w:r>
            <w:r w:rsidRPr="00C60492">
              <w:rPr>
                <w:rFonts w:cs="Segoe UI"/>
                <w:sz w:val="18"/>
                <w:szCs w:val="20"/>
              </w:rPr>
              <w:t>-19 na rozpočty miest a obcí sa v roku 2020 prejavil pri výnose z dane z príjmov fyzických osôb, ktorý medziročne poklesol. Tento výpadok však dokázali mestá a obce nahradiť ostatnými daňovými príjmami, ktorých výšku vedeli ovplyvniť. Viaceré zvyšovali sadzby miestnych daní a poplatkov a tým čiastočne vyrovnávali výpadok daňových príjmov.</w:t>
            </w:r>
          </w:p>
          <w:p w14:paraId="16549562" w14:textId="77777777" w:rsidR="00BC5A20" w:rsidRPr="00C60492" w:rsidRDefault="00BC5A20" w:rsidP="00BC5A20">
            <w:pPr>
              <w:rPr>
                <w:rFonts w:cs="Segoe UI"/>
                <w:sz w:val="18"/>
                <w:szCs w:val="20"/>
              </w:rPr>
            </w:pPr>
            <w:r w:rsidRPr="00C60492">
              <w:rPr>
                <w:rFonts w:cs="Segoe UI"/>
                <w:sz w:val="18"/>
                <w:szCs w:val="20"/>
              </w:rPr>
              <w:t>Mestá a  obce preukázali pri riešení mimoriadnej situácie spojenej s pandémiou schopnosť prijímať operatívne riešenia zohľadňujúc miestne pomery aj v čase, keď orgány krízového riadenia, prípadne ostatné relevantné orgány diskutovali o možných opatreniach.</w:t>
            </w:r>
          </w:p>
          <w:p w14:paraId="45F38580" w14:textId="018B9E4F" w:rsidR="00BC5A20" w:rsidRPr="00C60492" w:rsidRDefault="00BC5A20" w:rsidP="00BC5A20">
            <w:pPr>
              <w:rPr>
                <w:rFonts w:cs="Segoe UI"/>
                <w:sz w:val="18"/>
                <w:szCs w:val="20"/>
              </w:rPr>
            </w:pPr>
            <w:r w:rsidRPr="00C60492">
              <w:rPr>
                <w:rFonts w:cs="Segoe UI"/>
                <w:sz w:val="18"/>
                <w:szCs w:val="20"/>
              </w:rPr>
              <w:t xml:space="preserve">Kontrola </w:t>
            </w:r>
            <w:r w:rsidR="00FC01BD">
              <w:rPr>
                <w:rFonts w:cs="Segoe UI"/>
                <w:sz w:val="18"/>
                <w:szCs w:val="20"/>
              </w:rPr>
              <w:t xml:space="preserve">NKÚ SR </w:t>
            </w:r>
            <w:r w:rsidRPr="00C60492">
              <w:rPr>
                <w:rFonts w:cs="Segoe UI"/>
                <w:sz w:val="18"/>
                <w:szCs w:val="20"/>
              </w:rPr>
              <w:t>poukázala na pretrvávajúce a dlhodobo neriešené systémové problémy v oblasti krízového riadenia a civilnej ochrany medzi štátom a samosprávou, ktoré sa odhalili počas pandémie. Kontrola identifikovala problematickú koordináciu a plnenie úloh v civilnej ochrane, ale aj nedostatky v kompetenčných oprávneniach medzi mestami a</w:t>
            </w:r>
            <w:r w:rsidR="00FC01BD">
              <w:rPr>
                <w:rFonts w:cs="Segoe UI"/>
                <w:sz w:val="18"/>
                <w:szCs w:val="20"/>
              </w:rPr>
              <w:t> </w:t>
            </w:r>
            <w:r w:rsidRPr="00C60492">
              <w:rPr>
                <w:rFonts w:cs="Segoe UI"/>
                <w:sz w:val="18"/>
                <w:szCs w:val="20"/>
              </w:rPr>
              <w:t>obcami</w:t>
            </w:r>
            <w:r w:rsidR="00FC01BD">
              <w:rPr>
                <w:rFonts w:cs="Segoe UI"/>
                <w:sz w:val="18"/>
                <w:szCs w:val="20"/>
              </w:rPr>
              <w:t>,</w:t>
            </w:r>
            <w:r w:rsidRPr="00C60492">
              <w:rPr>
                <w:rFonts w:cs="Segoe UI"/>
                <w:sz w:val="18"/>
                <w:szCs w:val="20"/>
              </w:rPr>
              <w:t xml:space="preserve"> aj štátnymi orgánmi.</w:t>
            </w:r>
          </w:p>
          <w:p w14:paraId="2A55627B" w14:textId="38BD0742" w:rsidR="00BC5A20" w:rsidRPr="00C60492" w:rsidRDefault="00BC5A20" w:rsidP="003451D7">
            <w:pPr>
              <w:pStyle w:val="Normlnywebov"/>
              <w:numPr>
                <w:ilvl w:val="0"/>
                <w:numId w:val="6"/>
              </w:numPr>
              <w:spacing w:before="0" w:beforeAutospacing="0" w:after="120" w:afterAutospacing="0" w:line="276" w:lineRule="auto"/>
              <w:ind w:left="714" w:hanging="357"/>
              <w:jc w:val="both"/>
              <w:rPr>
                <w:rFonts w:ascii="Segoe UI" w:hAnsi="Segoe UI" w:cs="Segoe UI"/>
                <w:i/>
                <w:sz w:val="18"/>
                <w:szCs w:val="20"/>
                <w:lang w:eastAsia="en-US"/>
              </w:rPr>
            </w:pPr>
            <w:r w:rsidRPr="00C60492">
              <w:rPr>
                <w:rFonts w:ascii="Segoe UI" w:hAnsi="Segoe UI" w:cs="Segoe UI"/>
                <w:i/>
                <w:sz w:val="18"/>
                <w:szCs w:val="20"/>
                <w:lang w:eastAsia="en-US"/>
              </w:rPr>
              <w:t>Športová infraštruktúra na základných školách</w:t>
            </w:r>
          </w:p>
          <w:p w14:paraId="28AFE080" w14:textId="284C5C9B" w:rsidR="00BC5A20" w:rsidRPr="00C60492" w:rsidRDefault="00BC5A20" w:rsidP="00BC5A20">
            <w:pPr>
              <w:pStyle w:val="Normlnywebov"/>
              <w:spacing w:before="0" w:beforeAutospacing="0" w:after="120" w:afterAutospacing="0" w:line="276" w:lineRule="auto"/>
              <w:jc w:val="both"/>
              <w:rPr>
                <w:rFonts w:ascii="Segoe UI" w:hAnsi="Segoe UI" w:cs="Segoe UI"/>
                <w:sz w:val="18"/>
                <w:szCs w:val="20"/>
                <w:lang w:eastAsia="en-US"/>
              </w:rPr>
            </w:pPr>
            <w:r w:rsidRPr="00C60492">
              <w:rPr>
                <w:rFonts w:ascii="Segoe UI" w:hAnsi="Segoe UI" w:cs="Segoe UI"/>
                <w:sz w:val="18"/>
                <w:szCs w:val="20"/>
                <w:lang w:eastAsia="en-US"/>
              </w:rPr>
              <w:t>Napriek realizovaným rekonštrukciám telocviční prostredníctvom dotácií a vlastných prostriedkov bol v kontrolovaných subjektoch samospráv vyčíslený existujúci investičný dlh vyše štyri milión</w:t>
            </w:r>
            <w:r w:rsidR="00097220">
              <w:rPr>
                <w:rFonts w:ascii="Segoe UI" w:hAnsi="Segoe UI" w:cs="Segoe UI"/>
                <w:sz w:val="18"/>
                <w:szCs w:val="20"/>
                <w:lang w:eastAsia="en-US"/>
              </w:rPr>
              <w:t>y eur</w:t>
            </w:r>
            <w:r w:rsidRPr="00C60492">
              <w:rPr>
                <w:rFonts w:ascii="Segoe UI" w:hAnsi="Segoe UI" w:cs="Segoe UI"/>
                <w:sz w:val="18"/>
                <w:szCs w:val="20"/>
                <w:lang w:eastAsia="en-US"/>
              </w:rPr>
              <w:t>.</w:t>
            </w:r>
          </w:p>
          <w:p w14:paraId="7E4463D7" w14:textId="2DE6A893" w:rsidR="00BC5A20" w:rsidRDefault="00BC5A20" w:rsidP="00BC5A20">
            <w:pPr>
              <w:pStyle w:val="Normlnywebov"/>
              <w:spacing w:before="0" w:beforeAutospacing="0" w:after="120" w:afterAutospacing="0" w:line="276" w:lineRule="auto"/>
              <w:jc w:val="both"/>
              <w:rPr>
                <w:rFonts w:ascii="Segoe UI" w:hAnsi="Segoe UI" w:cs="Segoe UI"/>
                <w:sz w:val="18"/>
                <w:szCs w:val="20"/>
                <w:lang w:eastAsia="en-US"/>
              </w:rPr>
            </w:pPr>
            <w:r w:rsidRPr="00C60492">
              <w:rPr>
                <w:rFonts w:ascii="Segoe UI" w:hAnsi="Segoe UI" w:cs="Segoe UI"/>
                <w:sz w:val="18"/>
                <w:szCs w:val="20"/>
                <w:lang w:eastAsia="en-US"/>
              </w:rPr>
              <w:t xml:space="preserve">Na úrovni štátu neexistuje ucelený register športovej infraštruktúry základných škôl a ani centrálny register dotácií určených na šport zo všetkých zdrojov. Registre by prispievali k zvýšeniu transparentnosti a efektívnosti, slúžili by na určenie priorít pri dofinancovaní potrebnej športovej infraštruktúry. Financovanie športu z verejných zdrojov je však dlhodobo neprehľadné a roztrieštené, pretože do systému vstupujú viaceré subjekty štátnej správy, ako aj orgány územnej samospráv. </w:t>
            </w:r>
            <w:r w:rsidRPr="00B2105E">
              <w:rPr>
                <w:rFonts w:ascii="Segoe UI" w:hAnsi="Segoe UI" w:cs="Segoe UI"/>
                <w:sz w:val="18"/>
                <w:szCs w:val="20"/>
                <w:lang w:eastAsia="en-US"/>
              </w:rPr>
              <w:t>Až 57</w:t>
            </w:r>
            <w:r w:rsidR="00097220">
              <w:rPr>
                <w:rFonts w:ascii="Segoe UI" w:hAnsi="Segoe UI" w:cs="Segoe UI"/>
                <w:sz w:val="18"/>
                <w:szCs w:val="20"/>
                <w:lang w:eastAsia="en-US"/>
              </w:rPr>
              <w:t xml:space="preserve"> </w:t>
            </w:r>
            <w:r w:rsidRPr="00B2105E">
              <w:rPr>
                <w:rFonts w:ascii="Segoe UI" w:hAnsi="Segoe UI" w:cs="Segoe UI"/>
                <w:sz w:val="18"/>
                <w:szCs w:val="20"/>
                <w:lang w:eastAsia="en-US"/>
              </w:rPr>
              <w:t>% kontrolovaných samospráv, ako príjemcovia dotácie, nedodržali pravidlá a podmienky zmlúv o poskytnutí dotácie.</w:t>
            </w:r>
          </w:p>
          <w:p w14:paraId="04DDED5E" w14:textId="77777777" w:rsidR="00F75CE6" w:rsidRPr="00C60492" w:rsidRDefault="00F75CE6" w:rsidP="00BC5A20">
            <w:pPr>
              <w:pStyle w:val="Normlnywebov"/>
              <w:spacing w:before="0" w:beforeAutospacing="0" w:after="120" w:afterAutospacing="0" w:line="276" w:lineRule="auto"/>
              <w:jc w:val="both"/>
              <w:rPr>
                <w:rFonts w:ascii="Segoe UI" w:hAnsi="Segoe UI" w:cs="Segoe UI"/>
                <w:sz w:val="18"/>
                <w:szCs w:val="20"/>
                <w:lang w:eastAsia="en-US"/>
              </w:rPr>
            </w:pPr>
          </w:p>
          <w:p w14:paraId="2DFAE2E5" w14:textId="4CB607BA" w:rsidR="00BC5A20" w:rsidRPr="00C60492" w:rsidRDefault="00BC5A20" w:rsidP="003451D7">
            <w:pPr>
              <w:pStyle w:val="Odsekzoznamu"/>
              <w:numPr>
                <w:ilvl w:val="0"/>
                <w:numId w:val="6"/>
              </w:numPr>
              <w:rPr>
                <w:rFonts w:cs="Segoe UI"/>
                <w:i/>
                <w:sz w:val="18"/>
                <w:szCs w:val="20"/>
              </w:rPr>
            </w:pPr>
            <w:r w:rsidRPr="00C60492">
              <w:rPr>
                <w:rFonts w:cs="Segoe UI"/>
                <w:i/>
                <w:sz w:val="18"/>
                <w:szCs w:val="20"/>
              </w:rPr>
              <w:lastRenderedPageBreak/>
              <w:t xml:space="preserve"> Projekty zamerané na zlepšenie energetickej efektívnosti v  podmienkach miestnej samosprávy</w:t>
            </w:r>
          </w:p>
          <w:p w14:paraId="0CDF30E1" w14:textId="2775C1AF" w:rsidR="00BC5A20" w:rsidRPr="00C60492" w:rsidRDefault="00BC5A20" w:rsidP="00BC5A20">
            <w:pPr>
              <w:rPr>
                <w:rFonts w:cs="Segoe UI"/>
                <w:sz w:val="18"/>
                <w:szCs w:val="20"/>
              </w:rPr>
            </w:pPr>
            <w:r w:rsidRPr="00C60492">
              <w:rPr>
                <w:rFonts w:cs="Segoe UI"/>
                <w:sz w:val="18"/>
                <w:szCs w:val="20"/>
              </w:rPr>
              <w:t>Kontrola poukázala na nedostatočné plánovanie v oblasti energetickej efektívnosti. Mestá a obce nemali vypracované energetické plány, významné obnovy budov mali kontrolované subjekty zapracované iba v programoch hospodárskeho a sociálneho rozvoja obce alebo mesta. Tie sa nemonitorovali, nevyhodnocovali a priebežne neaktualizovali. Kontrola poukázala na nedostatočnú pripravenosť projektov na rozvoj garantovaných energetických služieb a neochotu miest a obcí tieto služby využívať z dôvodu nevýhodných podmienok pre obce a mestá. Výsledkom politiky znižovania energetickej náročnosti je neefektívny systém financovania podpory znižovania energetickej efektívnosti. Výsledky a plnenie cieľov n</w:t>
            </w:r>
            <w:r w:rsidR="00FC01BD">
              <w:rPr>
                <w:rFonts w:cs="Segoe UI"/>
                <w:sz w:val="18"/>
                <w:szCs w:val="20"/>
              </w:rPr>
              <w:t xml:space="preserve">ie je možné </w:t>
            </w:r>
            <w:r w:rsidRPr="00C60492">
              <w:rPr>
                <w:rFonts w:cs="Segoe UI"/>
                <w:sz w:val="18"/>
                <w:szCs w:val="20"/>
              </w:rPr>
              <w:t>preukázať, monitorovať a ani plánovať.</w:t>
            </w:r>
          </w:p>
          <w:p w14:paraId="6962D85D" w14:textId="59317AB3" w:rsidR="00BC5A20" w:rsidRPr="00C60492" w:rsidRDefault="00BC5A20" w:rsidP="003451D7">
            <w:pPr>
              <w:pStyle w:val="Odsekzoznamu"/>
              <w:numPr>
                <w:ilvl w:val="0"/>
                <w:numId w:val="6"/>
              </w:numPr>
              <w:rPr>
                <w:rFonts w:cs="Segoe UI"/>
                <w:i/>
                <w:sz w:val="18"/>
                <w:szCs w:val="20"/>
              </w:rPr>
            </w:pPr>
            <w:r w:rsidRPr="00C60492">
              <w:rPr>
                <w:rFonts w:cs="Segoe UI"/>
                <w:i/>
                <w:sz w:val="18"/>
                <w:szCs w:val="20"/>
              </w:rPr>
              <w:t>Vymáhanie nedoplatkov v samospráve</w:t>
            </w:r>
          </w:p>
          <w:p w14:paraId="10136392" w14:textId="3DE35DA8" w:rsidR="00BC5A20" w:rsidRPr="00C60492" w:rsidRDefault="00BC5A20" w:rsidP="00BC5A20">
            <w:pPr>
              <w:pStyle w:val="Normlnywebov"/>
              <w:spacing w:before="0" w:beforeAutospacing="0" w:after="120" w:afterAutospacing="0" w:line="276" w:lineRule="auto"/>
              <w:jc w:val="both"/>
              <w:rPr>
                <w:rFonts w:ascii="Segoe UI" w:hAnsi="Segoe UI" w:cs="Segoe UI"/>
                <w:sz w:val="18"/>
                <w:szCs w:val="20"/>
                <w:lang w:eastAsia="en-US"/>
              </w:rPr>
            </w:pPr>
            <w:r w:rsidRPr="00C60492">
              <w:rPr>
                <w:rFonts w:ascii="Segoe UI" w:hAnsi="Segoe UI" w:cs="Segoe UI"/>
                <w:sz w:val="18"/>
                <w:szCs w:val="20"/>
                <w:lang w:eastAsia="en-US"/>
              </w:rPr>
              <w:t>Kontrola bola zameraná na vymáhanie daňových nedoplatkov z  dane z  nehnuteľností, poplatku za komunálny odpad a drobný stavebný odpad, vymáhanie nedaňových pohľadávok z prenájmu, najmä nebytových priestorov. Pohľadávky vo forme daňových nedoplatkov, resp. nedaňových pohľadávok z prenájmu tvoria významný podiel na sume príslušných príjmov. Bolo preverených 14 vybraných samosprávnych subjektov, ktoré k 31. 12. 2021 vykázali viac ako 4,6 mil. eur daňových nedoplatkov a  viac ako 0,8 mil. eur na nedaňových pohľadávkach z prenájmu. K  31. 12. 2021 bolo 45,1 % nedoplatkov v sume do 20 eur, pričom ich hodnota tvorila 15,8</w:t>
            </w:r>
            <w:r>
              <w:rPr>
                <w:rFonts w:ascii="Segoe UI" w:hAnsi="Segoe UI" w:cs="Segoe UI"/>
                <w:sz w:val="18"/>
                <w:szCs w:val="20"/>
                <w:lang w:eastAsia="en-US"/>
              </w:rPr>
              <w:t> </w:t>
            </w:r>
            <w:r w:rsidRPr="00C60492">
              <w:rPr>
                <w:rFonts w:ascii="Segoe UI" w:hAnsi="Segoe UI" w:cs="Segoe UI"/>
                <w:sz w:val="18"/>
                <w:szCs w:val="20"/>
                <w:lang w:eastAsia="en-US"/>
              </w:rPr>
              <w:t>% celkovej hodnoty nedoplatkov. Podobná, hoci nie taká extrémna, je situácia aj pri nedoplatkoch za komunálny odpad. Nedoplatky do 20 eur tvoria 10,5</w:t>
            </w:r>
            <w:r>
              <w:rPr>
                <w:rFonts w:ascii="Segoe UI" w:hAnsi="Segoe UI" w:cs="Segoe UI"/>
                <w:sz w:val="18"/>
                <w:szCs w:val="20"/>
                <w:lang w:eastAsia="en-US"/>
              </w:rPr>
              <w:t> </w:t>
            </w:r>
            <w:r w:rsidRPr="00C60492">
              <w:rPr>
                <w:rFonts w:ascii="Segoe UI" w:hAnsi="Segoe UI" w:cs="Segoe UI"/>
                <w:sz w:val="18"/>
                <w:szCs w:val="20"/>
                <w:lang w:eastAsia="en-US"/>
              </w:rPr>
              <w:t>% z celkového počtu nedoplatkov, pričom ich hodnota tvorila 0,8</w:t>
            </w:r>
            <w:r>
              <w:rPr>
                <w:rFonts w:ascii="Segoe UI" w:hAnsi="Segoe UI" w:cs="Segoe UI"/>
                <w:sz w:val="18"/>
                <w:szCs w:val="20"/>
                <w:lang w:eastAsia="en-US"/>
              </w:rPr>
              <w:t> </w:t>
            </w:r>
            <w:r w:rsidRPr="00C60492">
              <w:rPr>
                <w:rFonts w:ascii="Segoe UI" w:hAnsi="Segoe UI" w:cs="Segoe UI"/>
                <w:sz w:val="18"/>
                <w:szCs w:val="20"/>
                <w:lang w:eastAsia="en-US"/>
              </w:rPr>
              <w:t>% celkovej hodnoty nedoplatkov za komunálny odpad. Je evidentné, že početnosť malých pohľadávok a súčasne komplikovanosť procesu spôsobuje, že vplyv na rozpočet nie je zanedbateľná a v súvislosti s ekonomickým vývojom sa môže riziko negatívneho vývoja ešte zvyšovať.</w:t>
            </w:r>
          </w:p>
          <w:p w14:paraId="655F93F8" w14:textId="6927169F" w:rsidR="00BC5A20" w:rsidRPr="00C60492" w:rsidRDefault="00BC5A20" w:rsidP="003451D7">
            <w:pPr>
              <w:pStyle w:val="Odsekzoznamu"/>
              <w:numPr>
                <w:ilvl w:val="0"/>
                <w:numId w:val="6"/>
              </w:numPr>
              <w:rPr>
                <w:rFonts w:cs="Segoe UI"/>
                <w:i/>
                <w:sz w:val="18"/>
                <w:szCs w:val="20"/>
              </w:rPr>
            </w:pPr>
            <w:r w:rsidRPr="00C60492">
              <w:rPr>
                <w:rFonts w:cs="Segoe UI"/>
                <w:i/>
                <w:sz w:val="18"/>
                <w:szCs w:val="20"/>
              </w:rPr>
              <w:t>Systém podpory cyklistickej dopravy</w:t>
            </w:r>
          </w:p>
          <w:p w14:paraId="1EBC6F95" w14:textId="1E4B4E60" w:rsidR="00BC5A20" w:rsidRPr="00C60492" w:rsidRDefault="00BC5A20" w:rsidP="00BC5A20">
            <w:pPr>
              <w:rPr>
                <w:rFonts w:cs="Segoe UI"/>
                <w:sz w:val="18"/>
                <w:szCs w:val="20"/>
              </w:rPr>
            </w:pPr>
            <w:r w:rsidRPr="00C60492">
              <w:rPr>
                <w:rFonts w:cs="Segoe UI"/>
                <w:sz w:val="18"/>
                <w:szCs w:val="20"/>
              </w:rPr>
              <w:t>Cieľom kontroly bolo zistiť stav financovania, budovania a  rozvoja cyklistickej dopravnej infraštruktúry na úrovni samospráv a prepojenie so stratégiou štátu. Z  celkovo 39 670 kilometrov ciest tvorili na Slovensku miestne komunikácie s určením aj pre cyklistov 5 %. Kontrolóri poukázali aj na to, že existujúce cyklotrasy v mestách nevytvárajú komplexnú sieť a nie vždy sú prepojené na cyklotrasy krajskej úrovne.</w:t>
            </w:r>
          </w:p>
          <w:p w14:paraId="3E115C7A" w14:textId="77777777" w:rsidR="00BC5A20" w:rsidRPr="00C60492" w:rsidRDefault="00BC5A20" w:rsidP="003451D7">
            <w:pPr>
              <w:pStyle w:val="Normlnywebov"/>
              <w:numPr>
                <w:ilvl w:val="0"/>
                <w:numId w:val="6"/>
              </w:numPr>
              <w:spacing w:before="0" w:beforeAutospacing="0" w:after="120" w:afterAutospacing="0" w:line="276" w:lineRule="auto"/>
              <w:jc w:val="both"/>
              <w:rPr>
                <w:rFonts w:ascii="Segoe UI" w:hAnsi="Segoe UI" w:cs="Segoe UI"/>
                <w:i/>
                <w:sz w:val="18"/>
                <w:szCs w:val="20"/>
                <w:lang w:eastAsia="en-US"/>
              </w:rPr>
            </w:pPr>
            <w:r w:rsidRPr="00C60492">
              <w:rPr>
                <w:rFonts w:ascii="Segoe UI" w:hAnsi="Segoe UI" w:cs="Segoe UI"/>
                <w:i/>
                <w:sz w:val="18"/>
                <w:szCs w:val="20"/>
                <w:lang w:eastAsia="en-US"/>
              </w:rPr>
              <w:t>Podnety od občanov</w:t>
            </w:r>
          </w:p>
          <w:p w14:paraId="3B159ABF" w14:textId="4D2AE15D" w:rsidR="00BC5A20" w:rsidRPr="00C60492" w:rsidRDefault="00BC5A20" w:rsidP="00BC5A20">
            <w:pPr>
              <w:rPr>
                <w:rFonts w:cs="Segoe UI"/>
                <w:sz w:val="18"/>
                <w:szCs w:val="20"/>
              </w:rPr>
            </w:pPr>
            <w:r w:rsidRPr="00C60492">
              <w:rPr>
                <w:rFonts w:cs="Segoe UI"/>
                <w:sz w:val="18"/>
                <w:szCs w:val="20"/>
              </w:rPr>
              <w:t>Značná časť kontrol zameraných na hospodárenie samospráv vychádza z  podnetov od občanov, ktorí poukazujú na problematické využívanie zdrojov, netransparentné procesy obstarávania</w:t>
            </w:r>
            <w:r w:rsidR="00846EB5">
              <w:rPr>
                <w:rFonts w:cs="Segoe UI"/>
                <w:sz w:val="18"/>
                <w:szCs w:val="20"/>
              </w:rPr>
              <w:t xml:space="preserve"> a</w:t>
            </w:r>
            <w:r w:rsidRPr="00C60492">
              <w:rPr>
                <w:rFonts w:cs="Segoe UI"/>
                <w:sz w:val="18"/>
                <w:szCs w:val="20"/>
              </w:rPr>
              <w:t xml:space="preserve"> nedodržiavanie zákonov. V roku 2022 sa vykonali </w:t>
            </w:r>
            <w:r w:rsidR="00846EB5">
              <w:rPr>
                <w:rFonts w:cs="Segoe UI"/>
                <w:sz w:val="18"/>
                <w:szCs w:val="20"/>
              </w:rPr>
              <w:t xml:space="preserve">na základe podnetov </w:t>
            </w:r>
            <w:r w:rsidRPr="00C60492">
              <w:rPr>
                <w:rFonts w:cs="Segoe UI"/>
                <w:sz w:val="18"/>
                <w:szCs w:val="20"/>
              </w:rPr>
              <w:t>dve kontroly:</w:t>
            </w:r>
          </w:p>
          <w:p w14:paraId="46DE76D7" w14:textId="074A5A30" w:rsidR="00BC5A20" w:rsidRPr="00C60492" w:rsidRDefault="00BC5A20" w:rsidP="003451D7">
            <w:pPr>
              <w:pStyle w:val="Odsekzoznamu"/>
              <w:numPr>
                <w:ilvl w:val="3"/>
                <w:numId w:val="5"/>
              </w:numPr>
              <w:ind w:left="306" w:hanging="284"/>
              <w:rPr>
                <w:rFonts w:cs="Segoe UI"/>
                <w:i/>
                <w:sz w:val="18"/>
                <w:szCs w:val="20"/>
              </w:rPr>
            </w:pPr>
            <w:r w:rsidRPr="00C60492">
              <w:rPr>
                <w:rFonts w:cs="Segoe UI"/>
                <w:i/>
                <w:sz w:val="18"/>
                <w:szCs w:val="20"/>
              </w:rPr>
              <w:t>Hospodárenie Košického samosprávneho kraja a Správy ciest Košického samosprávneho kraja</w:t>
            </w:r>
          </w:p>
          <w:p w14:paraId="5F81EDB2" w14:textId="78F6E6C7" w:rsidR="00BC5A20" w:rsidRPr="00C60492" w:rsidRDefault="00BC5A20" w:rsidP="00BC5A20">
            <w:pPr>
              <w:rPr>
                <w:rFonts w:cs="Segoe UI"/>
                <w:sz w:val="18"/>
                <w:szCs w:val="20"/>
              </w:rPr>
            </w:pPr>
            <w:r w:rsidRPr="00C60492">
              <w:rPr>
                <w:rFonts w:cs="Segoe UI"/>
                <w:sz w:val="18"/>
                <w:szCs w:val="20"/>
              </w:rPr>
              <w:t>Kontrola pri hospodárení s majetkom poukázala na nedodržanie zmluvných podmienok zo strany predávajúceho a ich akceptovaní zo strany kraja a netransparentné konanie pri evidencii zverovan</w:t>
            </w:r>
            <w:r w:rsidR="00FC01BD">
              <w:rPr>
                <w:rFonts w:cs="Segoe UI"/>
                <w:sz w:val="18"/>
                <w:szCs w:val="20"/>
              </w:rPr>
              <w:t>ia</w:t>
            </w:r>
            <w:r w:rsidRPr="00C60492">
              <w:rPr>
                <w:rFonts w:cs="Segoe UI"/>
                <w:sz w:val="18"/>
                <w:szCs w:val="20"/>
              </w:rPr>
              <w:t xml:space="preserve"> majetku do správy organizáciám v zriaďovateľskej </w:t>
            </w:r>
            <w:r w:rsidRPr="00D70769">
              <w:rPr>
                <w:rFonts w:cs="Segoe UI"/>
                <w:i/>
                <w:sz w:val="18"/>
                <w:szCs w:val="20"/>
              </w:rPr>
              <w:t>pôsobnosti</w:t>
            </w:r>
            <w:r w:rsidRPr="00C60492">
              <w:rPr>
                <w:rFonts w:cs="Segoe UI"/>
                <w:sz w:val="18"/>
                <w:szCs w:val="20"/>
              </w:rPr>
              <w:t xml:space="preserve"> KSK. Nedostatky boli zistené pri vykonávaní základnej finančnej kontroly v zmysle zákona o finančnej kontrole a audite. NKÚ </w:t>
            </w:r>
            <w:r w:rsidR="00846EB5">
              <w:rPr>
                <w:rFonts w:cs="Segoe UI"/>
                <w:sz w:val="18"/>
                <w:szCs w:val="20"/>
              </w:rPr>
              <w:t xml:space="preserve">SR </w:t>
            </w:r>
            <w:r w:rsidRPr="00C60492">
              <w:rPr>
                <w:rFonts w:cs="Segoe UI"/>
                <w:sz w:val="18"/>
                <w:szCs w:val="20"/>
              </w:rPr>
              <w:t>identifikoval aj konanie v rozpore so zákonom o majetku VÚC, či porušenie zákona o verejnom obstarávaní.</w:t>
            </w:r>
          </w:p>
          <w:p w14:paraId="1688AC78" w14:textId="5BAE7304" w:rsidR="00BC5A20" w:rsidRPr="00C60492" w:rsidRDefault="00BC5A20" w:rsidP="00BC5A20">
            <w:pPr>
              <w:rPr>
                <w:rFonts w:cs="Segoe UI"/>
                <w:i/>
                <w:sz w:val="18"/>
                <w:szCs w:val="20"/>
              </w:rPr>
            </w:pPr>
            <w:r w:rsidRPr="00C60492">
              <w:rPr>
                <w:rFonts w:cs="Segoe UI"/>
                <w:i/>
                <w:sz w:val="18"/>
                <w:szCs w:val="20"/>
              </w:rPr>
              <w:t>2. Obec Uhliská</w:t>
            </w:r>
          </w:p>
          <w:p w14:paraId="10448B9D" w14:textId="4047A1D7" w:rsidR="00067346" w:rsidRPr="00C60492" w:rsidRDefault="00BC5A20" w:rsidP="00846EB5">
            <w:r w:rsidRPr="00C60492">
              <w:rPr>
                <w:rFonts w:cs="Segoe UI"/>
                <w:sz w:val="18"/>
                <w:szCs w:val="20"/>
              </w:rPr>
              <w:t xml:space="preserve">Kontrolou bolo zistených 47 nedostatkov v oblasti hospodárenia s verejnými prostriedkami, </w:t>
            </w:r>
            <w:r w:rsidR="00846EB5">
              <w:rPr>
                <w:rFonts w:cs="Segoe UI"/>
                <w:sz w:val="18"/>
                <w:szCs w:val="20"/>
              </w:rPr>
              <w:t>osem</w:t>
            </w:r>
            <w:r w:rsidRPr="00C60492">
              <w:rPr>
                <w:rFonts w:cs="Segoe UI"/>
                <w:sz w:val="18"/>
                <w:szCs w:val="20"/>
              </w:rPr>
              <w:t xml:space="preserve"> nedostatkov v oblasti nakladania s majetkom a dva nedostatky v oblasti vnútorného kontrolného systému. V rámci rozpočtového hospodárenia boli zistené porušenia zákona o rozpočtových pravidlách územnej samosprávy. Obec svoj</w:t>
            </w:r>
            <w:r>
              <w:rPr>
                <w:rFonts w:cs="Segoe UI"/>
                <w:sz w:val="18"/>
                <w:szCs w:val="20"/>
              </w:rPr>
              <w:t>im</w:t>
            </w:r>
            <w:r w:rsidRPr="00C60492">
              <w:rPr>
                <w:rFonts w:cs="Segoe UI"/>
                <w:sz w:val="18"/>
                <w:szCs w:val="20"/>
              </w:rPr>
              <w:t xml:space="preserve"> konan</w:t>
            </w:r>
            <w:r>
              <w:rPr>
                <w:rFonts w:cs="Segoe UI"/>
                <w:sz w:val="18"/>
                <w:szCs w:val="20"/>
              </w:rPr>
              <w:t>ím</w:t>
            </w:r>
            <w:r w:rsidRPr="00C60492">
              <w:rPr>
                <w:rFonts w:cs="Segoe UI"/>
                <w:sz w:val="18"/>
                <w:szCs w:val="20"/>
              </w:rPr>
              <w:t xml:space="preserve"> v kontrolovanom období ďalej porušila zákon o obecnom zriadení, občiansky zákonník, zákon o účtovníctve, zákon o s</w:t>
            </w:r>
            <w:r w:rsidR="00846EB5">
              <w:rPr>
                <w:rFonts w:cs="Segoe UI"/>
                <w:sz w:val="18"/>
                <w:szCs w:val="20"/>
              </w:rPr>
              <w:t>lobodnom prístupe k informáciám a</w:t>
            </w:r>
            <w:r w:rsidRPr="00C60492">
              <w:rPr>
                <w:rFonts w:cs="Segoe UI"/>
                <w:sz w:val="18"/>
                <w:szCs w:val="20"/>
              </w:rPr>
              <w:t xml:space="preserve"> zákon o majetku obcí. Obec nemala od roku 2017 obsadenú funkciu hlavného kontrolóra a nepodnikla kroky, aby tento stav odstránila, čo nebolo v súlade so zákonom o obecnom zriadení. V nastavení vnútorného kontrolného systému obce boli zistené veľké rezervy, preto ho </w:t>
            </w:r>
            <w:r w:rsidR="00846EB5">
              <w:rPr>
                <w:rFonts w:cs="Segoe UI"/>
                <w:sz w:val="18"/>
                <w:szCs w:val="20"/>
              </w:rPr>
              <w:t>NKÚ SR</w:t>
            </w:r>
            <w:r w:rsidRPr="00C60492">
              <w:rPr>
                <w:rFonts w:cs="Segoe UI"/>
                <w:sz w:val="18"/>
                <w:szCs w:val="20"/>
              </w:rPr>
              <w:t xml:space="preserve"> vyhodnotil ako neúčinný.</w:t>
            </w:r>
          </w:p>
        </w:tc>
      </w:tr>
    </w:tbl>
    <w:p w14:paraId="5F5E5AA5" w14:textId="228969EA" w:rsidR="004C18E7" w:rsidRPr="004C18E7" w:rsidRDefault="004C18E7" w:rsidP="005074F1">
      <w:pPr>
        <w:pStyle w:val="Zdroj"/>
        <w:rPr>
          <w:i w:val="0"/>
        </w:rPr>
      </w:pPr>
    </w:p>
    <w:sectPr w:rsidR="004C18E7" w:rsidRPr="004C18E7" w:rsidSect="0035229D">
      <w:headerReference w:type="default" r:id="rId62"/>
      <w:footerReference w:type="default" r:id="rId63"/>
      <w:pgSz w:w="11906" w:h="16838"/>
      <w:pgMar w:top="1418" w:right="1418" w:bottom="113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5A68A" w14:textId="77777777" w:rsidR="009A3EC9" w:rsidRDefault="009A3EC9" w:rsidP="004F10D0">
      <w:pPr>
        <w:spacing w:after="0" w:line="240" w:lineRule="auto"/>
      </w:pPr>
      <w:r>
        <w:separator/>
      </w:r>
    </w:p>
  </w:endnote>
  <w:endnote w:type="continuationSeparator" w:id="0">
    <w:p w14:paraId="57A0B5D3" w14:textId="77777777" w:rsidR="009A3EC9" w:rsidRDefault="009A3EC9" w:rsidP="004F1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ontserrat">
    <w:panose1 w:val="00000500000000000000"/>
    <w:charset w:val="EE"/>
    <w:family w:val="auto"/>
    <w:pitch w:val="variable"/>
    <w:sig w:usb0="2000020F" w:usb1="00000003" w:usb2="00000000" w:usb3="00000000" w:csb0="00000197" w:csb1="00000000"/>
  </w:font>
  <w:font w:name="Ebrima">
    <w:panose1 w:val="02000000000000000000"/>
    <w:charset w:val="EE"/>
    <w:family w:val="auto"/>
    <w:pitch w:val="variable"/>
    <w:sig w:usb0="A000005F" w:usb1="02000041" w:usb2="000008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417407"/>
      <w:docPartObj>
        <w:docPartGallery w:val="Page Numbers (Bottom of Page)"/>
        <w:docPartUnique/>
      </w:docPartObj>
    </w:sdtPr>
    <w:sdtEndPr/>
    <w:sdtContent>
      <w:p w14:paraId="61B07B56" w14:textId="58B7E5FC" w:rsidR="00DD5D9D" w:rsidRDefault="00DD5D9D" w:rsidP="00733BFD">
        <w:pPr>
          <w:pStyle w:val="Pta"/>
          <w:jc w:val="right"/>
        </w:pPr>
        <w:r>
          <w:fldChar w:fldCharType="begin"/>
        </w:r>
        <w:r>
          <w:instrText>PAGE   \* MERGEFORMAT</w:instrText>
        </w:r>
        <w:r>
          <w:fldChar w:fldCharType="separate"/>
        </w:r>
        <w:r w:rsidR="005C3034">
          <w:rPr>
            <w:noProof/>
          </w:rPr>
          <w:t>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359340"/>
      <w:docPartObj>
        <w:docPartGallery w:val="Page Numbers (Bottom of Page)"/>
        <w:docPartUnique/>
      </w:docPartObj>
    </w:sdtPr>
    <w:sdtEndPr/>
    <w:sdtContent>
      <w:p w14:paraId="287FD953" w14:textId="62A51878" w:rsidR="00DD5D9D" w:rsidRDefault="00DD5D9D" w:rsidP="00733BFD">
        <w:pPr>
          <w:pStyle w:val="Pta"/>
          <w:jc w:val="right"/>
        </w:pPr>
        <w:r>
          <w:fldChar w:fldCharType="begin"/>
        </w:r>
        <w:r>
          <w:instrText>PAGE   \* MERGEFORMAT</w:instrText>
        </w:r>
        <w:r>
          <w:fldChar w:fldCharType="separate"/>
        </w:r>
        <w:r w:rsidR="005C3034">
          <w:rPr>
            <w:noProof/>
          </w:rPr>
          <w:t>57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B816D" w14:textId="77777777" w:rsidR="009A3EC9" w:rsidRDefault="009A3EC9" w:rsidP="004F10D0">
      <w:pPr>
        <w:spacing w:after="0" w:line="240" w:lineRule="auto"/>
      </w:pPr>
      <w:r>
        <w:separator/>
      </w:r>
    </w:p>
  </w:footnote>
  <w:footnote w:type="continuationSeparator" w:id="0">
    <w:p w14:paraId="3197E2E4" w14:textId="77777777" w:rsidR="009A3EC9" w:rsidRDefault="009A3EC9" w:rsidP="004F10D0">
      <w:pPr>
        <w:spacing w:after="0" w:line="240" w:lineRule="auto"/>
      </w:pPr>
      <w:r>
        <w:continuationSeparator/>
      </w:r>
    </w:p>
  </w:footnote>
  <w:footnote w:id="1">
    <w:p w14:paraId="496D5807" w14:textId="2A1E7DE0" w:rsidR="00DD5D9D" w:rsidRDefault="00DD5D9D">
      <w:pPr>
        <w:pStyle w:val="Textpoznmkypodiarou"/>
      </w:pPr>
      <w:r>
        <w:rPr>
          <w:rStyle w:val="Odkaznapoznmkupodiarou"/>
        </w:rPr>
        <w:footnoteRef/>
      </w:r>
      <w:r>
        <w:t xml:space="preserve"> HICP – index spotrebiteľských cien harmonizovaný v rámci krajín EÚ za účelom medzinárodného porovnania. Zdroj: Eurostat.</w:t>
      </w:r>
    </w:p>
  </w:footnote>
  <w:footnote w:id="2">
    <w:p w14:paraId="55B3BB5D" w14:textId="77777777" w:rsidR="00DD5D9D" w:rsidRDefault="00DD5D9D" w:rsidP="00CC7863">
      <w:pPr>
        <w:pStyle w:val="Textpoznmkypodiarou"/>
      </w:pPr>
      <w:r>
        <w:rPr>
          <w:rStyle w:val="Odkaznapoznmkupodiarou"/>
        </w:rPr>
        <w:footnoteRef/>
      </w:r>
      <w:r>
        <w:t xml:space="preserve"> T. j. na základe výsledkov, ktoré </w:t>
      </w:r>
      <w:r w:rsidRPr="00E51868">
        <w:t>sa v metodike ESA 2010 za predchádzajúci rok predkladajú Eurost</w:t>
      </w:r>
      <w:r>
        <w:t>atu do 1. apríla bežného roka.</w:t>
      </w:r>
      <w:r w:rsidRPr="00E51868">
        <w:t xml:space="preserve"> Dôvodom je nevyhnutnosť vykonania auditov finančných výkazov a získanie definitívnych údajov o časovom rozlíšení daní a poistných odvodov predovšetkým zo strany FR SR, Sociálnej poisťovne a zdravotných poisťovní.</w:t>
      </w:r>
    </w:p>
  </w:footnote>
  <w:footnote w:id="3">
    <w:p w14:paraId="320F547A" w14:textId="54B7FEE1" w:rsidR="00DD5D9D" w:rsidRDefault="00DD5D9D" w:rsidP="009871BC">
      <w:pPr>
        <w:pStyle w:val="Textpoznmkypodiarou"/>
      </w:pPr>
      <w:r>
        <w:rPr>
          <w:rStyle w:val="Odkaznapoznmkupodiarou"/>
        </w:rPr>
        <w:footnoteRef/>
      </w:r>
      <w:r>
        <w:t xml:space="preserve"> </w:t>
      </w:r>
      <w:r w:rsidRPr="005D4478">
        <w:t>Solidárny príspevok z činností v odvetviach ropy, zemného plynu, uhlia a rafinérií  je nová položka v rámci daňovo</w:t>
      </w:r>
      <w:r>
        <w:t>-</w:t>
      </w:r>
      <w:r w:rsidRPr="005D4478">
        <w:t xml:space="preserve">odvodových príjmov. </w:t>
      </w:r>
      <w:r>
        <w:t>V</w:t>
      </w:r>
      <w:r w:rsidRPr="005D4478">
        <w:t xml:space="preserve">znikol </w:t>
      </w:r>
      <w:r>
        <w:t>implementáciou nariadenia Rady EÚ 2022/1854 zo 6. októbra 2022.</w:t>
      </w:r>
    </w:p>
  </w:footnote>
  <w:footnote w:id="4">
    <w:p w14:paraId="601C47A9" w14:textId="77777777" w:rsidR="00DD5D9D" w:rsidRDefault="00DD5D9D" w:rsidP="004368CE">
      <w:pPr>
        <w:pStyle w:val="Textpoznmkypodiarou"/>
      </w:pPr>
      <w:r>
        <w:rPr>
          <w:rStyle w:val="Odkaznapoznmkupodiarou"/>
        </w:rPr>
        <w:footnoteRef/>
      </w:r>
      <w:r>
        <w:t xml:space="preserve"> IFP. Aktuálna prognóza vybraných príjmov a výdavkov na roky 2022 – 2026. [</w:t>
      </w:r>
      <w:hyperlink r:id="rId1" w:history="1">
        <w:r w:rsidRPr="00E03362">
          <w:rPr>
            <w:rStyle w:val="Hypertextovprepojenie"/>
            <w:sz w:val="16"/>
          </w:rPr>
          <w:t>online</w:t>
        </w:r>
      </w:hyperlink>
      <w:r>
        <w:t>].</w:t>
      </w:r>
    </w:p>
  </w:footnote>
  <w:footnote w:id="5">
    <w:p w14:paraId="37F60A24" w14:textId="4881D69C" w:rsidR="00DD5D9D" w:rsidRDefault="00DD5D9D" w:rsidP="004368CE">
      <w:pPr>
        <w:pStyle w:val="Textpoznmkypodiarou"/>
      </w:pPr>
      <w:r>
        <w:rPr>
          <w:rStyle w:val="Odkaznapoznmkupodiarou"/>
        </w:rPr>
        <w:footnoteRef/>
      </w:r>
      <w:r>
        <w:t xml:space="preserve"> </w:t>
      </w:r>
      <w:r w:rsidRPr="0049610F">
        <w:t>Na platby v hotovosti sa podľa platnej legislatívy nevzťahuje zákaz v čase krízovej situácie, vojny, vojnového stavu, výnimočného stavu, núdzového stavu a mimoriadnej situácie.</w:t>
      </w:r>
      <w:r>
        <w:t xml:space="preserve"> [</w:t>
      </w:r>
      <w:hyperlink r:id="rId2" w:history="1">
        <w:r w:rsidRPr="0049610F">
          <w:rPr>
            <w:rStyle w:val="Hypertextovprepojenie"/>
            <w:sz w:val="16"/>
          </w:rPr>
          <w:t>online</w:t>
        </w:r>
      </w:hyperlink>
      <w:r>
        <w:t xml:space="preserve">]. </w:t>
      </w:r>
      <w:r w:rsidRPr="00DC6552">
        <w:t>Mimoriadna situácia, ktorá bola vyhlásená v marci 2020 z dôvodu pandémie COVID-19 na území SR</w:t>
      </w:r>
      <w:r>
        <w:t>,</w:t>
      </w:r>
      <w:r w:rsidRPr="00DC6552">
        <w:t xml:space="preserve"> trvala aj v roku 2022.</w:t>
      </w:r>
    </w:p>
  </w:footnote>
  <w:footnote w:id="6">
    <w:p w14:paraId="382FB370" w14:textId="77777777" w:rsidR="00DD5D9D" w:rsidRDefault="00DD5D9D" w:rsidP="009871BC">
      <w:pPr>
        <w:pStyle w:val="Textpoznmkypodiarou"/>
      </w:pPr>
      <w:r>
        <w:rPr>
          <w:rStyle w:val="Odkaznapoznmkupodiarou"/>
        </w:rPr>
        <w:footnoteRef/>
      </w:r>
      <w:r>
        <w:t xml:space="preserve"> Dodatok č. 1 ku KZVS pre zamestnávateľov, ktorí pri odmeňovaní postupujú podľa zákona č. 553/2003 Z. z. o odmeňovaní niektorých zamestnancov pri výkone práce vo verejnom záujme na rok 2022. [</w:t>
      </w:r>
      <w:hyperlink r:id="rId3" w:history="1">
        <w:r w:rsidRPr="00E80068">
          <w:rPr>
            <w:rStyle w:val="Hypertextovprepojenie"/>
            <w:sz w:val="16"/>
          </w:rPr>
          <w:t>online</w:t>
        </w:r>
      </w:hyperlink>
      <w:r>
        <w:t xml:space="preserve">]. </w:t>
      </w:r>
    </w:p>
  </w:footnote>
  <w:footnote w:id="7">
    <w:p w14:paraId="604451F1" w14:textId="77777777" w:rsidR="00DD5D9D" w:rsidRPr="00C60492" w:rsidRDefault="00DD5D9D" w:rsidP="0035229D">
      <w:pPr>
        <w:pStyle w:val="Textpoznmkypodiarou"/>
        <w:rPr>
          <w:lang w:val="en-US"/>
        </w:rPr>
      </w:pPr>
      <w:r>
        <w:rPr>
          <w:rStyle w:val="Odkaznapoznmkupodiarou"/>
        </w:rPr>
        <w:footnoteRef/>
      </w:r>
      <w:r>
        <w:t xml:space="preserve"> </w:t>
      </w:r>
      <w:proofErr w:type="spellStart"/>
      <w:r w:rsidRPr="002F254B">
        <w:t>Debt</w:t>
      </w:r>
      <w:proofErr w:type="spellEnd"/>
      <w:r w:rsidRPr="002F254B">
        <w:t xml:space="preserve"> </w:t>
      </w:r>
      <w:proofErr w:type="spellStart"/>
      <w:r w:rsidRPr="002F254B">
        <w:t>Sustainability</w:t>
      </w:r>
      <w:proofErr w:type="spellEnd"/>
      <w:r w:rsidRPr="002F254B">
        <w:t xml:space="preserve"> Monitor 2022</w:t>
      </w:r>
      <w:r>
        <w:t xml:space="preserve">. </w:t>
      </w:r>
      <w:hyperlink r:id="rId4" w:history="1">
        <w:r w:rsidRPr="002F254B">
          <w:rPr>
            <w:rStyle w:val="Hypertextovprepojenie"/>
            <w:sz w:val="16"/>
          </w:rPr>
          <w:t>[online]</w:t>
        </w:r>
      </w:hyperlink>
      <w:r>
        <w:t>.</w:t>
      </w:r>
    </w:p>
  </w:footnote>
  <w:footnote w:id="8">
    <w:p w14:paraId="559FD062" w14:textId="77777777" w:rsidR="00DD5D9D" w:rsidRDefault="00DD5D9D" w:rsidP="00720E6F">
      <w:pPr>
        <w:pStyle w:val="Textpoznmkypodiarou"/>
      </w:pPr>
      <w:r>
        <w:rPr>
          <w:rStyle w:val="Odkaznapoznmkupodiarou"/>
        </w:rPr>
        <w:footnoteRef/>
      </w:r>
      <w:r>
        <w:t xml:space="preserve"> V</w:t>
      </w:r>
      <w:r w:rsidRPr="00350588">
        <w:t xml:space="preserve"> súlade s ustanovením § 29 ods. 2 písm. c) zákona o rozpočtových pravidlách VS</w:t>
      </w:r>
      <w:r>
        <w:t>.</w:t>
      </w:r>
    </w:p>
  </w:footnote>
  <w:footnote w:id="9">
    <w:p w14:paraId="42E3B18A" w14:textId="4A071984" w:rsidR="00DD5D9D" w:rsidRPr="00D715AF" w:rsidRDefault="00DD5D9D" w:rsidP="006F5D6F">
      <w:pPr>
        <w:spacing w:after="0" w:line="240" w:lineRule="auto"/>
        <w:rPr>
          <w:sz w:val="24"/>
          <w:szCs w:val="24"/>
        </w:rPr>
      </w:pPr>
      <w:r w:rsidRPr="00CD3118">
        <w:rPr>
          <w:rStyle w:val="Odkaznapoznmkupodiarou"/>
          <w:sz w:val="16"/>
          <w:szCs w:val="16"/>
        </w:rPr>
        <w:footnoteRef/>
      </w:r>
      <w:r>
        <w:t xml:space="preserve"> </w:t>
      </w:r>
      <w:r w:rsidRPr="00CD3118">
        <w:rPr>
          <w:rFonts w:cs="Segoe UI"/>
          <w:sz w:val="16"/>
          <w:szCs w:val="16"/>
          <w:shd w:val="clear" w:color="auto" w:fill="FFFFFF" w:themeFill="background1"/>
        </w:rPr>
        <w:t>Podstatné zmeny v upravenom rozpočte vznikli v dôsledku realizácie § 8 zákona o rozpočtových pravidlách. V zmysle uvedeného paragrafu môže MF SR na konci bežného rozpočtového roka viazať výdavky. O sumu viazaných prostriedkov môže MF SR povoliť prekročenie limitu výdavkov v nasledujúcom rozpočtovom roku.</w:t>
      </w:r>
      <w:r w:rsidRPr="00D715AF">
        <w:rPr>
          <w:sz w:val="24"/>
          <w:szCs w:val="24"/>
        </w:rPr>
        <w:t xml:space="preserve"> </w:t>
      </w:r>
      <w:r w:rsidRPr="00E67A78">
        <w:rPr>
          <w:rFonts w:cs="Segoe UI"/>
          <w:sz w:val="16"/>
          <w:szCs w:val="16"/>
        </w:rPr>
        <w:t>V roku 2022 sa podľa § 8 zákona o rozpočtových pravidlách zaviazali výdavky z P</w:t>
      </w:r>
      <w:r>
        <w:rPr>
          <w:rFonts w:cs="Segoe UI"/>
          <w:sz w:val="16"/>
          <w:szCs w:val="16"/>
        </w:rPr>
        <w:t>OO</w:t>
      </w:r>
      <w:r w:rsidRPr="00E67A78">
        <w:rPr>
          <w:rFonts w:cs="Segoe UI"/>
          <w:sz w:val="16"/>
          <w:szCs w:val="16"/>
        </w:rPr>
        <w:t xml:space="preserve"> v sume 1</w:t>
      </w:r>
      <w:r>
        <w:rPr>
          <w:rFonts w:cs="Segoe UI"/>
          <w:sz w:val="16"/>
          <w:szCs w:val="16"/>
        </w:rPr>
        <w:t>,4 mld</w:t>
      </w:r>
      <w:r w:rsidRPr="00E67A78">
        <w:rPr>
          <w:rFonts w:cs="Segoe UI"/>
          <w:sz w:val="16"/>
          <w:szCs w:val="16"/>
        </w:rPr>
        <w:t>. eur</w:t>
      </w:r>
      <w:r>
        <w:rPr>
          <w:rFonts w:cs="Segoe UI"/>
          <w:sz w:val="16"/>
          <w:szCs w:val="16"/>
        </w:rPr>
        <w:t>.</w:t>
      </w:r>
    </w:p>
    <w:p w14:paraId="341ED832" w14:textId="77777777" w:rsidR="00DD5D9D" w:rsidRDefault="00DD5D9D" w:rsidP="006F5D6F">
      <w:pPr>
        <w:pStyle w:val="Textpoznmkypodiarou"/>
      </w:pPr>
    </w:p>
  </w:footnote>
  <w:footnote w:id="10">
    <w:p w14:paraId="1C8727BB" w14:textId="6216CB62" w:rsidR="00DD5D9D" w:rsidRDefault="00DD5D9D" w:rsidP="0035229D">
      <w:r w:rsidRPr="002C4827">
        <w:rPr>
          <w:rFonts w:cs="Segoe UI"/>
          <w:sz w:val="16"/>
          <w:szCs w:val="16"/>
          <w:shd w:val="clear" w:color="auto" w:fill="FFFFFF" w:themeFill="background1"/>
        </w:rPr>
        <w:footnoteRef/>
      </w:r>
      <w:r w:rsidRPr="002C4827">
        <w:rPr>
          <w:rFonts w:cs="Segoe UI"/>
          <w:sz w:val="16"/>
          <w:szCs w:val="16"/>
          <w:shd w:val="clear" w:color="auto" w:fill="FFFFFF" w:themeFill="background1"/>
        </w:rPr>
        <w:t xml:space="preserve"> Výšku rozpočtových rezerv na rok 2022 schválila NR SR zákonom č. 534/2021 Z. z. o ŠR  na rok 2022 v znení zákona č. 357/2022 Z. z. </w:t>
      </w:r>
    </w:p>
  </w:footnote>
  <w:footnote w:id="11">
    <w:p w14:paraId="52C962F2" w14:textId="344CF9B8" w:rsidR="00DD5D9D" w:rsidRDefault="00DD5D9D" w:rsidP="00F7371D">
      <w:pPr>
        <w:pStyle w:val="Textpoznmkypodiarou"/>
      </w:pPr>
      <w:r>
        <w:rPr>
          <w:rStyle w:val="Odkaznapoznmkupodiarou"/>
        </w:rPr>
        <w:footnoteRef/>
      </w:r>
      <w:r>
        <w:t xml:space="preserve"> </w:t>
      </w:r>
      <w:r w:rsidRPr="00D56C81">
        <w:t>MDV SR, MF SR, MH SR, MIRRI SR, MK SR, MO SR, MPRV SR, MPSVR SR, MS SR, MŠVV</w:t>
      </w:r>
      <w:r>
        <w:t>a</w:t>
      </w:r>
      <w:r w:rsidRPr="00D56C81">
        <w:t>Š SR, MV SR, MZV SR, MŽP SR</w:t>
      </w:r>
      <w:r>
        <w:t>.</w:t>
      </w:r>
    </w:p>
  </w:footnote>
  <w:footnote w:id="12">
    <w:p w14:paraId="6BF7513B" w14:textId="6C9225CB" w:rsidR="00DD5D9D" w:rsidRDefault="00DD5D9D" w:rsidP="009F35EA">
      <w:pPr>
        <w:pStyle w:val="Textpoznmkypodiarou"/>
      </w:pPr>
      <w:r>
        <w:rPr>
          <w:rStyle w:val="Odkaznapoznmkupodiarou"/>
        </w:rPr>
        <w:footnoteRef/>
      </w:r>
      <w:r>
        <w:t xml:space="preserve"> </w:t>
      </w:r>
      <w:r w:rsidRPr="005E2A92">
        <w:t>Kapitoly môžu realizovať investície a projekty investičného charakteru s predpokladanými celkovými výdavkami vyššími ako 1</w:t>
      </w:r>
      <w:r>
        <w:t> </w:t>
      </w:r>
      <w:r w:rsidRPr="005E2A92">
        <w:t>mil.  eur s DPH až po ekonomickom hodnotení ÚHP MF SR.</w:t>
      </w:r>
    </w:p>
  </w:footnote>
  <w:footnote w:id="13">
    <w:p w14:paraId="12E5CD8F" w14:textId="77777777" w:rsidR="00DD5D9D" w:rsidRPr="00D352EE" w:rsidRDefault="00DD5D9D" w:rsidP="00F7371D">
      <w:pPr>
        <w:pStyle w:val="Textpoznmkypodiarou"/>
        <w:rPr>
          <w:szCs w:val="16"/>
        </w:rPr>
      </w:pPr>
      <w:r w:rsidRPr="00D352EE">
        <w:rPr>
          <w:rStyle w:val="Odkaznapoznmkupodiarou"/>
          <w:szCs w:val="16"/>
        </w:rPr>
        <w:footnoteRef/>
      </w:r>
      <w:r w:rsidRPr="00D352EE">
        <w:rPr>
          <w:szCs w:val="16"/>
        </w:rPr>
        <w:t xml:space="preserve"> Ako príklad úspešného riešenia má NKÚ SR na základe komunikácie s MO Nórska a OS Nórska (</w:t>
      </w:r>
      <w:proofErr w:type="spellStart"/>
      <w:r w:rsidRPr="00D352EE">
        <w:rPr>
          <w:szCs w:val="16"/>
        </w:rPr>
        <w:t>Norwegian</w:t>
      </w:r>
      <w:proofErr w:type="spellEnd"/>
      <w:r w:rsidRPr="00D352EE">
        <w:rPr>
          <w:szCs w:val="16"/>
        </w:rPr>
        <w:t xml:space="preserve"> </w:t>
      </w:r>
      <w:proofErr w:type="spellStart"/>
      <w:r w:rsidRPr="00D352EE">
        <w:rPr>
          <w:szCs w:val="16"/>
        </w:rPr>
        <w:t>Defence</w:t>
      </w:r>
      <w:proofErr w:type="spellEnd"/>
      <w:r w:rsidRPr="00D352EE">
        <w:rPr>
          <w:szCs w:val="16"/>
        </w:rPr>
        <w:t xml:space="preserve"> </w:t>
      </w:r>
      <w:proofErr w:type="spellStart"/>
      <w:r w:rsidRPr="00D352EE">
        <w:rPr>
          <w:szCs w:val="16"/>
        </w:rPr>
        <w:t>Materiel</w:t>
      </w:r>
      <w:proofErr w:type="spellEnd"/>
      <w:r w:rsidRPr="00D352EE">
        <w:rPr>
          <w:szCs w:val="16"/>
        </w:rPr>
        <w:t xml:space="preserve"> </w:t>
      </w:r>
      <w:proofErr w:type="spellStart"/>
      <w:r w:rsidRPr="00D352EE">
        <w:rPr>
          <w:szCs w:val="16"/>
        </w:rPr>
        <w:t>Agency</w:t>
      </w:r>
      <w:proofErr w:type="spellEnd"/>
      <w:r w:rsidRPr="00D352EE">
        <w:rPr>
          <w:szCs w:val="16"/>
        </w:rPr>
        <w:t xml:space="preserve">) k dispozícii regulačný predpis Nórskeho kráľovstva. Regulačný predpis Českej republiky je dostupný na webovej stránke Ministerstva </w:t>
      </w:r>
      <w:proofErr w:type="spellStart"/>
      <w:r w:rsidRPr="00D352EE">
        <w:rPr>
          <w:szCs w:val="16"/>
        </w:rPr>
        <w:t>průmyslu</w:t>
      </w:r>
      <w:proofErr w:type="spellEnd"/>
      <w:r w:rsidRPr="00D352EE">
        <w:rPr>
          <w:szCs w:val="16"/>
        </w:rPr>
        <w:t xml:space="preserve"> a obchodu. </w:t>
      </w:r>
      <w:r w:rsidRPr="00D352EE">
        <w:rPr>
          <w:rFonts w:cs="Segoe UI"/>
          <w:szCs w:val="16"/>
        </w:rPr>
        <w:t>[</w:t>
      </w:r>
      <w:hyperlink r:id="rId5" w:history="1">
        <w:r w:rsidRPr="00D352EE">
          <w:rPr>
            <w:rStyle w:val="Hypertextovprepojenie"/>
            <w:rFonts w:cs="Segoe UI"/>
            <w:sz w:val="16"/>
            <w:szCs w:val="16"/>
          </w:rPr>
          <w:t>online</w:t>
        </w:r>
      </w:hyperlink>
      <w:r w:rsidRPr="00D352EE">
        <w:rPr>
          <w:rFonts w:cs="Segoe UI"/>
          <w:szCs w:val="16"/>
        </w:rPr>
        <w:t>].</w:t>
      </w:r>
    </w:p>
  </w:footnote>
  <w:footnote w:id="14">
    <w:p w14:paraId="26486B02" w14:textId="77777777" w:rsidR="00DD5D9D" w:rsidRPr="00D352EE" w:rsidRDefault="00DD5D9D" w:rsidP="00ED6810">
      <w:pPr>
        <w:pStyle w:val="Textpoznmkypodiarou"/>
        <w:rPr>
          <w:szCs w:val="16"/>
        </w:rPr>
      </w:pPr>
      <w:r w:rsidRPr="00D352EE">
        <w:rPr>
          <w:rStyle w:val="Odkaznapoznmkupodiarou"/>
          <w:szCs w:val="16"/>
        </w:rPr>
        <w:footnoteRef/>
      </w:r>
      <w:r w:rsidRPr="00D352EE">
        <w:rPr>
          <w:szCs w:val="16"/>
        </w:rPr>
        <w:t xml:space="preserve"> NKÚ SR – Nákup lietadiel F-16. Jún 2021. [</w:t>
      </w:r>
      <w:hyperlink r:id="rId6" w:history="1">
        <w:r w:rsidRPr="00D352EE">
          <w:rPr>
            <w:rStyle w:val="Hypertextovprepojenie"/>
            <w:sz w:val="16"/>
            <w:szCs w:val="16"/>
          </w:rPr>
          <w:t>online</w:t>
        </w:r>
      </w:hyperlink>
      <w:r w:rsidRPr="00D352EE">
        <w:rPr>
          <w:szCs w:val="16"/>
        </w:rPr>
        <w:t>].</w:t>
      </w:r>
    </w:p>
  </w:footnote>
  <w:footnote w:id="15">
    <w:p w14:paraId="433DF7A1" w14:textId="77777777" w:rsidR="00DD5D9D" w:rsidRPr="00D352EE" w:rsidRDefault="00DD5D9D" w:rsidP="00ED6810">
      <w:pPr>
        <w:pStyle w:val="Textpoznmkypodiarou"/>
        <w:rPr>
          <w:szCs w:val="16"/>
        </w:rPr>
      </w:pPr>
      <w:r w:rsidRPr="00D352EE">
        <w:rPr>
          <w:rStyle w:val="Odkaznapoznmkupodiarou"/>
          <w:szCs w:val="16"/>
        </w:rPr>
        <w:footnoteRef/>
      </w:r>
      <w:r w:rsidRPr="00D352EE">
        <w:rPr>
          <w:szCs w:val="16"/>
        </w:rPr>
        <w:t xml:space="preserve"> Kompenzačné programy sú programy priemyselnej spolupráce, ktorými vláda ako obstarávateľ vojenskej techniky a služieb získava kompenzáciu za vynaložené peniaze. Podrobnejší popis v analytickom komentári NKÚ SR k nákupu F-16. </w:t>
      </w:r>
      <w:r w:rsidRPr="00D352EE">
        <w:rPr>
          <w:szCs w:val="16"/>
          <w:lang w:val="en-US"/>
        </w:rPr>
        <w:t>[</w:t>
      </w:r>
      <w:hyperlink r:id="rId7" w:history="1">
        <w:r w:rsidRPr="00D352EE">
          <w:rPr>
            <w:rStyle w:val="Hypertextovprepojenie"/>
            <w:sz w:val="16"/>
            <w:szCs w:val="16"/>
          </w:rPr>
          <w:t>online]</w:t>
        </w:r>
      </w:hyperlink>
      <w:r w:rsidRPr="00D352EE">
        <w:rPr>
          <w:rStyle w:val="Hypertextovprepojenie"/>
          <w:sz w:val="16"/>
          <w:szCs w:val="16"/>
        </w:rPr>
        <w:t>.</w:t>
      </w:r>
    </w:p>
  </w:footnote>
  <w:footnote w:id="16">
    <w:p w14:paraId="3B51B567" w14:textId="77777777" w:rsidR="00DD5D9D" w:rsidRPr="00D352EE" w:rsidRDefault="00DD5D9D" w:rsidP="00ED6810">
      <w:pPr>
        <w:pStyle w:val="Textpoznmkypodiarou"/>
        <w:rPr>
          <w:szCs w:val="16"/>
        </w:rPr>
      </w:pPr>
      <w:r w:rsidRPr="00D352EE">
        <w:rPr>
          <w:rStyle w:val="Odkaznapoznmkupodiarou"/>
          <w:szCs w:val="16"/>
        </w:rPr>
        <w:footnoteRef/>
      </w:r>
      <w:r w:rsidRPr="00D352EE">
        <w:rPr>
          <w:szCs w:val="16"/>
        </w:rPr>
        <w:t xml:space="preserve"> Dňa 30. 8. 2022 podpísaná G2G zmluva s Fínskom na 76 ks BOV Patria AMVXP 8x8 v celkovej hodnote 404 mil. eur s DPH. [</w:t>
      </w:r>
      <w:hyperlink r:id="rId8" w:history="1">
        <w:r w:rsidRPr="00D352EE">
          <w:rPr>
            <w:rStyle w:val="Hypertextovprepojenie"/>
            <w:sz w:val="16"/>
            <w:szCs w:val="16"/>
          </w:rPr>
          <w:t>online</w:t>
        </w:r>
      </w:hyperlink>
      <w:r w:rsidRPr="00D352EE">
        <w:rPr>
          <w:szCs w:val="16"/>
        </w:rPr>
        <w:t>].</w:t>
      </w:r>
    </w:p>
  </w:footnote>
  <w:footnote w:id="17">
    <w:p w14:paraId="48A9090F" w14:textId="77777777" w:rsidR="00DD5D9D" w:rsidRPr="00D352EE" w:rsidRDefault="00DD5D9D" w:rsidP="00ED6810">
      <w:pPr>
        <w:pStyle w:val="Textpoznmkypodiarou"/>
        <w:rPr>
          <w:szCs w:val="16"/>
        </w:rPr>
      </w:pPr>
      <w:r w:rsidRPr="00D352EE">
        <w:rPr>
          <w:rStyle w:val="Odkaznapoznmkupodiarou"/>
          <w:szCs w:val="16"/>
        </w:rPr>
        <w:footnoteRef/>
      </w:r>
      <w:r w:rsidRPr="00D352EE">
        <w:rPr>
          <w:szCs w:val="16"/>
        </w:rPr>
        <w:t xml:space="preserve"> Dňa 12. 12. 2022 podpísaná G2G zmluva so Švédskom na 152 ks PBOV CV90 v celkovej hodnote 1 689 mil. eur s DPH. [</w:t>
      </w:r>
      <w:hyperlink r:id="rId9" w:history="1">
        <w:r w:rsidRPr="00D352EE">
          <w:rPr>
            <w:rStyle w:val="Hypertextovprepojenie"/>
            <w:sz w:val="16"/>
            <w:szCs w:val="16"/>
          </w:rPr>
          <w:t>online</w:t>
        </w:r>
      </w:hyperlink>
      <w:r w:rsidRPr="00D352EE">
        <w:rPr>
          <w:szCs w:val="16"/>
        </w:rPr>
        <w:t>].</w:t>
      </w:r>
    </w:p>
  </w:footnote>
  <w:footnote w:id="18">
    <w:p w14:paraId="17CD59B8" w14:textId="77777777" w:rsidR="00DD5D9D" w:rsidRPr="00D352EE" w:rsidRDefault="00DD5D9D" w:rsidP="00ED6810">
      <w:pPr>
        <w:pStyle w:val="Textpoznmkypodiarou"/>
        <w:rPr>
          <w:szCs w:val="16"/>
        </w:rPr>
      </w:pPr>
      <w:r w:rsidRPr="00D352EE">
        <w:rPr>
          <w:rStyle w:val="Odkaznapoznmkupodiarou"/>
          <w:szCs w:val="16"/>
        </w:rPr>
        <w:footnoteRef/>
      </w:r>
      <w:r w:rsidRPr="00D352EE">
        <w:rPr>
          <w:szCs w:val="16"/>
        </w:rPr>
        <w:t xml:space="preserve"> MO SR na základe vyžiadania NKÚ SR potvrdilo, že slovenský legislatívny regulačný rámec (zákony, predpisy, vyhlášky, opatrenia, smernice a pod.) pre kompenzačné programy v súčasnosti neexistuje. Preto NKÚ SR v súčasnosti nemôže metodicky na základe platnej legislatívy a dostupných údajov kvantifikovať a overovať výšku kompenzačných programov.</w:t>
      </w:r>
    </w:p>
  </w:footnote>
  <w:footnote w:id="19">
    <w:p w14:paraId="3BF7B672" w14:textId="77777777" w:rsidR="00DD5D9D" w:rsidRPr="00D352EE" w:rsidRDefault="00DD5D9D" w:rsidP="00ED6810">
      <w:pPr>
        <w:pStyle w:val="Textpoznmkypodiarou"/>
        <w:rPr>
          <w:szCs w:val="16"/>
        </w:rPr>
      </w:pPr>
      <w:r w:rsidRPr="00D352EE">
        <w:rPr>
          <w:rStyle w:val="Odkaznapoznmkupodiarou"/>
          <w:szCs w:val="16"/>
        </w:rPr>
        <w:footnoteRef/>
      </w:r>
      <w:r w:rsidRPr="00D352EE">
        <w:rPr>
          <w:szCs w:val="16"/>
        </w:rPr>
        <w:t xml:space="preserve"> Schválený Dlhodobý plán rozvoja rezortu MO SR s výhľadom do roku 2035. </w:t>
      </w:r>
      <w:r w:rsidRPr="00D352EE">
        <w:rPr>
          <w:rFonts w:cs="Segoe UI"/>
          <w:szCs w:val="16"/>
        </w:rPr>
        <w:t>[</w:t>
      </w:r>
      <w:hyperlink r:id="rId10" w:history="1">
        <w:r w:rsidRPr="00D352EE">
          <w:rPr>
            <w:rStyle w:val="Hypertextovprepojenie"/>
            <w:rFonts w:cs="Segoe UI"/>
            <w:sz w:val="16"/>
            <w:szCs w:val="16"/>
          </w:rPr>
          <w:t>online</w:t>
        </w:r>
      </w:hyperlink>
      <w:r w:rsidRPr="00D352EE">
        <w:rPr>
          <w:rFonts w:cs="Segoe UI"/>
          <w:szCs w:val="16"/>
        </w:rPr>
        <w:t>].</w:t>
      </w:r>
    </w:p>
  </w:footnote>
  <w:footnote w:id="20">
    <w:p w14:paraId="03DA22FE" w14:textId="1250BB85" w:rsidR="00DD5D9D" w:rsidRPr="00F8523D" w:rsidRDefault="00DD5D9D">
      <w:pPr>
        <w:pStyle w:val="Textpoznmkypodiarou"/>
        <w:rPr>
          <w:rFonts w:cs="Segoe UI"/>
        </w:rPr>
      </w:pPr>
      <w:r w:rsidRPr="00F8523D">
        <w:rPr>
          <w:rStyle w:val="Odkaznapoznmkupodiarou"/>
          <w:rFonts w:cs="Segoe UI"/>
        </w:rPr>
        <w:footnoteRef/>
      </w:r>
      <w:r w:rsidRPr="00F8523D">
        <w:rPr>
          <w:rFonts w:cs="Segoe UI"/>
        </w:rPr>
        <w:t xml:space="preserve"> NKÚ SR. Stanovisko NKÚ SR k návrhu štátneho rozpočtu SR na rok 2022. [</w:t>
      </w:r>
      <w:hyperlink r:id="rId11" w:history="1">
        <w:r w:rsidRPr="00F8523D">
          <w:rPr>
            <w:rStyle w:val="Hypertextovprepojenie"/>
            <w:rFonts w:cs="Segoe UI"/>
            <w:sz w:val="16"/>
          </w:rPr>
          <w:t>online</w:t>
        </w:r>
      </w:hyperlink>
      <w:r w:rsidRPr="00F8523D">
        <w:rPr>
          <w:rFonts w:cs="Segoe UI"/>
        </w:rPr>
        <w:t>]</w:t>
      </w:r>
    </w:p>
  </w:footnote>
  <w:footnote w:id="21">
    <w:p w14:paraId="62FD3462" w14:textId="6E6C8063" w:rsidR="00DD5D9D" w:rsidRPr="00F8523D" w:rsidRDefault="00DD5D9D" w:rsidP="00ED6810">
      <w:pPr>
        <w:pStyle w:val="Textpoznmkypodiarou"/>
        <w:jc w:val="left"/>
        <w:rPr>
          <w:rFonts w:cs="Segoe UI"/>
        </w:rPr>
      </w:pPr>
      <w:r w:rsidRPr="00F8523D">
        <w:rPr>
          <w:rStyle w:val="Odkaznapoznmkupodiarou"/>
          <w:rFonts w:cs="Segoe UI"/>
        </w:rPr>
        <w:footnoteRef/>
      </w:r>
      <w:r w:rsidRPr="00F8523D">
        <w:rPr>
          <w:rFonts w:cs="Segoe UI"/>
        </w:rPr>
        <w:t xml:space="preserve"> NKÚ SR. Správa o výsledku kontroly 2022. Systém programového rozpočtovania v štátnej správe. [</w:t>
      </w:r>
      <w:hyperlink r:id="rId12" w:history="1">
        <w:r w:rsidRPr="00F8523D">
          <w:rPr>
            <w:rStyle w:val="Hypertextovprepojenie"/>
            <w:rFonts w:cs="Segoe UI"/>
            <w:sz w:val="16"/>
          </w:rPr>
          <w:t>online</w:t>
        </w:r>
      </w:hyperlink>
      <w:r w:rsidRPr="00F8523D">
        <w:rPr>
          <w:rFonts w:cs="Segoe UI"/>
        </w:rPr>
        <w:t>].</w:t>
      </w:r>
    </w:p>
  </w:footnote>
  <w:footnote w:id="22">
    <w:p w14:paraId="46D94596" w14:textId="77777777" w:rsidR="00DD5D9D" w:rsidRDefault="00DD5D9D" w:rsidP="00C85414">
      <w:pPr>
        <w:pStyle w:val="Textpoznmkypodiarou"/>
      </w:pPr>
      <w:r>
        <w:rPr>
          <w:rStyle w:val="Odkaznapoznmkupodiarou"/>
        </w:rPr>
        <w:footnoteRef/>
      </w:r>
      <w:r>
        <w:t xml:space="preserve"> </w:t>
      </w:r>
      <w:r w:rsidRPr="00635449">
        <w:t xml:space="preserve">Smernica Európskeho parlamentu a Rady 2011/7/EÚ zo 16. </w:t>
      </w:r>
      <w:r>
        <w:t>2.</w:t>
      </w:r>
      <w:r w:rsidRPr="00635449">
        <w:t xml:space="preserve"> 2011 o boji proti oneskoreným platbám v obchodných transakciách</w:t>
      </w:r>
      <w:r>
        <w:t>.</w:t>
      </w:r>
    </w:p>
  </w:footnote>
  <w:footnote w:id="23">
    <w:p w14:paraId="3DED5B5D" w14:textId="18A23656" w:rsidR="00DD5D9D" w:rsidRDefault="00DD5D9D" w:rsidP="00757189">
      <w:pPr>
        <w:pStyle w:val="Textpoznmkypodiarou"/>
      </w:pPr>
      <w:r>
        <w:rPr>
          <w:rStyle w:val="Odkaznapoznmkupodiarou"/>
        </w:rPr>
        <w:footnoteRef/>
      </w:r>
      <w:r>
        <w:t xml:space="preserve"> Štyri najväčšie programy pokrývajú necelých 99 % a v ostatných programoch sa vyčerpalo súhrnne 1 % celkových výdavkov.</w:t>
      </w:r>
    </w:p>
  </w:footnote>
  <w:footnote w:id="24">
    <w:p w14:paraId="55D6DF84" w14:textId="4ACC8B2B" w:rsidR="00DD5D9D" w:rsidRDefault="00DD5D9D" w:rsidP="00757189">
      <w:pPr>
        <w:pStyle w:val="Textpoznmkypodiarou"/>
      </w:pPr>
      <w:r>
        <w:rPr>
          <w:rStyle w:val="Odkaznapoznmkupodiarou"/>
        </w:rPr>
        <w:footnoteRef/>
      </w:r>
      <w:r>
        <w:t xml:space="preserve"> Súčet výdavkov kapitoly MZ SR a výdavkov VZP po odpočítaní sumy poistného za poistencov štátu, ktorá je výdavkom kapitoly, no zároveň príjmom VZP.</w:t>
      </w:r>
    </w:p>
  </w:footnote>
  <w:footnote w:id="25">
    <w:p w14:paraId="67B920FC" w14:textId="77777777" w:rsidR="00DD5D9D" w:rsidRDefault="00DD5D9D" w:rsidP="00153B7B">
      <w:pPr>
        <w:pStyle w:val="Textpoznmkypodiarou"/>
      </w:pPr>
      <w:r>
        <w:rPr>
          <w:rStyle w:val="Odkaznapoznmkupodiarou"/>
        </w:rPr>
        <w:footnoteRef/>
      </w:r>
      <w:r>
        <w:t xml:space="preserve"> Ukazovateľ mesačnej nadúmrtnosti (</w:t>
      </w:r>
      <w:proofErr w:type="spellStart"/>
      <w:r w:rsidRPr="002D5B6D">
        <w:t>monthly</w:t>
      </w:r>
      <w:proofErr w:type="spellEnd"/>
      <w:r w:rsidRPr="002D5B6D">
        <w:t xml:space="preserve"> </w:t>
      </w:r>
      <w:proofErr w:type="spellStart"/>
      <w:r w:rsidRPr="002D5B6D">
        <w:t>excess</w:t>
      </w:r>
      <w:proofErr w:type="spellEnd"/>
      <w:r w:rsidRPr="002D5B6D">
        <w:t xml:space="preserve"> mortality </w:t>
      </w:r>
      <w:proofErr w:type="spellStart"/>
      <w:r w:rsidRPr="002D5B6D">
        <w:t>indicator</w:t>
      </w:r>
      <w:proofErr w:type="spellEnd"/>
      <w:r>
        <w:t>) vyjadruje v percentách, koľko úmrtí bolo v danom mesiaci v danej krajine zaznamenaných nad očakávaný počet, k referenčnému obdobiu 2016 – 2019.</w:t>
      </w:r>
    </w:p>
  </w:footnote>
  <w:footnote w:id="26">
    <w:p w14:paraId="64653E3B" w14:textId="585C33C6" w:rsidR="00DD5D9D" w:rsidRDefault="00DD5D9D" w:rsidP="00757189">
      <w:pPr>
        <w:pStyle w:val="Textpoznmkypodiarou"/>
      </w:pPr>
      <w:r>
        <w:rPr>
          <w:rStyle w:val="Odkaznapoznmkupodiarou"/>
        </w:rPr>
        <w:footnoteRef/>
      </w:r>
      <w:r>
        <w:t xml:space="preserve"> P</w:t>
      </w:r>
      <w:r w:rsidRPr="003F3CD2">
        <w:t>revažná väčšina z</w:t>
      </w:r>
      <w:r>
        <w:t> </w:t>
      </w:r>
      <w:r w:rsidRPr="003F3CD2">
        <w:t>nich</w:t>
      </w:r>
      <w:r>
        <w:t xml:space="preserve"> bola darovaná</w:t>
      </w:r>
      <w:r w:rsidRPr="003F3CD2">
        <w:t xml:space="preserve"> cez mechanizmus COVAX,</w:t>
      </w:r>
      <w:r>
        <w:t xml:space="preserve"> teda priamo od výrobcu krajine. Tieto dávky</w:t>
      </w:r>
      <w:r w:rsidRPr="003F3CD2">
        <w:t xml:space="preserve"> nevstupujú do počtu dávok dodaných </w:t>
      </w:r>
      <w:r>
        <w:t xml:space="preserve">do SR, čo je hlavný dôvod, prečo </w:t>
      </w:r>
      <w:r w:rsidRPr="00E23B94">
        <w:t xml:space="preserve">v tabuľke </w:t>
      </w:r>
      <w:r>
        <w:t>12 nesedí počet dodaných dávok so súčtom podaných, darovaných uskladnených a inak využitých.</w:t>
      </w:r>
    </w:p>
  </w:footnote>
  <w:footnote w:id="27">
    <w:p w14:paraId="1B113746" w14:textId="7B6E3681" w:rsidR="00DD5D9D" w:rsidRDefault="00DD5D9D" w:rsidP="00757189">
      <w:pPr>
        <w:pStyle w:val="Textpoznmkypodiarou"/>
      </w:pPr>
      <w:r>
        <w:rPr>
          <w:rStyle w:val="Odkaznapoznmkupodiarou"/>
        </w:rPr>
        <w:footnoteRef/>
      </w:r>
      <w:r>
        <w:t xml:space="preserve"> Podobná situácia je aj v niektorých ďalších výdavkoch, napríklad v 9/2022</w:t>
      </w:r>
      <w:r w:rsidRPr="00026785">
        <w:t xml:space="preserve"> bolo uvoľnených vy</w:t>
      </w:r>
      <w:r>
        <w:t xml:space="preserve">še 25 mil. eur na liek </w:t>
      </w:r>
      <w:proofErr w:type="spellStart"/>
      <w:r>
        <w:t>Lagevrio</w:t>
      </w:r>
      <w:proofErr w:type="spellEnd"/>
      <w:r>
        <w:t>.</w:t>
      </w:r>
    </w:p>
  </w:footnote>
  <w:footnote w:id="28">
    <w:p w14:paraId="7E824A19" w14:textId="35085878" w:rsidR="00DD5D9D" w:rsidRDefault="00DD5D9D" w:rsidP="00757189">
      <w:pPr>
        <w:pStyle w:val="Textpoznmkypodiarou"/>
      </w:pPr>
      <w:r>
        <w:rPr>
          <w:rStyle w:val="Odkaznapoznmkupodiarou"/>
        </w:rPr>
        <w:footnoteRef/>
      </w:r>
      <w:r>
        <w:t xml:space="preserve"> Niektoré z nich boli obstarané ešte v roku 2021, preto táto suma je mierne vyššia ako v grafe 16, ktorý uvádza len RO v 2022.</w:t>
      </w:r>
    </w:p>
  </w:footnote>
  <w:footnote w:id="29">
    <w:p w14:paraId="5C12E758" w14:textId="77777777" w:rsidR="00DD5D9D" w:rsidRDefault="00DD5D9D" w:rsidP="000C05D2">
      <w:pPr>
        <w:pStyle w:val="Textpoznmkypodiarou"/>
      </w:pPr>
      <w:r>
        <w:rPr>
          <w:rStyle w:val="Odkaznapoznmkupodiarou"/>
        </w:rPr>
        <w:footnoteRef/>
      </w:r>
      <w:r>
        <w:t xml:space="preserve"> </w:t>
      </w:r>
      <w:hyperlink r:id="rId13" w:history="1">
        <w:r w:rsidRPr="00A62649">
          <w:rPr>
            <w:rStyle w:val="Hypertextovprepojenie"/>
            <w:sz w:val="16"/>
          </w:rPr>
          <w:t>https://www.politico.eu/article/eastern-europe-coronavirus-vaccine-commission/</w:t>
        </w:r>
      </w:hyperlink>
      <w:r>
        <w:t xml:space="preserve"> </w:t>
      </w:r>
    </w:p>
  </w:footnote>
  <w:footnote w:id="30">
    <w:p w14:paraId="56BDF2B3" w14:textId="15B18905" w:rsidR="00DD5D9D" w:rsidRDefault="00DD5D9D" w:rsidP="00757189">
      <w:pPr>
        <w:pStyle w:val="Textpoznmkypodiarou"/>
      </w:pPr>
      <w:r>
        <w:rPr>
          <w:rStyle w:val="Odkaznapoznmkupodiarou"/>
        </w:rPr>
        <w:footnoteRef/>
      </w:r>
      <w:r>
        <w:t xml:space="preserve"> </w:t>
      </w:r>
      <w:r w:rsidRPr="001244BE">
        <w:rPr>
          <w:szCs w:val="16"/>
        </w:rPr>
        <w:t>MZ SR je po uplynutí obdobia podmienenej úhrady povinné v prípade podmienene zaradeného lieku začať konanie o tzv. vyrovnávacom rozdiele, t. j. posúdiť podľa § 21 zákona č. 363/2011 Z. z. (resp. podľa § 21 ods. 7 zákona č. 363/2011 Z. z. v znení účinnom do 31. 12. 2017), či reálna suma úhrad ZP za liek je vyššia ako v rozhodnutí o podmienenom zaradení lieku určená maximálna výška úhrady ZP. Ak je reálna suma vyššia, MZ SR je povinné rozhodnutím určiť výšku vyrovnávacieho rozdielu, ktorú je držiteľ registrácie tohto lieku povinný vrátiť ZP, výšku podielu ZP na vyrovnávacom rozdiele a lehotu jeho splatnosti.</w:t>
      </w:r>
    </w:p>
  </w:footnote>
  <w:footnote w:id="31">
    <w:p w14:paraId="50149E49" w14:textId="5A732645" w:rsidR="00DD5D9D" w:rsidRDefault="00DD5D9D" w:rsidP="00757189">
      <w:pPr>
        <w:pStyle w:val="Textpoznmkypodiarou"/>
      </w:pPr>
      <w:r>
        <w:rPr>
          <w:rStyle w:val="Odkaznapoznmkupodiarou"/>
        </w:rPr>
        <w:footnoteRef/>
      </w:r>
      <w:r>
        <w:t xml:space="preserve"> Generické lieky a biologicky podobné lieky sú registrované lieky obsahujúce účinné látky, u ktorých skončila patentová ochrana. Uvedené lieky sú menej nákladné pre VZP, pretože do ceny týchto liekov nebolo potrebné zahrnúť výskum a vývoj účinných látok.</w:t>
      </w:r>
    </w:p>
  </w:footnote>
  <w:footnote w:id="32">
    <w:p w14:paraId="50C53115" w14:textId="5E57AAAF" w:rsidR="00DD5D9D" w:rsidRPr="00662C9E" w:rsidRDefault="00DD5D9D" w:rsidP="00AE34FD">
      <w:pPr>
        <w:pStyle w:val="Textpoznmkypodiarou"/>
        <w:rPr>
          <w:szCs w:val="16"/>
        </w:rPr>
      </w:pPr>
      <w:r>
        <w:rPr>
          <w:rStyle w:val="Odkaznapoznmkupodiarou"/>
        </w:rPr>
        <w:footnoteRef/>
      </w:r>
      <w:r>
        <w:t xml:space="preserve"> Európska komisia. 19. apríl 2023. </w:t>
      </w:r>
      <w:r>
        <w:rPr>
          <w:lang w:val="en-US"/>
        </w:rPr>
        <w:t>[</w:t>
      </w:r>
      <w:hyperlink r:id="rId14" w:history="1">
        <w:r w:rsidRPr="00C87105">
          <w:rPr>
            <w:rStyle w:val="Hypertextovprepojenie"/>
            <w:sz w:val="16"/>
          </w:rPr>
          <w:t>online</w:t>
        </w:r>
      </w:hyperlink>
      <w:r>
        <w:t>].</w:t>
      </w:r>
    </w:p>
  </w:footnote>
  <w:footnote w:id="33">
    <w:p w14:paraId="03EEA204" w14:textId="74399674" w:rsidR="00DD5D9D" w:rsidRDefault="00DD5D9D" w:rsidP="00757189">
      <w:pPr>
        <w:pStyle w:val="Textpoznmkypodiarou"/>
      </w:pPr>
      <w:r>
        <w:rPr>
          <w:rStyle w:val="Odkaznapoznmkupodiarou"/>
        </w:rPr>
        <w:footnoteRef/>
      </w:r>
      <w:r>
        <w:t xml:space="preserve"> Zahŕňa záväzky ZZ v pôsobnosti MZ SR, MV SR, MO SR, záväzky delimitovaných ZZ na obce a VÚC a transformovaných na neziskové organizácie, záväzky ZZ transformovaných na akciové spoločnosti a záväzky ZP.</w:t>
      </w:r>
    </w:p>
  </w:footnote>
  <w:footnote w:id="34">
    <w:p w14:paraId="74CA158B" w14:textId="0B1BFA3E" w:rsidR="00DD5D9D" w:rsidRDefault="00DD5D9D" w:rsidP="00757189">
      <w:pPr>
        <w:pStyle w:val="Textpoznmkypodiarou"/>
      </w:pPr>
      <w:r>
        <w:rPr>
          <w:rStyle w:val="Odkaznapoznmkupodiarou"/>
        </w:rPr>
        <w:footnoteRef/>
      </w:r>
      <w:r>
        <w:t xml:space="preserve"> MZ SR. December 2020. Návrh finančnej stabilizácie zdravotníckych zariadení.</w:t>
      </w:r>
    </w:p>
  </w:footnote>
  <w:footnote w:id="35">
    <w:p w14:paraId="07A96824" w14:textId="4476AAF3" w:rsidR="00DD5D9D" w:rsidRDefault="00DD5D9D" w:rsidP="00757189">
      <w:pPr>
        <w:pStyle w:val="Textpoznmkypodiarou"/>
      </w:pPr>
      <w:r>
        <w:rPr>
          <w:rStyle w:val="Odkaznapoznmkupodiarou"/>
        </w:rPr>
        <w:footnoteRef/>
      </w:r>
      <w:r>
        <w:t xml:space="preserve"> MF SR. Národný program reforiem SR, 2023. apríl 2023.</w:t>
      </w:r>
    </w:p>
  </w:footnote>
  <w:footnote w:id="36">
    <w:p w14:paraId="04AE7AF1" w14:textId="77777777" w:rsidR="00642FF1" w:rsidRDefault="00642FF1" w:rsidP="00642FF1">
      <w:pPr>
        <w:pStyle w:val="Textpoznmkypodiarou"/>
      </w:pPr>
      <w:r>
        <w:rPr>
          <w:rStyle w:val="Odkaznapoznmkupodiarou"/>
        </w:rPr>
        <w:footnoteRef/>
      </w:r>
      <w:r>
        <w:t xml:space="preserve"> V mesiacoch apríl a máj 2022 sa spätne klasifikovali výdavky aj za február a marec, keď ešte nebol zavedený kód zdroja 11UA.</w:t>
      </w:r>
    </w:p>
  </w:footnote>
  <w:footnote w:id="37">
    <w:p w14:paraId="372B61C1" w14:textId="7E52A4E0" w:rsidR="00DD5D9D" w:rsidRPr="003C1696" w:rsidRDefault="00DD5D9D" w:rsidP="00A96E60">
      <w:pPr>
        <w:pStyle w:val="Textpoznmkypodiarou"/>
        <w:rPr>
          <w:szCs w:val="16"/>
        </w:rPr>
      </w:pPr>
      <w:r>
        <w:rPr>
          <w:rStyle w:val="Odkaznapoznmkupodiarou"/>
        </w:rPr>
        <w:footnoteRef/>
      </w:r>
      <w:r>
        <w:t xml:space="preserve"> Prehľad prijímateľov </w:t>
      </w:r>
      <w:r w:rsidRPr="00E45889">
        <w:rPr>
          <w:szCs w:val="16"/>
        </w:rPr>
        <w:t>Prvej pomoc</w:t>
      </w:r>
      <w:r w:rsidRPr="003C1696">
        <w:rPr>
          <w:szCs w:val="16"/>
        </w:rPr>
        <w:t xml:space="preserve">i podľa jednotlivých obcí je dostupný online na </w:t>
      </w:r>
      <w:hyperlink r:id="rId15" w:history="1">
        <w:r w:rsidRPr="00C60492">
          <w:rPr>
            <w:rStyle w:val="Hypertextovprepojenie"/>
            <w:sz w:val="16"/>
            <w:szCs w:val="16"/>
          </w:rPr>
          <w:t xml:space="preserve">MU MAP </w:t>
        </w:r>
        <w:r>
          <w:rPr>
            <w:rStyle w:val="Hypertextovprepojenie"/>
            <w:sz w:val="16"/>
            <w:szCs w:val="16"/>
          </w:rPr>
          <w:t xml:space="preserve">– </w:t>
        </w:r>
        <w:r w:rsidRPr="00C60492">
          <w:rPr>
            <w:rStyle w:val="Hypertextovprepojenie"/>
            <w:sz w:val="16"/>
            <w:szCs w:val="16"/>
          </w:rPr>
          <w:t>Najvyšší kontrolný úrad SR (nkusr.sk)</w:t>
        </w:r>
      </w:hyperlink>
      <w:r>
        <w:rPr>
          <w:szCs w:val="16"/>
        </w:rPr>
        <w:t>.</w:t>
      </w:r>
    </w:p>
  </w:footnote>
  <w:footnote w:id="38">
    <w:p w14:paraId="0548D939" w14:textId="77777777" w:rsidR="00DD5D9D" w:rsidRDefault="00DD5D9D" w:rsidP="006B7D1B">
      <w:pPr>
        <w:pStyle w:val="Textpoznmkypodiarou"/>
      </w:pPr>
      <w:r>
        <w:rPr>
          <w:rStyle w:val="Odkaznapoznmkupodiarou"/>
        </w:rPr>
        <w:footnoteRef/>
      </w:r>
      <w:r>
        <w:t xml:space="preserve"> </w:t>
      </w:r>
      <w:proofErr w:type="spellStart"/>
      <w:r w:rsidRPr="008405F3">
        <w:t>Kielský</w:t>
      </w:r>
      <w:proofErr w:type="spellEnd"/>
      <w:r w:rsidRPr="008405F3">
        <w:t xml:space="preserve"> inštitút  uvádza a kvantifikuje vojenskú, finančnú a humanitárnu pomoc prisľúbenú vládami Ukrajine medzi 24. januárom 2022 a 20. novembrom 2022. </w:t>
      </w:r>
      <w:r>
        <w:t xml:space="preserve">Sú zahrnuté všetky známe medzivládne záväzky (G2G) ktoré majú smerovať (alebo už boli zrealizované) na Ukrajinu v uvedenom období. Databáza obsahuje </w:t>
      </w:r>
      <w:r w:rsidRPr="008405F3">
        <w:t xml:space="preserve">40 štátov, konkrétne členské štáty EÚ, ostatných členov G7 ako aj ako Austráliu, Južnú Kóreu, Turecko, Nórsko, Nový Zéland, Švajčiarsko, Čínu, Taiwan a Indiu. </w:t>
      </w:r>
      <w:r>
        <w:t>J</w:t>
      </w:r>
      <w:r w:rsidRPr="008405F3">
        <w:t>e určená na podporu faktologickej diskusie o podpore Ukrajine. Z dôvodu nedostatku porovnateľných a spoľahlivých údajov nie sú kvantifikované súkromné dary ani transfery od medzinárodných organizácií</w:t>
      </w:r>
      <w:r>
        <w:t>,</w:t>
      </w:r>
      <w:r w:rsidRPr="008405F3">
        <w:t xml:space="preserve"> ako napríklad Červený kríž.</w:t>
      </w:r>
      <w:r>
        <w:t xml:space="preserve"> </w:t>
      </w:r>
      <w:r>
        <w:rPr>
          <w:lang w:val="en-US"/>
        </w:rPr>
        <w:t>[</w:t>
      </w:r>
      <w:hyperlink r:id="rId16" w:history="1">
        <w:proofErr w:type="spellStart"/>
        <w:r w:rsidRPr="00014105">
          <w:rPr>
            <w:rStyle w:val="Hypertextovprepojenie"/>
            <w:sz w:val="16"/>
          </w:rPr>
          <w:t>Kiel</w:t>
        </w:r>
        <w:proofErr w:type="spellEnd"/>
        <w:r w:rsidRPr="00014105">
          <w:rPr>
            <w:rStyle w:val="Hypertextovprepojenie"/>
            <w:sz w:val="16"/>
          </w:rPr>
          <w:t xml:space="preserve"> </w:t>
        </w:r>
        <w:proofErr w:type="spellStart"/>
        <w:r w:rsidRPr="00014105">
          <w:rPr>
            <w:rStyle w:val="Hypertextovprepojenie"/>
            <w:sz w:val="16"/>
          </w:rPr>
          <w:t>working</w:t>
        </w:r>
        <w:proofErr w:type="spellEnd"/>
        <w:r w:rsidRPr="00014105">
          <w:rPr>
            <w:rStyle w:val="Hypertextovprepojenie"/>
            <w:sz w:val="16"/>
          </w:rPr>
          <w:t xml:space="preserve"> </w:t>
        </w:r>
        <w:proofErr w:type="spellStart"/>
        <w:r w:rsidRPr="00014105">
          <w:rPr>
            <w:rStyle w:val="Hypertextovprepojenie"/>
            <w:sz w:val="16"/>
          </w:rPr>
          <w:t>paper</w:t>
        </w:r>
        <w:proofErr w:type="spellEnd"/>
      </w:hyperlink>
      <w:r>
        <w:t>]</w:t>
      </w:r>
    </w:p>
  </w:footnote>
  <w:footnote w:id="39">
    <w:p w14:paraId="4B354FF0" w14:textId="61B853C9" w:rsidR="00DD5D9D" w:rsidRDefault="00DD5D9D" w:rsidP="00FC46AF">
      <w:pPr>
        <w:pStyle w:val="Textpoznmkypodiarou"/>
      </w:pPr>
      <w:r>
        <w:rPr>
          <w:rStyle w:val="Odkaznapoznmkupodiarou"/>
        </w:rPr>
        <w:footnoteRef/>
      </w:r>
      <w:r>
        <w:t xml:space="preserve"> V prípade PO 2007 – 2013 bolo do roku 2015 potrebné dočerpať ročný záväzok za rok 2012 (pravidlo n+3) a súčasne ročný záväzok za rok 2013 (pravidlo n+2).  Zdroj: Bod 1.2 tlačovej správy MF SR. </w:t>
      </w:r>
      <w:r>
        <w:rPr>
          <w:szCs w:val="16"/>
        </w:rPr>
        <w:t>[</w:t>
      </w:r>
      <w:hyperlink r:id="rId17" w:history="1">
        <w:r w:rsidRPr="00E526A6">
          <w:rPr>
            <w:rStyle w:val="Hypertextovprepojenie1"/>
            <w:sz w:val="16"/>
            <w:szCs w:val="16"/>
          </w:rPr>
          <w:t>online</w:t>
        </w:r>
      </w:hyperlink>
      <w:r>
        <w:rPr>
          <w:rStyle w:val="Hypertextovprepojenie1"/>
          <w:sz w:val="16"/>
          <w:szCs w:val="16"/>
        </w:rPr>
        <w:t>]</w:t>
      </w:r>
      <w:r>
        <w:rPr>
          <w:szCs w:val="16"/>
        </w:rPr>
        <w:t>.</w:t>
      </w:r>
    </w:p>
  </w:footnote>
  <w:footnote w:id="40">
    <w:p w14:paraId="3ECA2530" w14:textId="63AE6F99" w:rsidR="00DD5D9D" w:rsidRDefault="00DD5D9D" w:rsidP="00377BD7">
      <w:pPr>
        <w:pStyle w:val="Textpoznmkypodiarou"/>
        <w:spacing w:line="240" w:lineRule="atLeast"/>
      </w:pPr>
      <w:r>
        <w:rPr>
          <w:rStyle w:val="Odkaznapoznmkupodiarou"/>
        </w:rPr>
        <w:footnoteRef/>
      </w:r>
      <w:r>
        <w:t xml:space="preserve"> NKÚ SR, 2022: Nezrovnalosti PO 2014 – </w:t>
      </w:r>
      <w:r w:rsidRPr="003C0A11">
        <w:rPr>
          <w:szCs w:val="16"/>
        </w:rPr>
        <w:t>2020</w:t>
      </w:r>
      <w:r>
        <w:rPr>
          <w:szCs w:val="16"/>
        </w:rPr>
        <w:t>.</w:t>
      </w:r>
      <w:r w:rsidRPr="00673F75">
        <w:rPr>
          <w:szCs w:val="16"/>
        </w:rPr>
        <w:t xml:space="preserve"> </w:t>
      </w:r>
      <w:r>
        <w:rPr>
          <w:szCs w:val="16"/>
        </w:rPr>
        <w:t>[</w:t>
      </w:r>
      <w:hyperlink r:id="rId18" w:history="1">
        <w:r w:rsidRPr="00E526A6">
          <w:rPr>
            <w:rStyle w:val="Hypertextovprepojenie1"/>
            <w:sz w:val="16"/>
            <w:szCs w:val="16"/>
          </w:rPr>
          <w:t>online</w:t>
        </w:r>
      </w:hyperlink>
      <w:r>
        <w:rPr>
          <w:rStyle w:val="Hypertextovprepojenie1"/>
          <w:sz w:val="16"/>
          <w:szCs w:val="16"/>
        </w:rPr>
        <w:t>]</w:t>
      </w:r>
      <w:r>
        <w:rPr>
          <w:szCs w:val="16"/>
        </w:rPr>
        <w:t>.</w:t>
      </w:r>
    </w:p>
  </w:footnote>
  <w:footnote w:id="41">
    <w:p w14:paraId="2F49D331" w14:textId="77777777" w:rsidR="00DD5D9D" w:rsidRDefault="00DD5D9D" w:rsidP="0086527E">
      <w:pPr>
        <w:pStyle w:val="Textpoznmkypodiarou"/>
      </w:pPr>
      <w:r>
        <w:rPr>
          <w:rStyle w:val="Odkaznapoznmkupodiarou"/>
        </w:rPr>
        <w:footnoteRef/>
      </w:r>
      <w:r>
        <w:t xml:space="preserve"> Dekomitment alebo nesplnený záväzok znamená, že sa nepodarila vyčerpať dopredu stanovená suma peňazí na konkrétny rok, pri ktorom platí pravidlo n+3. Častým dôvodom prepadnutia prostriedkov je práve nestihnutie termínov na ich dočerpanie.</w:t>
      </w:r>
    </w:p>
  </w:footnote>
  <w:footnote w:id="42">
    <w:p w14:paraId="6EE55C2E" w14:textId="77777777" w:rsidR="00DD5D9D" w:rsidRPr="00463705" w:rsidRDefault="00DD5D9D" w:rsidP="00135D56">
      <w:pPr>
        <w:pStyle w:val="Textpoznmkypodiarou"/>
        <w:rPr>
          <w:rFonts w:eastAsia="Calibri" w:cs="Segoe UI"/>
        </w:rPr>
      </w:pPr>
      <w:r w:rsidRPr="00463705">
        <w:rPr>
          <w:vertAlign w:val="superscript"/>
        </w:rPr>
        <w:footnoteRef/>
      </w:r>
      <w:r w:rsidRPr="00463705">
        <w:t xml:space="preserve"> Iniciatíva SAFE je účinná od marca 2023 a maximálny limit výdavkov na tieto účely je v prípade SR na úrovni 1,5 mld. eur a prostriedky môžu byť použité vo všetkých regiónoch. Okrem toho v minulom roku EK schválila iniciatívu FAST CARE, ktorá je zameraná na riešenie migračnej krízy vyplývajúcej z vojny na Ukrajine. V rámci troch OP (OP II, OP ĽZ a IROP) plánuje SR prostredníctvom tejto iniciatívy využiť viac ako 300 mil. eur.</w:t>
      </w:r>
      <w:r w:rsidRPr="00463705">
        <w:rPr>
          <w:rFonts w:eastAsia="Calibri" w:cs="Segoe UI"/>
        </w:rPr>
        <w:t xml:space="preserve"> </w:t>
      </w:r>
    </w:p>
  </w:footnote>
  <w:footnote w:id="43">
    <w:p w14:paraId="59EC97BA" w14:textId="0754638D" w:rsidR="00DD5D9D" w:rsidRDefault="00DD5D9D" w:rsidP="00AC6426">
      <w:pPr>
        <w:pStyle w:val="Textpoznmkypodiarou"/>
      </w:pPr>
      <w:r>
        <w:rPr>
          <w:rStyle w:val="Odkaznapoznmkupodiarou"/>
        </w:rPr>
        <w:footnoteRef/>
      </w:r>
      <w:r>
        <w:t xml:space="preserve"> </w:t>
      </w:r>
      <w:r>
        <w:rPr>
          <w:szCs w:val="16"/>
        </w:rPr>
        <w:t>[</w:t>
      </w:r>
      <w:hyperlink r:id="rId19" w:history="1">
        <w:r w:rsidRPr="00E526A6">
          <w:rPr>
            <w:rStyle w:val="Hypertextovprepojenie1"/>
            <w:sz w:val="16"/>
            <w:szCs w:val="16"/>
          </w:rPr>
          <w:t>online</w:t>
        </w:r>
      </w:hyperlink>
      <w:r>
        <w:rPr>
          <w:rStyle w:val="Hypertextovprepojenie1"/>
          <w:sz w:val="16"/>
          <w:szCs w:val="16"/>
        </w:rPr>
        <w:t>]</w:t>
      </w:r>
      <w:r>
        <w:rPr>
          <w:szCs w:val="16"/>
        </w:rPr>
        <w:t>.</w:t>
      </w:r>
    </w:p>
  </w:footnote>
  <w:footnote w:id="44">
    <w:p w14:paraId="7853443A" w14:textId="3FD98427" w:rsidR="00DD5D9D" w:rsidRDefault="00DD5D9D" w:rsidP="00AC6426">
      <w:pPr>
        <w:pStyle w:val="Textpoznmkypodiarou"/>
      </w:pPr>
      <w:r>
        <w:rPr>
          <w:rStyle w:val="Odkaznapoznmkupodiarou"/>
        </w:rPr>
        <w:footnoteRef/>
      </w:r>
      <w:r>
        <w:t xml:space="preserve"> </w:t>
      </w:r>
      <w:r w:rsidRPr="007F1CEC">
        <w:rPr>
          <w:szCs w:val="16"/>
        </w:rPr>
        <w:t xml:space="preserve">Morris, </w:t>
      </w:r>
      <w:proofErr w:type="spellStart"/>
      <w:r w:rsidRPr="007F1CEC">
        <w:rPr>
          <w:szCs w:val="16"/>
        </w:rPr>
        <w:t>Sebastian</w:t>
      </w:r>
      <w:proofErr w:type="spellEnd"/>
      <w:r w:rsidRPr="007F1CEC">
        <w:rPr>
          <w:szCs w:val="16"/>
        </w:rPr>
        <w:t xml:space="preserve">, </w:t>
      </w:r>
      <w:proofErr w:type="spellStart"/>
      <w:r w:rsidRPr="007F1CEC">
        <w:rPr>
          <w:szCs w:val="16"/>
        </w:rPr>
        <w:t>Cost</w:t>
      </w:r>
      <w:proofErr w:type="spellEnd"/>
      <w:r w:rsidRPr="007F1CEC">
        <w:rPr>
          <w:szCs w:val="16"/>
        </w:rPr>
        <w:t xml:space="preserve"> and </w:t>
      </w:r>
      <w:proofErr w:type="spellStart"/>
      <w:r w:rsidRPr="007F1CEC">
        <w:rPr>
          <w:szCs w:val="16"/>
        </w:rPr>
        <w:t>Time</w:t>
      </w:r>
      <w:proofErr w:type="spellEnd"/>
      <w:r w:rsidRPr="007F1CEC">
        <w:rPr>
          <w:szCs w:val="16"/>
        </w:rPr>
        <w:t xml:space="preserve"> </w:t>
      </w:r>
      <w:proofErr w:type="spellStart"/>
      <w:r w:rsidRPr="007F1CEC">
        <w:rPr>
          <w:szCs w:val="16"/>
        </w:rPr>
        <w:t>Overruns</w:t>
      </w:r>
      <w:proofErr w:type="spellEnd"/>
      <w:r w:rsidRPr="007F1CEC">
        <w:rPr>
          <w:szCs w:val="16"/>
        </w:rPr>
        <w:t xml:space="preserve"> in </w:t>
      </w:r>
      <w:proofErr w:type="spellStart"/>
      <w:r w:rsidRPr="007F1CEC">
        <w:rPr>
          <w:szCs w:val="16"/>
        </w:rPr>
        <w:t>Public</w:t>
      </w:r>
      <w:proofErr w:type="spellEnd"/>
      <w:r w:rsidRPr="007F1CEC">
        <w:rPr>
          <w:szCs w:val="16"/>
        </w:rPr>
        <w:t xml:space="preserve"> </w:t>
      </w:r>
      <w:proofErr w:type="spellStart"/>
      <w:r w:rsidRPr="007F1CEC">
        <w:rPr>
          <w:szCs w:val="16"/>
        </w:rPr>
        <w:t>Sector</w:t>
      </w:r>
      <w:proofErr w:type="spellEnd"/>
      <w:r w:rsidRPr="007F1CEC">
        <w:rPr>
          <w:szCs w:val="16"/>
        </w:rPr>
        <w:t xml:space="preserve"> </w:t>
      </w:r>
      <w:proofErr w:type="spellStart"/>
      <w:r w:rsidRPr="007F1CEC">
        <w:rPr>
          <w:szCs w:val="16"/>
        </w:rPr>
        <w:t>Projects</w:t>
      </w:r>
      <w:proofErr w:type="spellEnd"/>
      <w:r w:rsidRPr="007F1CEC">
        <w:rPr>
          <w:szCs w:val="16"/>
        </w:rPr>
        <w:t xml:space="preserve">. </w:t>
      </w:r>
      <w:proofErr w:type="spellStart"/>
      <w:r w:rsidRPr="007F1CEC">
        <w:rPr>
          <w:szCs w:val="16"/>
        </w:rPr>
        <w:t>Economic</w:t>
      </w:r>
      <w:proofErr w:type="spellEnd"/>
      <w:r w:rsidRPr="007F1CEC">
        <w:rPr>
          <w:szCs w:val="16"/>
        </w:rPr>
        <w:t xml:space="preserve"> and </w:t>
      </w:r>
      <w:proofErr w:type="spellStart"/>
      <w:r w:rsidRPr="007F1CEC">
        <w:rPr>
          <w:szCs w:val="16"/>
        </w:rPr>
        <w:t>Political</w:t>
      </w:r>
      <w:proofErr w:type="spellEnd"/>
      <w:r w:rsidRPr="007F1CEC">
        <w:rPr>
          <w:szCs w:val="16"/>
        </w:rPr>
        <w:t xml:space="preserve"> </w:t>
      </w:r>
      <w:proofErr w:type="spellStart"/>
      <w:r w:rsidRPr="007F1CEC">
        <w:rPr>
          <w:szCs w:val="16"/>
        </w:rPr>
        <w:t>Week</w:t>
      </w:r>
      <w:r w:rsidRPr="00EE664F">
        <w:rPr>
          <w:szCs w:val="16"/>
        </w:rPr>
        <w:t>ly</w:t>
      </w:r>
      <w:proofErr w:type="spellEnd"/>
      <w:r w:rsidRPr="00EE664F">
        <w:rPr>
          <w:szCs w:val="16"/>
        </w:rPr>
        <w:t xml:space="preserve">, </w:t>
      </w:r>
      <w:proofErr w:type="spellStart"/>
      <w:r w:rsidRPr="00EE664F">
        <w:rPr>
          <w:szCs w:val="16"/>
        </w:rPr>
        <w:t>Vol</w:t>
      </w:r>
      <w:proofErr w:type="spellEnd"/>
      <w:r w:rsidRPr="00EE664F">
        <w:rPr>
          <w:szCs w:val="16"/>
        </w:rPr>
        <w:t xml:space="preserve">. 25, No. 47, pp.M154-M168, November 24, 1990, </w:t>
      </w:r>
      <w:proofErr w:type="spellStart"/>
      <w:r w:rsidRPr="00EE664F">
        <w:rPr>
          <w:szCs w:val="16"/>
        </w:rPr>
        <w:t>Available</w:t>
      </w:r>
      <w:proofErr w:type="spellEnd"/>
      <w:r w:rsidRPr="00EE664F">
        <w:rPr>
          <w:szCs w:val="16"/>
        </w:rPr>
        <w:t xml:space="preserve"> at SSRN: </w:t>
      </w:r>
      <w:r>
        <w:rPr>
          <w:szCs w:val="16"/>
          <w:lang w:val="en-US"/>
        </w:rPr>
        <w:t>[</w:t>
      </w:r>
      <w:hyperlink r:id="rId20" w:history="1">
        <w:r w:rsidRPr="00C60492">
          <w:rPr>
            <w:rStyle w:val="Hypertextovprepojenie"/>
            <w:sz w:val="16"/>
            <w:szCs w:val="16"/>
          </w:rPr>
          <w:t>online</w:t>
        </w:r>
      </w:hyperlink>
      <w:r>
        <w:rPr>
          <w:rStyle w:val="Hypertextovprepojenie"/>
          <w:sz w:val="16"/>
          <w:szCs w:val="16"/>
        </w:rPr>
        <w:t>].</w:t>
      </w:r>
    </w:p>
  </w:footnote>
  <w:footnote w:id="45">
    <w:p w14:paraId="61125DA0" w14:textId="358CEB50" w:rsidR="00DD5D9D" w:rsidRPr="00E526A6" w:rsidRDefault="00DD5D9D" w:rsidP="00CF78E2">
      <w:pPr>
        <w:pStyle w:val="Textpoznmkypodiarou"/>
        <w:rPr>
          <w:szCs w:val="16"/>
        </w:rPr>
      </w:pPr>
      <w:r w:rsidRPr="00E526A6">
        <w:rPr>
          <w:rStyle w:val="Odkaznapoznmkupodiarou"/>
          <w:szCs w:val="16"/>
        </w:rPr>
        <w:footnoteRef/>
      </w:r>
      <w:r w:rsidRPr="00E526A6">
        <w:rPr>
          <w:szCs w:val="16"/>
        </w:rPr>
        <w:t xml:space="preserve"> Metodické usmernenie k </w:t>
      </w:r>
      <w:proofErr w:type="spellStart"/>
      <w:r w:rsidRPr="00E526A6">
        <w:rPr>
          <w:szCs w:val="16"/>
        </w:rPr>
        <w:t>fázovaniu</w:t>
      </w:r>
      <w:proofErr w:type="spellEnd"/>
      <w:r w:rsidRPr="00E526A6">
        <w:rPr>
          <w:szCs w:val="16"/>
        </w:rPr>
        <w:t xml:space="preserve">, ktoré sa vzťahuje na projekty OP II, ktorých realizáciu nie je možné po vecnej a finančnej stránke ukončiť v </w:t>
      </w:r>
      <w:r>
        <w:rPr>
          <w:szCs w:val="16"/>
        </w:rPr>
        <w:t>PO</w:t>
      </w:r>
      <w:r w:rsidRPr="00E526A6">
        <w:rPr>
          <w:szCs w:val="16"/>
        </w:rPr>
        <w:t xml:space="preserve"> 2014 – 2020 a môžu byť ukončené v</w:t>
      </w:r>
      <w:r>
        <w:rPr>
          <w:szCs w:val="16"/>
        </w:rPr>
        <w:t> PO 2021</w:t>
      </w:r>
      <w:r w:rsidRPr="00E526A6">
        <w:rPr>
          <w:szCs w:val="16"/>
        </w:rPr>
        <w:t xml:space="preserve"> – 2027, </w:t>
      </w:r>
      <w:hyperlink r:id="rId21" w:history="1">
        <w:r w:rsidRPr="00E526A6">
          <w:rPr>
            <w:rStyle w:val="Hypertextovprepojenie"/>
            <w:sz w:val="16"/>
            <w:szCs w:val="16"/>
          </w:rPr>
          <w:t xml:space="preserve">Metodika </w:t>
        </w:r>
        <w:proofErr w:type="spellStart"/>
        <w:r w:rsidRPr="00E526A6">
          <w:rPr>
            <w:rStyle w:val="Hypertextovprepojenie"/>
            <w:sz w:val="16"/>
            <w:szCs w:val="16"/>
          </w:rPr>
          <w:t>fázovania</w:t>
        </w:r>
        <w:proofErr w:type="spellEnd"/>
        <w:r w:rsidRPr="00E526A6">
          <w:rPr>
            <w:rStyle w:val="Hypertextovprepojenie"/>
            <w:sz w:val="16"/>
            <w:szCs w:val="16"/>
          </w:rPr>
          <w:t xml:space="preserve"> projektov - OPII - Operačný program Integrovaná infraštruktúra (gov.sk)</w:t>
        </w:r>
      </w:hyperlink>
      <w:r>
        <w:rPr>
          <w:rStyle w:val="Hypertextovprepojenie"/>
          <w:sz w:val="16"/>
          <w:szCs w:val="16"/>
        </w:rPr>
        <w:t>.</w:t>
      </w:r>
    </w:p>
  </w:footnote>
  <w:footnote w:id="46">
    <w:p w14:paraId="189EB206" w14:textId="57BBE891" w:rsidR="00DD5D9D" w:rsidRPr="00E526A6" w:rsidRDefault="00DD5D9D" w:rsidP="00CF78E2">
      <w:pPr>
        <w:spacing w:after="0" w:line="240" w:lineRule="auto"/>
        <w:rPr>
          <w:sz w:val="16"/>
          <w:szCs w:val="16"/>
        </w:rPr>
      </w:pPr>
      <w:r w:rsidRPr="00E526A6">
        <w:rPr>
          <w:sz w:val="16"/>
          <w:szCs w:val="16"/>
          <w:vertAlign w:val="superscript"/>
        </w:rPr>
        <w:footnoteRef/>
      </w:r>
      <w:r>
        <w:rPr>
          <w:sz w:val="16"/>
          <w:szCs w:val="16"/>
        </w:rPr>
        <w:t xml:space="preserve"> OPII</w:t>
      </w:r>
      <w:r w:rsidRPr="00E526A6">
        <w:rPr>
          <w:sz w:val="16"/>
          <w:szCs w:val="16"/>
        </w:rPr>
        <w:t xml:space="preserve"> predstavuje programový dokument S</w:t>
      </w:r>
      <w:r>
        <w:rPr>
          <w:sz w:val="16"/>
          <w:szCs w:val="16"/>
        </w:rPr>
        <w:t>R</w:t>
      </w:r>
      <w:r w:rsidRPr="00E526A6">
        <w:rPr>
          <w:sz w:val="16"/>
          <w:szCs w:val="16"/>
        </w:rPr>
        <w:t xml:space="preserve"> pre čerpanie pomoci z fondov EÚ na roky 2014 – 2020 v sektore dopravy a v oblasti zlepšovania prístupu k informačným a komunikačným technológiám a zlepšenia ich využívania a</w:t>
      </w:r>
      <w:r>
        <w:rPr>
          <w:sz w:val="16"/>
          <w:szCs w:val="16"/>
        </w:rPr>
        <w:t> </w:t>
      </w:r>
      <w:r w:rsidRPr="00E526A6">
        <w:rPr>
          <w:sz w:val="16"/>
          <w:szCs w:val="16"/>
        </w:rPr>
        <w:t>kvality</w:t>
      </w:r>
      <w:r>
        <w:rPr>
          <w:sz w:val="16"/>
          <w:szCs w:val="16"/>
        </w:rPr>
        <w:t>.</w:t>
      </w:r>
      <w:r w:rsidRPr="00E526A6">
        <w:rPr>
          <w:sz w:val="16"/>
          <w:szCs w:val="16"/>
        </w:rPr>
        <w:t xml:space="preserve"> </w:t>
      </w:r>
      <w:r>
        <w:rPr>
          <w:sz w:val="16"/>
          <w:szCs w:val="16"/>
        </w:rPr>
        <w:t>[</w:t>
      </w:r>
      <w:hyperlink r:id="rId22" w:history="1">
        <w:r w:rsidRPr="00E526A6">
          <w:rPr>
            <w:rStyle w:val="Hypertextovprepojenie1"/>
            <w:sz w:val="16"/>
            <w:szCs w:val="16"/>
          </w:rPr>
          <w:t>online</w:t>
        </w:r>
      </w:hyperlink>
      <w:r>
        <w:rPr>
          <w:rStyle w:val="Hypertextovprepojenie1"/>
          <w:sz w:val="16"/>
          <w:szCs w:val="16"/>
        </w:rPr>
        <w:t>]</w:t>
      </w:r>
      <w:r w:rsidRPr="00E526A6">
        <w:rPr>
          <w:sz w:val="16"/>
          <w:szCs w:val="16"/>
        </w:rPr>
        <w:t xml:space="preserve"> </w:t>
      </w:r>
    </w:p>
  </w:footnote>
  <w:footnote w:id="47">
    <w:p w14:paraId="1B203D10" w14:textId="288AD800" w:rsidR="00DD5D9D" w:rsidRPr="00E526A6" w:rsidRDefault="00DD5D9D" w:rsidP="00CF78E2">
      <w:pPr>
        <w:pStyle w:val="Textpoznmkypodiarou"/>
        <w:rPr>
          <w:szCs w:val="16"/>
        </w:rPr>
      </w:pPr>
      <w:r w:rsidRPr="00E526A6">
        <w:rPr>
          <w:rStyle w:val="Odkaznapoznmkupodiarou"/>
          <w:szCs w:val="16"/>
        </w:rPr>
        <w:footnoteRef/>
      </w:r>
      <w:r w:rsidRPr="00E526A6">
        <w:rPr>
          <w:szCs w:val="16"/>
        </w:rPr>
        <w:t xml:space="preserve"> Veľký projekt</w:t>
      </w:r>
      <w:r>
        <w:rPr>
          <w:szCs w:val="16"/>
        </w:rPr>
        <w:t xml:space="preserve"> </w:t>
      </w:r>
      <w:r w:rsidRPr="00E526A6">
        <w:rPr>
          <w:szCs w:val="16"/>
        </w:rPr>
        <w:t xml:space="preserve">spolufinancovaný z </w:t>
      </w:r>
      <w:r>
        <w:rPr>
          <w:szCs w:val="16"/>
        </w:rPr>
        <w:t>EŠIF</w:t>
      </w:r>
      <w:r w:rsidRPr="00E526A6">
        <w:rPr>
          <w:szCs w:val="16"/>
        </w:rPr>
        <w:t xml:space="preserve"> definovaný v čl. 100 Nariadeni</w:t>
      </w:r>
      <w:r>
        <w:rPr>
          <w:szCs w:val="16"/>
        </w:rPr>
        <w:t>a</w:t>
      </w:r>
      <w:r w:rsidRPr="00E526A6">
        <w:rPr>
          <w:szCs w:val="16"/>
        </w:rPr>
        <w:t xml:space="preserve"> EP a Rady (EÚ) č. 1303/2013), prispieva k tematickému cieľu na podporu udržateľnej dopravy a odstraňovania prekážok v kľúčových sieťových infraštruktúrach (v zmysle čl. 9 ods. 7 všeobecného nariadenia) a </w:t>
      </w:r>
      <w:r>
        <w:rPr>
          <w:szCs w:val="16"/>
        </w:rPr>
        <w:t>jeho</w:t>
      </w:r>
      <w:r w:rsidRPr="00E526A6">
        <w:rPr>
          <w:szCs w:val="16"/>
        </w:rPr>
        <w:t> </w:t>
      </w:r>
      <w:r w:rsidRPr="00E526A6">
        <w:rPr>
          <w:bCs/>
          <w:szCs w:val="16"/>
        </w:rPr>
        <w:t>celkové oprávnené náklady presahujú 75 mil</w:t>
      </w:r>
      <w:r>
        <w:rPr>
          <w:bCs/>
          <w:szCs w:val="16"/>
        </w:rPr>
        <w:t>.</w:t>
      </w:r>
      <w:r w:rsidRPr="00E526A6">
        <w:rPr>
          <w:bCs/>
          <w:szCs w:val="16"/>
        </w:rPr>
        <w:t xml:space="preserve"> eur</w:t>
      </w:r>
      <w:r w:rsidRPr="00E526A6">
        <w:rPr>
          <w:szCs w:val="16"/>
        </w:rPr>
        <w:t xml:space="preserve">. V prípade </w:t>
      </w:r>
      <w:proofErr w:type="spellStart"/>
      <w:r w:rsidRPr="00E526A6">
        <w:rPr>
          <w:szCs w:val="16"/>
        </w:rPr>
        <w:t>fázovaných</w:t>
      </w:r>
      <w:proofErr w:type="spellEnd"/>
      <w:r w:rsidRPr="00E526A6">
        <w:rPr>
          <w:szCs w:val="16"/>
        </w:rPr>
        <w:t xml:space="preserve"> projektov sa za veľký projekt považuje aj projekt, ktorého celkové výdavky presahujú 50 mil</w:t>
      </w:r>
      <w:r>
        <w:rPr>
          <w:szCs w:val="16"/>
        </w:rPr>
        <w:t>.</w:t>
      </w:r>
      <w:r w:rsidRPr="00E526A6">
        <w:rPr>
          <w:szCs w:val="16"/>
        </w:rPr>
        <w:t xml:space="preserve"> eur. </w:t>
      </w:r>
      <w:r>
        <w:rPr>
          <w:szCs w:val="16"/>
        </w:rPr>
        <w:t>[</w:t>
      </w:r>
      <w:hyperlink r:id="rId23" w:history="1">
        <w:r w:rsidRPr="00E526A6">
          <w:rPr>
            <w:rStyle w:val="Hypertextovprepojenie1"/>
            <w:sz w:val="16"/>
            <w:szCs w:val="16"/>
          </w:rPr>
          <w:t>online</w:t>
        </w:r>
      </w:hyperlink>
      <w:r>
        <w:rPr>
          <w:rStyle w:val="Hypertextovprepojenie1"/>
          <w:sz w:val="16"/>
          <w:szCs w:val="16"/>
        </w:rPr>
        <w:t>].</w:t>
      </w:r>
      <w:r w:rsidRPr="00E526A6">
        <w:rPr>
          <w:szCs w:val="16"/>
        </w:rPr>
        <w:t xml:space="preserve"> </w:t>
      </w:r>
    </w:p>
  </w:footnote>
  <w:footnote w:id="48">
    <w:p w14:paraId="4E404D67" w14:textId="0D588897" w:rsidR="00DD5D9D" w:rsidRPr="00C57959" w:rsidRDefault="00DD5D9D" w:rsidP="00CF78E2">
      <w:pPr>
        <w:pStyle w:val="Textpoznmkypodiarou"/>
        <w:rPr>
          <w:szCs w:val="16"/>
          <w:lang w:val="en-US"/>
        </w:rPr>
      </w:pPr>
      <w:r w:rsidRPr="00E526A6">
        <w:rPr>
          <w:rStyle w:val="Odkaznapoznmkupodiarou"/>
          <w:szCs w:val="16"/>
        </w:rPr>
        <w:footnoteRef/>
      </w:r>
      <w:r w:rsidRPr="00E526A6">
        <w:rPr>
          <w:szCs w:val="16"/>
        </w:rPr>
        <w:t xml:space="preserve"> Metodické usmernenie k </w:t>
      </w:r>
      <w:proofErr w:type="spellStart"/>
      <w:r w:rsidRPr="00E526A6">
        <w:rPr>
          <w:szCs w:val="16"/>
        </w:rPr>
        <w:t>fázovaniu</w:t>
      </w:r>
      <w:proofErr w:type="spellEnd"/>
      <w:r w:rsidRPr="00E526A6">
        <w:rPr>
          <w:szCs w:val="16"/>
        </w:rPr>
        <w:t>, ktoré sa vzťahuje na projekty OPII, ktorých realizáciu nie je možné po vecnej a finančnej stránke ukončiť v PO 2014 – 2020 a môžu byť ukončené v PO 2021 – 2027</w:t>
      </w:r>
      <w:r>
        <w:rPr>
          <w:szCs w:val="16"/>
        </w:rPr>
        <w:t>.</w:t>
      </w:r>
      <w:r w:rsidRPr="00E526A6">
        <w:rPr>
          <w:szCs w:val="16"/>
        </w:rPr>
        <w:t xml:space="preserve"> </w:t>
      </w:r>
      <w:r>
        <w:rPr>
          <w:szCs w:val="16"/>
        </w:rPr>
        <w:t>[</w:t>
      </w:r>
      <w:hyperlink r:id="rId24" w:history="1">
        <w:r w:rsidRPr="00E526A6">
          <w:rPr>
            <w:rStyle w:val="Hypertextovprepojenie1"/>
            <w:sz w:val="16"/>
            <w:szCs w:val="16"/>
          </w:rPr>
          <w:t>online</w:t>
        </w:r>
      </w:hyperlink>
      <w:r>
        <w:rPr>
          <w:rStyle w:val="Hypertextovprepojenie1"/>
          <w:sz w:val="16"/>
          <w:szCs w:val="16"/>
        </w:rPr>
        <w:t>]</w:t>
      </w:r>
      <w:r>
        <w:rPr>
          <w:szCs w:val="16"/>
        </w:rPr>
        <w:t>.</w:t>
      </w:r>
    </w:p>
  </w:footnote>
  <w:footnote w:id="49">
    <w:p w14:paraId="23C51C0D" w14:textId="77777777" w:rsidR="00DD5D9D" w:rsidRDefault="00DD5D9D" w:rsidP="007D05C1">
      <w:pPr>
        <w:pStyle w:val="Textpoznmkypodiarou"/>
      </w:pPr>
      <w:r>
        <w:rPr>
          <w:rStyle w:val="Odkaznapoznmkupodiarou"/>
        </w:rPr>
        <w:footnoteRef/>
      </w:r>
      <w:r>
        <w:t xml:space="preserve"> Zákonník práce definuje závislú prácu ako „výlučne osobný výkon práce zamestnanca pre zamestnávateľa, podľa pokynov zamestnávateľa, v jeho mene, za mzdu alebo odmenu, v pracovnom čase, na náklady zamestnávateľa, jeho výrobnými prostriedkami a na zodpovednosť zamestnávateľa a ide o výkon práce, ktorá pozostáva prevažne z opakovania určených činností“.</w:t>
      </w:r>
    </w:p>
    <w:p w14:paraId="5BD1DDBC" w14:textId="77777777" w:rsidR="00DD5D9D" w:rsidRDefault="00DD5D9D" w:rsidP="007D05C1">
      <w:pPr>
        <w:pStyle w:val="Textpoznmkypodiarou"/>
      </w:pPr>
      <w:r>
        <w:t>V rámci dohôd o prácach vykonávaných mimo pracovný pomer rozoznávame: dohodu o vykonaní práce, dohodu o pracovnej činnosti a dohodu o brigádnickej práci študenta.</w:t>
      </w:r>
    </w:p>
  </w:footnote>
  <w:footnote w:id="50">
    <w:p w14:paraId="006600BD" w14:textId="17D72327" w:rsidR="00DD5D9D" w:rsidRDefault="00DD5D9D" w:rsidP="00AC6426">
      <w:pPr>
        <w:pStyle w:val="Textpoznmkypodiarou"/>
      </w:pPr>
      <w:r>
        <w:rPr>
          <w:rStyle w:val="Odkaznapoznmkupodiarou"/>
        </w:rPr>
        <w:footnoteRef/>
      </w:r>
      <w:r>
        <w:t xml:space="preserve"> Suma predbežného financovania – 13 % z alokácie.</w:t>
      </w:r>
    </w:p>
  </w:footnote>
  <w:footnote w:id="51">
    <w:p w14:paraId="6D04BC28" w14:textId="265562F6" w:rsidR="00DD5D9D" w:rsidRDefault="00DD5D9D" w:rsidP="00AC6426">
      <w:pPr>
        <w:pStyle w:val="Textpoznmkypodiarou"/>
      </w:pPr>
      <w:r>
        <w:rPr>
          <w:rStyle w:val="Odkaznapoznmkupodiarou"/>
        </w:rPr>
        <w:footnoteRef/>
      </w:r>
      <w:r>
        <w:t xml:space="preserve"> K máju 2023 boli z EK prijaté platby za dve žiadosti o platbu v objeme 1, </w:t>
      </w:r>
      <w:r w:rsidRPr="00CC771A">
        <w:t>27</w:t>
      </w:r>
      <w:r>
        <w:t xml:space="preserve"> mld. </w:t>
      </w:r>
      <w:r w:rsidRPr="00CC771A">
        <w:t>eur</w:t>
      </w:r>
      <w:r>
        <w:t xml:space="preserve"> </w:t>
      </w:r>
      <w:r>
        <w:rPr>
          <w:szCs w:val="16"/>
        </w:rPr>
        <w:t>[</w:t>
      </w:r>
      <w:hyperlink r:id="rId25" w:history="1">
        <w:r w:rsidRPr="00E526A6">
          <w:rPr>
            <w:rStyle w:val="Hypertextovprepojenie1"/>
            <w:sz w:val="16"/>
            <w:szCs w:val="16"/>
          </w:rPr>
          <w:t>online</w:t>
        </w:r>
      </w:hyperlink>
      <w:r>
        <w:rPr>
          <w:rStyle w:val="Hypertextovprepojenie1"/>
          <w:sz w:val="16"/>
          <w:szCs w:val="16"/>
        </w:rPr>
        <w:t>]</w:t>
      </w:r>
      <w:r>
        <w:rPr>
          <w:szCs w:val="16"/>
        </w:rPr>
        <w:t>.</w:t>
      </w:r>
    </w:p>
  </w:footnote>
  <w:footnote w:id="52">
    <w:p w14:paraId="1621153F" w14:textId="19ABE345" w:rsidR="00DD5D9D" w:rsidRDefault="00DD5D9D" w:rsidP="00BB288E">
      <w:pPr>
        <w:pStyle w:val="Textpoznmkypodiarou"/>
      </w:pPr>
      <w:r w:rsidRPr="002F3723">
        <w:rPr>
          <w:rStyle w:val="Odkaznapoznmkupodiarou"/>
          <w:rFonts w:cs="Segoe UI"/>
          <w:szCs w:val="16"/>
        </w:rPr>
        <w:footnoteRef/>
      </w:r>
      <w:r w:rsidRPr="002F3723">
        <w:rPr>
          <w:rFonts w:cs="Segoe UI"/>
          <w:szCs w:val="16"/>
        </w:rPr>
        <w:t xml:space="preserve"> Komponent 6 - Dostupnosť, rozvoj a kvalita inkluzívneho vzdelávania – 12,5 mil. eur; Komponent 7 - Vzdelávanie pre 21. storočie – 11 mil. eur</w:t>
      </w:r>
      <w:r>
        <w:rPr>
          <w:rFonts w:cs="Segoe UI"/>
          <w:szCs w:val="16"/>
        </w:rPr>
        <w:t>.</w:t>
      </w:r>
    </w:p>
  </w:footnote>
  <w:footnote w:id="53">
    <w:p w14:paraId="2A9BC35E" w14:textId="6CC86D41" w:rsidR="00DD5D9D" w:rsidRPr="00387EA0" w:rsidRDefault="00DD5D9D" w:rsidP="00E63357">
      <w:pPr>
        <w:pStyle w:val="Textpoznmkypodiarou"/>
        <w:rPr>
          <w:szCs w:val="16"/>
        </w:rPr>
      </w:pPr>
      <w:r w:rsidRPr="00387EA0">
        <w:rPr>
          <w:rStyle w:val="Odkaznapoznmkupodiarou"/>
          <w:szCs w:val="16"/>
        </w:rPr>
        <w:footnoteRef/>
      </w:r>
      <w:r w:rsidRPr="00387EA0">
        <w:rPr>
          <w:szCs w:val="16"/>
        </w:rPr>
        <w:t xml:space="preserve"> NR SR 9. 5. 2023 schválila zákon, ktorým sa dopĺňa zákon č. 245/2008 Z. z. o výchove a vzdelávaní (školský zákon) a o zmene a doplnení niektorých zákonov v znení neskorších predpisov a ktorým sa mení a dopĺňa zákon č. 571/2009 Z. z. o rodičovskom príspevku a o zmene a doplnení niektorých zákonov v znení neskorších predpisov.</w:t>
      </w:r>
    </w:p>
  </w:footnote>
  <w:footnote w:id="54">
    <w:p w14:paraId="7326E0B1" w14:textId="56211409" w:rsidR="00DD5D9D" w:rsidRPr="00387EA0" w:rsidRDefault="00DD5D9D">
      <w:pPr>
        <w:pStyle w:val="Textpoznmkypodiarou"/>
        <w:rPr>
          <w:szCs w:val="16"/>
        </w:rPr>
      </w:pPr>
      <w:r w:rsidRPr="00387EA0">
        <w:rPr>
          <w:rStyle w:val="Odkaznapoznmkupodiarou"/>
          <w:szCs w:val="16"/>
        </w:rPr>
        <w:footnoteRef/>
      </w:r>
      <w:r w:rsidRPr="00387EA0">
        <w:rPr>
          <w:szCs w:val="16"/>
        </w:rPr>
        <w:t xml:space="preserve"> Základná suma v roku 2023 je stanovená na 301 eur (oprávnená osoba nepoberala pred rodičovským materský príspevok) a 412,60 eur (oprávnená osoba poberala pred rodičovským materský príspevok).</w:t>
      </w:r>
    </w:p>
  </w:footnote>
  <w:footnote w:id="55">
    <w:p w14:paraId="28AEA15F" w14:textId="4BB1A4D4" w:rsidR="00DD5D9D" w:rsidRPr="00387EA0" w:rsidRDefault="00DD5D9D" w:rsidP="00387EA0">
      <w:pPr>
        <w:pStyle w:val="Textpoznmkypodiarou"/>
        <w:rPr>
          <w:szCs w:val="16"/>
        </w:rPr>
      </w:pPr>
      <w:r w:rsidRPr="00387EA0">
        <w:rPr>
          <w:rStyle w:val="Odkaznapoznmkupodiarou"/>
          <w:szCs w:val="16"/>
        </w:rPr>
        <w:footnoteRef/>
      </w:r>
      <w:r>
        <w:rPr>
          <w:szCs w:val="16"/>
        </w:rPr>
        <w:t xml:space="preserve"> Uznesenie vlády </w:t>
      </w:r>
      <w:r w:rsidRPr="002D650E">
        <w:rPr>
          <w:szCs w:val="16"/>
        </w:rPr>
        <w:t>UV-26042/2022</w:t>
      </w:r>
      <w:r>
        <w:rPr>
          <w:szCs w:val="16"/>
        </w:rPr>
        <w:t>.</w:t>
      </w:r>
      <w:r w:rsidRPr="00387EA0">
        <w:rPr>
          <w:szCs w:val="16"/>
        </w:rPr>
        <w:t xml:space="preserve"> </w:t>
      </w:r>
      <w:r w:rsidRPr="00387EA0">
        <w:rPr>
          <w:rStyle w:val="Hypertextovprepojenie"/>
          <w:sz w:val="16"/>
          <w:szCs w:val="16"/>
        </w:rPr>
        <w:t>[</w:t>
      </w:r>
      <w:hyperlink r:id="rId26" w:history="1">
        <w:r w:rsidRPr="00387EA0">
          <w:rPr>
            <w:rStyle w:val="Hypertextovprepojenie"/>
            <w:sz w:val="16"/>
            <w:szCs w:val="16"/>
          </w:rPr>
          <w:t>online</w:t>
        </w:r>
      </w:hyperlink>
      <w:r w:rsidRPr="00387EA0">
        <w:rPr>
          <w:rStyle w:val="Hypertextovprepojenie"/>
          <w:sz w:val="16"/>
          <w:szCs w:val="16"/>
        </w:rPr>
        <w:t>]</w:t>
      </w:r>
      <w:r>
        <w:rPr>
          <w:rStyle w:val="Hypertextovprepojenie"/>
          <w:sz w:val="16"/>
          <w:szCs w:val="16"/>
        </w:rPr>
        <w:t>.</w:t>
      </w:r>
    </w:p>
  </w:footnote>
  <w:footnote w:id="56">
    <w:p w14:paraId="4E717335" w14:textId="3B531FFE" w:rsidR="00DD5D9D" w:rsidRPr="00387EA0" w:rsidRDefault="00DD5D9D" w:rsidP="00387EA0">
      <w:pPr>
        <w:pStyle w:val="Textpoznmkypodiarou"/>
        <w:rPr>
          <w:szCs w:val="16"/>
        </w:rPr>
      </w:pPr>
      <w:r w:rsidRPr="00387EA0">
        <w:rPr>
          <w:rStyle w:val="Odkaznapoznmkupodiarou"/>
          <w:szCs w:val="16"/>
        </w:rPr>
        <w:footnoteRef/>
      </w:r>
      <w:r w:rsidRPr="00387EA0">
        <w:rPr>
          <w:szCs w:val="16"/>
        </w:rPr>
        <w:t xml:space="preserve"> </w:t>
      </w:r>
      <w:r>
        <w:rPr>
          <w:szCs w:val="16"/>
        </w:rPr>
        <w:t xml:space="preserve">Uznesenie vlády </w:t>
      </w:r>
      <w:r w:rsidRPr="002D650E">
        <w:rPr>
          <w:szCs w:val="16"/>
        </w:rPr>
        <w:t>UV-2159/2023</w:t>
      </w:r>
      <w:r>
        <w:rPr>
          <w:szCs w:val="16"/>
        </w:rPr>
        <w:t>.</w:t>
      </w:r>
      <w:r w:rsidRPr="002D650E">
        <w:rPr>
          <w:rStyle w:val="Hypertextovprepojenie"/>
          <w:color w:val="auto"/>
          <w:sz w:val="16"/>
          <w:szCs w:val="16"/>
          <w:u w:val="none"/>
        </w:rPr>
        <w:t xml:space="preserve"> </w:t>
      </w:r>
      <w:r w:rsidRPr="00387EA0">
        <w:rPr>
          <w:rStyle w:val="Hypertextovprepojenie"/>
          <w:sz w:val="16"/>
          <w:szCs w:val="16"/>
        </w:rPr>
        <w:t>[</w:t>
      </w:r>
      <w:hyperlink r:id="rId27" w:history="1">
        <w:r w:rsidRPr="00387EA0">
          <w:rPr>
            <w:rStyle w:val="Hypertextovprepojenie"/>
            <w:sz w:val="16"/>
            <w:szCs w:val="16"/>
          </w:rPr>
          <w:t>online</w:t>
        </w:r>
      </w:hyperlink>
      <w:r w:rsidRPr="00387EA0">
        <w:rPr>
          <w:rStyle w:val="Hypertextovprepojenie"/>
          <w:sz w:val="16"/>
          <w:szCs w:val="16"/>
        </w:rPr>
        <w:t>]</w:t>
      </w:r>
      <w:r>
        <w:rPr>
          <w:rStyle w:val="Hypertextovprepojenie"/>
          <w:sz w:val="16"/>
          <w:szCs w:val="16"/>
        </w:rPr>
        <w:t>.</w:t>
      </w:r>
    </w:p>
  </w:footnote>
  <w:footnote w:id="57">
    <w:p w14:paraId="715D8CD8" w14:textId="019F4496" w:rsidR="00DD5D9D" w:rsidRPr="00387EA0" w:rsidRDefault="00DD5D9D" w:rsidP="00387EA0">
      <w:pPr>
        <w:pStyle w:val="Textpoznmkypodiarou"/>
        <w:rPr>
          <w:szCs w:val="16"/>
        </w:rPr>
      </w:pPr>
      <w:r w:rsidRPr="00387EA0">
        <w:rPr>
          <w:rStyle w:val="Odkaznapoznmkupodiarou"/>
          <w:szCs w:val="16"/>
        </w:rPr>
        <w:footnoteRef/>
      </w:r>
      <w:r w:rsidRPr="00387EA0">
        <w:rPr>
          <w:szCs w:val="16"/>
        </w:rPr>
        <w:t xml:space="preserve"> </w:t>
      </w:r>
      <w:r>
        <w:rPr>
          <w:szCs w:val="16"/>
        </w:rPr>
        <w:t xml:space="preserve">Plán obnovy. </w:t>
      </w:r>
      <w:r w:rsidRPr="00387EA0">
        <w:rPr>
          <w:rStyle w:val="Hypertextovprepojenie"/>
          <w:sz w:val="16"/>
          <w:szCs w:val="16"/>
        </w:rPr>
        <w:t>[</w:t>
      </w:r>
      <w:hyperlink r:id="rId28" w:history="1">
        <w:r w:rsidRPr="00387EA0">
          <w:rPr>
            <w:rStyle w:val="Hypertextovprepojenie"/>
            <w:sz w:val="16"/>
            <w:szCs w:val="16"/>
          </w:rPr>
          <w:t>online</w:t>
        </w:r>
      </w:hyperlink>
      <w:r w:rsidRPr="00387EA0">
        <w:rPr>
          <w:rStyle w:val="Hypertextovprepojenie"/>
          <w:sz w:val="16"/>
          <w:szCs w:val="16"/>
        </w:rPr>
        <w:t>]</w:t>
      </w:r>
      <w:r>
        <w:rPr>
          <w:rStyle w:val="Hypertextovprepojenie"/>
          <w:sz w:val="16"/>
          <w:szCs w:val="16"/>
        </w:rPr>
        <w:t>.</w:t>
      </w:r>
    </w:p>
  </w:footnote>
  <w:footnote w:id="58">
    <w:p w14:paraId="3DCF055F" w14:textId="141428CF" w:rsidR="00DD5D9D" w:rsidRPr="00387EA0" w:rsidRDefault="00DD5D9D" w:rsidP="00387EA0">
      <w:pPr>
        <w:pStyle w:val="Textpoznmkypodiarou"/>
        <w:rPr>
          <w:szCs w:val="16"/>
        </w:rPr>
      </w:pPr>
      <w:r w:rsidRPr="00387EA0">
        <w:rPr>
          <w:rStyle w:val="Odkaznapoznmkupodiarou"/>
          <w:szCs w:val="16"/>
        </w:rPr>
        <w:footnoteRef/>
      </w:r>
      <w:r w:rsidRPr="00387EA0">
        <w:rPr>
          <w:szCs w:val="16"/>
        </w:rPr>
        <w:t xml:space="preserve"> </w:t>
      </w:r>
      <w:r>
        <w:rPr>
          <w:szCs w:val="16"/>
        </w:rPr>
        <w:t xml:space="preserve">Plán obnovy. </w:t>
      </w:r>
      <w:r w:rsidRPr="00387EA0">
        <w:rPr>
          <w:rStyle w:val="Hypertextovprepojenie"/>
          <w:sz w:val="16"/>
          <w:szCs w:val="16"/>
        </w:rPr>
        <w:t>[</w:t>
      </w:r>
      <w:hyperlink r:id="rId29" w:history="1">
        <w:r w:rsidRPr="00387EA0">
          <w:rPr>
            <w:rStyle w:val="Hypertextovprepojenie"/>
            <w:sz w:val="16"/>
            <w:szCs w:val="16"/>
          </w:rPr>
          <w:t>online</w:t>
        </w:r>
      </w:hyperlink>
      <w:r w:rsidRPr="00387EA0">
        <w:rPr>
          <w:rStyle w:val="Hypertextovprepojenie"/>
          <w:sz w:val="16"/>
          <w:szCs w:val="16"/>
        </w:rPr>
        <w:t>]</w:t>
      </w:r>
      <w:r>
        <w:rPr>
          <w:rStyle w:val="Hypertextovprepojenie"/>
          <w:sz w:val="16"/>
          <w:szCs w:val="16"/>
        </w:rPr>
        <w:t>.</w:t>
      </w:r>
    </w:p>
  </w:footnote>
  <w:footnote w:id="59">
    <w:p w14:paraId="4A0DE7E0" w14:textId="51CCE37C" w:rsidR="00DD5D9D" w:rsidRPr="00387EA0" w:rsidRDefault="00DD5D9D" w:rsidP="00387EA0">
      <w:pPr>
        <w:pStyle w:val="Textpoznmkypodiarou"/>
        <w:rPr>
          <w:szCs w:val="16"/>
        </w:rPr>
      </w:pPr>
      <w:r w:rsidRPr="00387EA0">
        <w:rPr>
          <w:rStyle w:val="Odkaznapoznmkupodiarou"/>
          <w:szCs w:val="16"/>
        </w:rPr>
        <w:footnoteRef/>
      </w:r>
      <w:r w:rsidRPr="00387EA0">
        <w:rPr>
          <w:szCs w:val="16"/>
        </w:rPr>
        <w:t xml:space="preserve"> </w:t>
      </w:r>
      <w:r>
        <w:rPr>
          <w:szCs w:val="16"/>
        </w:rPr>
        <w:t xml:space="preserve">Oznámenie o výsledku VO </w:t>
      </w:r>
      <w:r w:rsidRPr="002D650E">
        <w:rPr>
          <w:szCs w:val="16"/>
        </w:rPr>
        <w:t xml:space="preserve">18276 </w:t>
      </w:r>
      <w:r>
        <w:rPr>
          <w:szCs w:val="16"/>
        </w:rPr>
        <w:t>–</w:t>
      </w:r>
      <w:r w:rsidRPr="002D650E">
        <w:rPr>
          <w:szCs w:val="16"/>
        </w:rPr>
        <w:t xml:space="preserve"> VSP</w:t>
      </w:r>
      <w:r>
        <w:rPr>
          <w:szCs w:val="16"/>
        </w:rPr>
        <w:t>.</w:t>
      </w:r>
      <w:r w:rsidRPr="002D650E">
        <w:rPr>
          <w:rStyle w:val="Hypertextovprepojenie"/>
          <w:color w:val="auto"/>
          <w:sz w:val="16"/>
          <w:szCs w:val="16"/>
          <w:u w:val="none"/>
        </w:rPr>
        <w:t xml:space="preserve"> </w:t>
      </w:r>
      <w:r w:rsidRPr="00387EA0">
        <w:rPr>
          <w:rStyle w:val="Hypertextovprepojenie"/>
          <w:sz w:val="16"/>
          <w:szCs w:val="16"/>
        </w:rPr>
        <w:t>[</w:t>
      </w:r>
      <w:hyperlink r:id="rId30" w:history="1">
        <w:r w:rsidRPr="00387EA0">
          <w:rPr>
            <w:rStyle w:val="Hypertextovprepojenie"/>
            <w:sz w:val="16"/>
            <w:szCs w:val="16"/>
          </w:rPr>
          <w:t>online</w:t>
        </w:r>
      </w:hyperlink>
      <w:r w:rsidRPr="00387EA0">
        <w:rPr>
          <w:rStyle w:val="Hypertextovprepojenie"/>
          <w:sz w:val="16"/>
          <w:szCs w:val="16"/>
        </w:rPr>
        <w:t>]</w:t>
      </w:r>
      <w:r>
        <w:rPr>
          <w:rStyle w:val="Hypertextovprepojenie"/>
          <w:sz w:val="16"/>
          <w:szCs w:val="16"/>
        </w:rPr>
        <w:t>.</w:t>
      </w:r>
    </w:p>
  </w:footnote>
  <w:footnote w:id="60">
    <w:p w14:paraId="5133241C" w14:textId="33B82D04" w:rsidR="00DD5D9D" w:rsidRPr="002F6E31" w:rsidRDefault="00DD5D9D" w:rsidP="008265EF">
      <w:pPr>
        <w:spacing w:after="0" w:line="240" w:lineRule="auto"/>
        <w:rPr>
          <w:rFonts w:cs="Segoe UI"/>
          <w:sz w:val="16"/>
          <w:szCs w:val="16"/>
        </w:rPr>
      </w:pPr>
      <w:r w:rsidRPr="002F6E31">
        <w:rPr>
          <w:rFonts w:cs="Segoe UI"/>
          <w:sz w:val="16"/>
          <w:szCs w:val="16"/>
          <w:vertAlign w:val="superscript"/>
        </w:rPr>
        <w:footnoteRef/>
      </w:r>
      <w:r w:rsidRPr="002F6E31">
        <w:rPr>
          <w:rFonts w:cs="Segoe UI"/>
          <w:sz w:val="16"/>
          <w:szCs w:val="16"/>
          <w:vertAlign w:val="superscript"/>
        </w:rPr>
        <w:t xml:space="preserve"> </w:t>
      </w:r>
      <w:r w:rsidRPr="002F6E31">
        <w:rPr>
          <w:rFonts w:cs="Segoe UI"/>
          <w:sz w:val="16"/>
          <w:szCs w:val="16"/>
        </w:rPr>
        <w:t xml:space="preserve">NKÚ SR, 2022: Samospráva </w:t>
      </w:r>
      <w:r>
        <w:rPr>
          <w:rFonts w:cs="Segoe UI"/>
          <w:sz w:val="16"/>
          <w:szCs w:val="16"/>
        </w:rPr>
        <w:t>[</w:t>
      </w:r>
      <w:hyperlink r:id="rId31" w:history="1">
        <w:r w:rsidRPr="002F6E31">
          <w:rPr>
            <w:rStyle w:val="Hypertextovprepojenie"/>
            <w:rFonts w:cs="Segoe UI"/>
            <w:sz w:val="16"/>
            <w:szCs w:val="16"/>
          </w:rPr>
          <w:t>online</w:t>
        </w:r>
      </w:hyperlink>
      <w:r>
        <w:rPr>
          <w:rStyle w:val="Hypertextovprepojenie"/>
          <w:rFonts w:cs="Segoe UI"/>
          <w:sz w:val="16"/>
          <w:szCs w:val="16"/>
        </w:rPr>
        <w:t>]</w:t>
      </w:r>
      <w:r>
        <w:rPr>
          <w:rStyle w:val="Hypertextovprepojenie"/>
          <w:rFonts w:cs="Segoe UI"/>
          <w:sz w:val="16"/>
          <w:szCs w:val="16"/>
          <w:u w:val="none"/>
        </w:rPr>
        <w:t>.</w:t>
      </w:r>
      <w:r w:rsidRPr="002F6E31">
        <w:rPr>
          <w:rFonts w:cs="Segoe UI"/>
          <w:sz w:val="16"/>
          <w:szCs w:val="16"/>
        </w:rPr>
        <w:t xml:space="preserve"> (KA 038/2021/1100 – Obec Andovce</w:t>
      </w:r>
      <w:r w:rsidRPr="002F6E31">
        <w:rPr>
          <w:rFonts w:cs="Segoe UI"/>
          <w:color w:val="1F497D"/>
          <w:sz w:val="16"/>
          <w:szCs w:val="16"/>
        </w:rPr>
        <w:t xml:space="preserve">, </w:t>
      </w:r>
      <w:r w:rsidRPr="002F6E31">
        <w:rPr>
          <w:rFonts w:cs="Segoe UI"/>
          <w:sz w:val="16"/>
          <w:szCs w:val="16"/>
        </w:rPr>
        <w:t>KA005/2022 Príjmy obcí v pandémii, KA027/2022 Športová infraštruktúra na základných školách, KA029/2022 Projekty zamerané na zlepšenie energetickej efektívnosti v podmienkach miestnej samosprávy, KA030/2022 Vymáhanie nedoplatkov v samospráve, KA031/2022 Systém podpory cyklistickej dopravy, KA037/2022 Hospodárenie Košického samosprávneho kraja a Správy ciest Košického samosprávneho kraja, KA038/2022 Obec Uhliská).</w:t>
      </w:r>
    </w:p>
  </w:footnote>
  <w:footnote w:id="61">
    <w:p w14:paraId="5833032B" w14:textId="77777777" w:rsidR="00DD5D9D" w:rsidRPr="008842A6" w:rsidRDefault="00DD5D9D" w:rsidP="002664FC">
      <w:pPr>
        <w:pStyle w:val="Textpoznmkypodiarou"/>
        <w:rPr>
          <w:rFonts w:cs="Segoe UI"/>
          <w:szCs w:val="16"/>
        </w:rPr>
      </w:pPr>
      <w:r w:rsidRPr="008842A6">
        <w:rPr>
          <w:rStyle w:val="Odkaznapoznmkupodiarou"/>
          <w:rFonts w:cs="Segoe UI"/>
          <w:szCs w:val="16"/>
        </w:rPr>
        <w:footnoteRef/>
      </w:r>
      <w:r w:rsidRPr="008842A6">
        <w:rPr>
          <w:rFonts w:cs="Segoe UI"/>
          <w:szCs w:val="16"/>
        </w:rPr>
        <w:t xml:space="preserve"> Splátky na ročnej báze, pričom prvá splátka bude v roku 2024 a posledná splátka v roku 2027. </w:t>
      </w:r>
      <w:r w:rsidRPr="008842A6">
        <w:rPr>
          <w:rFonts w:cs="Segoe UI"/>
          <w:szCs w:val="16"/>
          <w:lang w:val="en-US"/>
        </w:rPr>
        <w:t>[</w:t>
      </w:r>
      <w:hyperlink r:id="rId32" w:history="1">
        <w:r w:rsidRPr="008842A6">
          <w:rPr>
            <w:rStyle w:val="Hypertextovprepojenie"/>
            <w:rFonts w:cs="Segoe UI"/>
            <w:sz w:val="16"/>
            <w:szCs w:val="16"/>
            <w:lang w:val="en-US"/>
          </w:rPr>
          <w:t>online</w:t>
        </w:r>
      </w:hyperlink>
      <w:r w:rsidRPr="008842A6">
        <w:rPr>
          <w:rFonts w:cs="Segoe UI"/>
          <w:szCs w:val="16"/>
          <w:lang w:val="en-US"/>
        </w:rPr>
        <w:t>].</w:t>
      </w:r>
    </w:p>
  </w:footnote>
  <w:footnote w:id="62">
    <w:p w14:paraId="439AEA99" w14:textId="6668A543" w:rsidR="00DD5D9D" w:rsidRPr="00533546" w:rsidRDefault="00DD5D9D" w:rsidP="005E667F">
      <w:pPr>
        <w:spacing w:after="0" w:line="240" w:lineRule="auto"/>
        <w:rPr>
          <w:sz w:val="16"/>
          <w:szCs w:val="16"/>
        </w:rPr>
      </w:pPr>
      <w:r w:rsidRPr="008842A6">
        <w:rPr>
          <w:rStyle w:val="Odkaznapoznmkupodiarou"/>
          <w:sz w:val="16"/>
          <w:szCs w:val="16"/>
        </w:rPr>
        <w:footnoteRef/>
      </w:r>
      <w:r w:rsidRPr="008842A6">
        <w:rPr>
          <w:sz w:val="16"/>
          <w:szCs w:val="16"/>
        </w:rPr>
        <w:t xml:space="preserve"> Na celkovom objeme prijatých transferov sa sumou 1 092 321 tis. eur podieľali transfery na úhradu nákladov na prenesený výkon štátnej  správy na normatívne a nenormatívne výdavky. Ďalšie čiastky, ktoré prijali obce v rámci bežných transferov</w:t>
      </w:r>
      <w:r>
        <w:rPr>
          <w:sz w:val="16"/>
          <w:szCs w:val="16"/>
        </w:rPr>
        <w:t>,</w:t>
      </w:r>
      <w:r w:rsidRPr="008842A6">
        <w:rPr>
          <w:sz w:val="16"/>
          <w:szCs w:val="16"/>
        </w:rPr>
        <w:t xml:space="preserve"> boli určené na úhradu nákladov súvisiacich s ozbrojeným konfliktom na Ukrajine (na ubytovanie odídencov), na refundáciu výdavkov</w:t>
      </w:r>
      <w:r w:rsidRPr="006F116B">
        <w:rPr>
          <w:sz w:val="16"/>
          <w:szCs w:val="16"/>
        </w:rPr>
        <w:t xml:space="preserve"> v súvislosti s ochorením COVID-19, na ochranu životného prostredia, na sociálne služby a iné. Kapitálové transfery zo ŠR a zahraničných subjektov a tiež prostriedky z EÚ boli obciam poskytnuté na realizáciu prebiehajúcich a plánovaných investičných akcií v rámci projektov odpadového hospodárstva, kvality zelene, sociálny</w:t>
      </w:r>
      <w:r>
        <w:rPr>
          <w:sz w:val="16"/>
          <w:szCs w:val="16"/>
        </w:rPr>
        <w:t>ch služieb, školstva a dopravy.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03" w:type="pct"/>
      <w:tblInd w:w="-1418"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2341"/>
    </w:tblGrid>
    <w:tr w:rsidR="00DD5D9D" w14:paraId="3D984AF9" w14:textId="77777777" w:rsidTr="00D368ED">
      <w:trPr>
        <w:trHeight w:val="1911"/>
      </w:trPr>
      <w:tc>
        <w:tcPr>
          <w:tcW w:w="5000" w:type="pct"/>
          <w:shd w:val="clear" w:color="auto" w:fill="314364"/>
          <w:vAlign w:val="center"/>
        </w:tcPr>
        <w:p w14:paraId="1278EAFC" w14:textId="77777777" w:rsidR="00DD5D9D" w:rsidRPr="00D368ED" w:rsidRDefault="00DD5D9D" w:rsidP="00C62DA9">
          <w:pPr>
            <w:pStyle w:val="Hlavika"/>
            <w:spacing w:before="360" w:after="240"/>
            <w:ind w:left="1308"/>
            <w:jc w:val="left"/>
            <w:rPr>
              <w:rFonts w:cs="Segoe UI"/>
              <w:b/>
              <w:caps/>
              <w:color w:val="FFFFFF" w:themeColor="background1"/>
              <w:sz w:val="40"/>
              <w:szCs w:val="40"/>
            </w:rPr>
          </w:pPr>
          <w:r w:rsidRPr="0060315B">
            <w:rPr>
              <w:rFonts w:cs="Segoe UI"/>
              <w:noProof/>
              <w:color w:val="FFFFFF" w:themeColor="background1"/>
              <w:sz w:val="40"/>
              <w:lang w:eastAsia="sk-SK"/>
            </w:rPr>
            <w:drawing>
              <wp:anchor distT="0" distB="0" distL="114300" distR="114300" simplePos="0" relativeHeight="251659264" behindDoc="0" locked="0" layoutInCell="1" allowOverlap="1" wp14:anchorId="29CDF2DF" wp14:editId="5310C9D4">
                <wp:simplePos x="0" y="0"/>
                <wp:positionH relativeFrom="margin">
                  <wp:posOffset>5232400</wp:posOffset>
                </wp:positionH>
                <wp:positionV relativeFrom="margin">
                  <wp:posOffset>189865</wp:posOffset>
                </wp:positionV>
                <wp:extent cx="1400175" cy="1031875"/>
                <wp:effectExtent l="0" t="0" r="9525" b="0"/>
                <wp:wrapSquare wrapText="bothSides"/>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ok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175" cy="1031875"/>
                        </a:xfrm>
                        <a:prstGeom prst="rect">
                          <a:avLst/>
                        </a:prstGeom>
                      </pic:spPr>
                    </pic:pic>
                  </a:graphicData>
                </a:graphic>
                <wp14:sizeRelH relativeFrom="margin">
                  <wp14:pctWidth>0</wp14:pctWidth>
                </wp14:sizeRelH>
                <wp14:sizeRelV relativeFrom="margin">
                  <wp14:pctHeight>0</wp14:pctHeight>
                </wp14:sizeRelV>
              </wp:anchor>
            </w:drawing>
          </w:r>
          <w:r w:rsidRPr="00D368ED">
            <w:rPr>
              <w:rFonts w:cs="Segoe UI"/>
              <w:b/>
              <w:caps/>
              <w:color w:val="FFFFFF" w:themeColor="background1"/>
              <w:sz w:val="40"/>
              <w:szCs w:val="40"/>
            </w:rPr>
            <w:t>NAJVYŠŠÍ KONTROLNÝ ÚRAD</w:t>
          </w:r>
          <w:r w:rsidRPr="00D368ED">
            <w:rPr>
              <w:rFonts w:cs="Segoe UI"/>
              <w:b/>
              <w:caps/>
              <w:color w:val="FFFFFF" w:themeColor="background1"/>
              <w:sz w:val="40"/>
              <w:szCs w:val="40"/>
            </w:rPr>
            <w:br/>
            <w:t>SLOVENSKEJ REPUBLIKY</w:t>
          </w:r>
        </w:p>
        <w:p w14:paraId="599B805D" w14:textId="77777777" w:rsidR="00DD5D9D" w:rsidRPr="00452B4A" w:rsidRDefault="00DD5D9D" w:rsidP="00D368ED">
          <w:pPr>
            <w:pStyle w:val="Hlavika"/>
            <w:ind w:left="1308"/>
            <w:jc w:val="left"/>
            <w:rPr>
              <w:rFonts w:ascii="Montserrat" w:hAnsi="Montserrat"/>
              <w:caps/>
              <w:color w:val="FFFFFF" w:themeColor="background1"/>
            </w:rPr>
          </w:pPr>
          <w:r>
            <w:rPr>
              <w:rFonts w:cs="Segoe UI"/>
              <w:color w:val="FFFFFF" w:themeColor="background1"/>
              <w:sz w:val="24"/>
            </w:rPr>
            <w:t>www.nku.gov.sk</w:t>
          </w:r>
        </w:p>
      </w:tc>
    </w:tr>
  </w:tbl>
  <w:p w14:paraId="16810E79" w14:textId="77777777" w:rsidR="00DD5D9D" w:rsidRDefault="00DD5D9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00" w:type="pct"/>
      <w:tblInd w:w="-1471"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1972"/>
    </w:tblGrid>
    <w:tr w:rsidR="00DD5D9D" w14:paraId="327BD975" w14:textId="77777777" w:rsidTr="0056118C">
      <w:trPr>
        <w:trHeight w:val="1134"/>
      </w:trPr>
      <w:tc>
        <w:tcPr>
          <w:tcW w:w="5000" w:type="pct"/>
          <w:shd w:val="clear" w:color="auto" w:fill="314364"/>
          <w:vAlign w:val="center"/>
        </w:tcPr>
        <w:p w14:paraId="09198123" w14:textId="77777777" w:rsidR="00DD5D9D" w:rsidRPr="00962F36" w:rsidRDefault="00DD5D9D" w:rsidP="00092577">
          <w:pPr>
            <w:pStyle w:val="Hlavika"/>
            <w:tabs>
              <w:tab w:val="clear" w:pos="4536"/>
              <w:tab w:val="center" w:pos="309"/>
            </w:tabs>
            <w:spacing w:before="120"/>
            <w:ind w:left="309" w:right="1296"/>
            <w:jc w:val="right"/>
            <w:rPr>
              <w:rFonts w:cs="Segoe UI"/>
              <w:color w:val="FFFFFF" w:themeColor="background1"/>
              <w:sz w:val="24"/>
            </w:rPr>
          </w:pPr>
          <w:r>
            <w:rPr>
              <w:rFonts w:cs="Segoe UI"/>
              <w:color w:val="FFFFFF" w:themeColor="background1"/>
              <w:sz w:val="24"/>
            </w:rPr>
            <w:t>www.nku.gov.sk</w:t>
          </w:r>
        </w:p>
      </w:tc>
    </w:tr>
  </w:tbl>
  <w:p w14:paraId="54522AC1" w14:textId="77777777" w:rsidR="00DD5D9D" w:rsidRDefault="00DD5D9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00" w:type="pct"/>
      <w:tblInd w:w="-1471"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8858"/>
    </w:tblGrid>
    <w:tr w:rsidR="00DD5D9D" w14:paraId="62F31D54" w14:textId="77777777" w:rsidTr="0056118C">
      <w:trPr>
        <w:trHeight w:val="1134"/>
      </w:trPr>
      <w:tc>
        <w:tcPr>
          <w:tcW w:w="5000" w:type="pct"/>
          <w:shd w:val="clear" w:color="auto" w:fill="314364"/>
          <w:vAlign w:val="center"/>
        </w:tcPr>
        <w:p w14:paraId="707C1308" w14:textId="77777777" w:rsidR="00DD5D9D" w:rsidRPr="00962F36" w:rsidRDefault="00DD5D9D" w:rsidP="00C119D8">
          <w:pPr>
            <w:pStyle w:val="Hlavika"/>
            <w:tabs>
              <w:tab w:val="clear" w:pos="4536"/>
              <w:tab w:val="center" w:pos="309"/>
            </w:tabs>
            <w:spacing w:before="120"/>
            <w:ind w:left="309" w:right="3376"/>
            <w:jc w:val="right"/>
            <w:rPr>
              <w:rFonts w:cs="Segoe UI"/>
              <w:color w:val="FFFFFF" w:themeColor="background1"/>
              <w:sz w:val="24"/>
            </w:rPr>
          </w:pPr>
          <w:r>
            <w:rPr>
              <w:rFonts w:cs="Segoe UI"/>
              <w:color w:val="FFFFFF" w:themeColor="background1"/>
              <w:sz w:val="24"/>
            </w:rPr>
            <w:t>www.nku.gov.sk</w:t>
          </w:r>
        </w:p>
      </w:tc>
    </w:tr>
  </w:tbl>
  <w:p w14:paraId="23B9106F" w14:textId="77777777" w:rsidR="00DD5D9D" w:rsidRDefault="00DD5D9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00" w:type="pct"/>
      <w:tblInd w:w="-1471" w:type="dxa"/>
      <w:shd w:val="clear" w:color="auto" w:fill="9CB9EC" w:themeFill="accent2"/>
      <w:tblCellMar>
        <w:top w:w="115" w:type="dxa"/>
        <w:left w:w="115" w:type="dxa"/>
        <w:bottom w:w="115" w:type="dxa"/>
        <w:right w:w="115" w:type="dxa"/>
      </w:tblCellMar>
      <w:tblLook w:val="04A0" w:firstRow="1" w:lastRow="0" w:firstColumn="1" w:lastColumn="0" w:noHBand="0" w:noVBand="1"/>
    </w:tblPr>
    <w:tblGrid>
      <w:gridCol w:w="11972"/>
    </w:tblGrid>
    <w:tr w:rsidR="00DD5D9D" w14:paraId="2FA96F4E" w14:textId="77777777" w:rsidTr="0056118C">
      <w:trPr>
        <w:trHeight w:val="1134"/>
      </w:trPr>
      <w:tc>
        <w:tcPr>
          <w:tcW w:w="5000" w:type="pct"/>
          <w:shd w:val="clear" w:color="auto" w:fill="314364"/>
          <w:vAlign w:val="center"/>
        </w:tcPr>
        <w:p w14:paraId="7B601242" w14:textId="6862BF46" w:rsidR="00DD5D9D" w:rsidRPr="00962F36" w:rsidRDefault="00DD5D9D" w:rsidP="00092577">
          <w:pPr>
            <w:pStyle w:val="Hlavika"/>
            <w:tabs>
              <w:tab w:val="clear" w:pos="4536"/>
              <w:tab w:val="center" w:pos="309"/>
            </w:tabs>
            <w:spacing w:before="120"/>
            <w:ind w:left="309" w:right="1296"/>
            <w:jc w:val="right"/>
            <w:rPr>
              <w:rFonts w:cs="Segoe UI"/>
              <w:color w:val="FFFFFF" w:themeColor="background1"/>
              <w:sz w:val="24"/>
            </w:rPr>
          </w:pPr>
          <w:r>
            <w:rPr>
              <w:rFonts w:cs="Segoe UI"/>
              <w:color w:val="FFFFFF" w:themeColor="background1"/>
              <w:sz w:val="24"/>
            </w:rPr>
            <w:t>www.nku.gov.sk</w:t>
          </w:r>
        </w:p>
      </w:tc>
    </w:tr>
  </w:tbl>
  <w:p w14:paraId="121FCA99" w14:textId="77777777" w:rsidR="00DD5D9D" w:rsidRDefault="00DD5D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F5B7F"/>
    <w:multiLevelType w:val="hybridMultilevel"/>
    <w:tmpl w:val="E9282D78"/>
    <w:lvl w:ilvl="0" w:tplc="07FE0F28">
      <w:start w:val="1"/>
      <w:numFmt w:val="bullet"/>
      <w:lvlText w:val="-"/>
      <w:lvlJc w:val="left"/>
      <w:pPr>
        <w:ind w:left="720" w:hanging="360"/>
      </w:pPr>
      <w:rPr>
        <w:rFonts w:ascii="Segoe UI" w:eastAsia="Calibri"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BC401FD"/>
    <w:multiLevelType w:val="hybridMultilevel"/>
    <w:tmpl w:val="C0D0763E"/>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 w15:restartNumberingAfterBreak="0">
    <w:nsid w:val="3F642969"/>
    <w:multiLevelType w:val="hybridMultilevel"/>
    <w:tmpl w:val="485A2692"/>
    <w:lvl w:ilvl="0" w:tplc="365491D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223A1A"/>
    <w:multiLevelType w:val="hybridMultilevel"/>
    <w:tmpl w:val="90688902"/>
    <w:lvl w:ilvl="0" w:tplc="7FBE4410">
      <w:numFmt w:val="bullet"/>
      <w:lvlText w:val="-"/>
      <w:lvlJc w:val="left"/>
      <w:pPr>
        <w:ind w:left="720" w:hanging="360"/>
      </w:pPr>
      <w:rPr>
        <w:rFonts w:ascii="Segoe UI" w:eastAsiaTheme="minorHAnsi"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600ABC"/>
    <w:multiLevelType w:val="hybridMultilevel"/>
    <w:tmpl w:val="7DB4E5CA"/>
    <w:lvl w:ilvl="0" w:tplc="5608C2E0">
      <w:start w:val="1"/>
      <w:numFmt w:val="bullet"/>
      <w:lvlText w:val=""/>
      <w:lvlJc w:val="left"/>
      <w:pPr>
        <w:ind w:left="510" w:hanging="15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F2569EA"/>
    <w:multiLevelType w:val="hybridMultilevel"/>
    <w:tmpl w:val="5826FEA6"/>
    <w:lvl w:ilvl="0" w:tplc="1EBC988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660D3C0F"/>
    <w:multiLevelType w:val="hybridMultilevel"/>
    <w:tmpl w:val="7936AE06"/>
    <w:lvl w:ilvl="0" w:tplc="980C73D2">
      <w:start w:val="1"/>
      <w:numFmt w:val="decimal"/>
      <w:pStyle w:val="Pouitliteratra"/>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51E5FAD"/>
    <w:multiLevelType w:val="hybridMultilevel"/>
    <w:tmpl w:val="A7F0221A"/>
    <w:lvl w:ilvl="0" w:tplc="EF927748">
      <w:start w:val="1"/>
      <w:numFmt w:val="bullet"/>
      <w:lvlText w:val=""/>
      <w:lvlJc w:val="left"/>
      <w:pPr>
        <w:ind w:left="510" w:hanging="340"/>
      </w:pPr>
      <w:rPr>
        <w:rFonts w:ascii="Symbol" w:hAnsi="Symbol" w:hint="default"/>
      </w:rPr>
    </w:lvl>
    <w:lvl w:ilvl="1" w:tplc="F17CB392">
      <w:numFmt w:val="bullet"/>
      <w:lvlText w:val="–"/>
      <w:lvlJc w:val="left"/>
      <w:pPr>
        <w:ind w:left="1440" w:hanging="360"/>
      </w:pPr>
      <w:rPr>
        <w:rFonts w:ascii="Arial Narrow" w:eastAsiaTheme="minorHAnsi" w:hAnsi="Arial Narrow" w:cstheme="minorBid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718234E"/>
    <w:multiLevelType w:val="multilevel"/>
    <w:tmpl w:val="059CA770"/>
    <w:lvl w:ilvl="0">
      <w:start w:val="1"/>
      <w:numFmt w:val="decimal"/>
      <w:pStyle w:val="Nadpis1"/>
      <w:lvlText w:val="%1"/>
      <w:lvlJc w:val="left"/>
      <w:pPr>
        <w:ind w:left="360" w:hanging="360"/>
      </w:pPr>
      <w:rPr>
        <w:rFonts w:hint="default"/>
      </w:rPr>
    </w:lvl>
    <w:lvl w:ilvl="1">
      <w:start w:val="1"/>
      <w:numFmt w:val="decimal"/>
      <w:isLgl/>
      <w:lvlText w:val="%1.%2"/>
      <w:lvlJc w:val="left"/>
      <w:pPr>
        <w:ind w:left="1343" w:hanging="525"/>
      </w:pPr>
      <w:rPr>
        <w:rFonts w:hint="default"/>
      </w:rPr>
    </w:lvl>
    <w:lvl w:ilvl="2">
      <w:start w:val="3"/>
      <w:numFmt w:val="decimal"/>
      <w:isLgl/>
      <w:lvlText w:val="%1.%2.%3"/>
      <w:lvlJc w:val="left"/>
      <w:pPr>
        <w:ind w:left="1996" w:hanging="720"/>
      </w:pPr>
      <w:rPr>
        <w:rFonts w:hint="default"/>
      </w:rPr>
    </w:lvl>
    <w:lvl w:ilvl="3">
      <w:start w:val="1"/>
      <w:numFmt w:val="decimal"/>
      <w:isLgl/>
      <w:lvlText w:val="%1.%2.%3.%4"/>
      <w:lvlJc w:val="left"/>
      <w:pPr>
        <w:ind w:left="2814" w:hanging="1080"/>
      </w:pPr>
      <w:rPr>
        <w:rFonts w:hint="default"/>
      </w:rPr>
    </w:lvl>
    <w:lvl w:ilvl="4">
      <w:start w:val="1"/>
      <w:numFmt w:val="decimal"/>
      <w:isLgl/>
      <w:lvlText w:val="%1.%2.%3.%4.%5"/>
      <w:lvlJc w:val="left"/>
      <w:pPr>
        <w:ind w:left="3272" w:hanging="1080"/>
      </w:pPr>
      <w:rPr>
        <w:rFonts w:hint="default"/>
      </w:rPr>
    </w:lvl>
    <w:lvl w:ilvl="5">
      <w:start w:val="1"/>
      <w:numFmt w:val="decimal"/>
      <w:isLgl/>
      <w:lvlText w:val="%1.%2.%3.%4.%5.%6"/>
      <w:lvlJc w:val="left"/>
      <w:pPr>
        <w:ind w:left="4090" w:hanging="144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5366" w:hanging="1800"/>
      </w:pPr>
      <w:rPr>
        <w:rFonts w:hint="default"/>
      </w:rPr>
    </w:lvl>
    <w:lvl w:ilvl="8">
      <w:start w:val="1"/>
      <w:numFmt w:val="decimal"/>
      <w:isLgl/>
      <w:lvlText w:val="%1.%2.%3.%4.%5.%6.%7.%8.%9"/>
      <w:lvlJc w:val="left"/>
      <w:pPr>
        <w:ind w:left="5824" w:hanging="1800"/>
      </w:pPr>
      <w:rPr>
        <w:rFonts w:hint="default"/>
      </w:rPr>
    </w:lvl>
  </w:abstractNum>
  <w:num w:numId="1">
    <w:abstractNumId w:val="6"/>
  </w:num>
  <w:num w:numId="2">
    <w:abstractNumId w:val="0"/>
  </w:num>
  <w:num w:numId="3">
    <w:abstractNumId w:val="3"/>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8"/>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6C2"/>
    <w:rsid w:val="00000294"/>
    <w:rsid w:val="000003AC"/>
    <w:rsid w:val="00000A60"/>
    <w:rsid w:val="00002667"/>
    <w:rsid w:val="00002EFA"/>
    <w:rsid w:val="000039A4"/>
    <w:rsid w:val="00003F74"/>
    <w:rsid w:val="00004033"/>
    <w:rsid w:val="00004B07"/>
    <w:rsid w:val="00005A23"/>
    <w:rsid w:val="00006881"/>
    <w:rsid w:val="00007439"/>
    <w:rsid w:val="00010D1E"/>
    <w:rsid w:val="00011DEB"/>
    <w:rsid w:val="00015CB4"/>
    <w:rsid w:val="00017CA7"/>
    <w:rsid w:val="00020393"/>
    <w:rsid w:val="0002054E"/>
    <w:rsid w:val="00021291"/>
    <w:rsid w:val="00022607"/>
    <w:rsid w:val="00023340"/>
    <w:rsid w:val="000237AF"/>
    <w:rsid w:val="00023E79"/>
    <w:rsid w:val="000248C3"/>
    <w:rsid w:val="00025225"/>
    <w:rsid w:val="0002561E"/>
    <w:rsid w:val="000306CA"/>
    <w:rsid w:val="00030D77"/>
    <w:rsid w:val="00031716"/>
    <w:rsid w:val="00031F34"/>
    <w:rsid w:val="00033B65"/>
    <w:rsid w:val="00034CCD"/>
    <w:rsid w:val="0003553D"/>
    <w:rsid w:val="00041476"/>
    <w:rsid w:val="00041751"/>
    <w:rsid w:val="00043049"/>
    <w:rsid w:val="000443C8"/>
    <w:rsid w:val="00046011"/>
    <w:rsid w:val="000469F1"/>
    <w:rsid w:val="00047A70"/>
    <w:rsid w:val="00050329"/>
    <w:rsid w:val="00050AE9"/>
    <w:rsid w:val="00050F66"/>
    <w:rsid w:val="000518F7"/>
    <w:rsid w:val="00051CA0"/>
    <w:rsid w:val="0005233D"/>
    <w:rsid w:val="00052D96"/>
    <w:rsid w:val="00054EA8"/>
    <w:rsid w:val="00055575"/>
    <w:rsid w:val="000567EB"/>
    <w:rsid w:val="00056B89"/>
    <w:rsid w:val="00056EB9"/>
    <w:rsid w:val="0005731D"/>
    <w:rsid w:val="000601AC"/>
    <w:rsid w:val="00060491"/>
    <w:rsid w:val="00060ADF"/>
    <w:rsid w:val="000615A9"/>
    <w:rsid w:val="00061772"/>
    <w:rsid w:val="00061EAE"/>
    <w:rsid w:val="00061F1F"/>
    <w:rsid w:val="00062025"/>
    <w:rsid w:val="000625B2"/>
    <w:rsid w:val="000628FE"/>
    <w:rsid w:val="000637F1"/>
    <w:rsid w:val="000645DC"/>
    <w:rsid w:val="00064BF9"/>
    <w:rsid w:val="00064CA0"/>
    <w:rsid w:val="000652A9"/>
    <w:rsid w:val="00065472"/>
    <w:rsid w:val="00066A87"/>
    <w:rsid w:val="00067084"/>
    <w:rsid w:val="00067346"/>
    <w:rsid w:val="00067591"/>
    <w:rsid w:val="0007157E"/>
    <w:rsid w:val="00071CBB"/>
    <w:rsid w:val="00071D97"/>
    <w:rsid w:val="00075266"/>
    <w:rsid w:val="000774D9"/>
    <w:rsid w:val="000807F8"/>
    <w:rsid w:val="00080D8B"/>
    <w:rsid w:val="00081734"/>
    <w:rsid w:val="00081B1A"/>
    <w:rsid w:val="000822F0"/>
    <w:rsid w:val="00083097"/>
    <w:rsid w:val="00083541"/>
    <w:rsid w:val="000841AE"/>
    <w:rsid w:val="0008598B"/>
    <w:rsid w:val="000869A6"/>
    <w:rsid w:val="00086CFA"/>
    <w:rsid w:val="00091193"/>
    <w:rsid w:val="00092577"/>
    <w:rsid w:val="00092B94"/>
    <w:rsid w:val="00092E55"/>
    <w:rsid w:val="0009377B"/>
    <w:rsid w:val="0009532E"/>
    <w:rsid w:val="00095CF4"/>
    <w:rsid w:val="00096178"/>
    <w:rsid w:val="00097220"/>
    <w:rsid w:val="000972BD"/>
    <w:rsid w:val="000A00A3"/>
    <w:rsid w:val="000A0207"/>
    <w:rsid w:val="000A043F"/>
    <w:rsid w:val="000A07DB"/>
    <w:rsid w:val="000A0B1D"/>
    <w:rsid w:val="000A107D"/>
    <w:rsid w:val="000A2D0D"/>
    <w:rsid w:val="000A5F43"/>
    <w:rsid w:val="000A73EC"/>
    <w:rsid w:val="000B0147"/>
    <w:rsid w:val="000B048E"/>
    <w:rsid w:val="000B090C"/>
    <w:rsid w:val="000B115F"/>
    <w:rsid w:val="000B17E1"/>
    <w:rsid w:val="000B1C0A"/>
    <w:rsid w:val="000B3403"/>
    <w:rsid w:val="000B3E81"/>
    <w:rsid w:val="000B47A7"/>
    <w:rsid w:val="000B65D2"/>
    <w:rsid w:val="000B6B66"/>
    <w:rsid w:val="000B7C4A"/>
    <w:rsid w:val="000B7CDD"/>
    <w:rsid w:val="000C05D2"/>
    <w:rsid w:val="000C2CBF"/>
    <w:rsid w:val="000C33D4"/>
    <w:rsid w:val="000C49A6"/>
    <w:rsid w:val="000C4B65"/>
    <w:rsid w:val="000C7B37"/>
    <w:rsid w:val="000D05F2"/>
    <w:rsid w:val="000D05F7"/>
    <w:rsid w:val="000D08CC"/>
    <w:rsid w:val="000D282F"/>
    <w:rsid w:val="000D2C8B"/>
    <w:rsid w:val="000D44E2"/>
    <w:rsid w:val="000D4E03"/>
    <w:rsid w:val="000D6043"/>
    <w:rsid w:val="000D6535"/>
    <w:rsid w:val="000D70E5"/>
    <w:rsid w:val="000E0405"/>
    <w:rsid w:val="000E09DC"/>
    <w:rsid w:val="000E1E08"/>
    <w:rsid w:val="000E23C9"/>
    <w:rsid w:val="000E3932"/>
    <w:rsid w:val="000E57A9"/>
    <w:rsid w:val="000E75B3"/>
    <w:rsid w:val="000F0595"/>
    <w:rsid w:val="000F0907"/>
    <w:rsid w:val="000F0E19"/>
    <w:rsid w:val="000F1474"/>
    <w:rsid w:val="000F1F04"/>
    <w:rsid w:val="000F1F9B"/>
    <w:rsid w:val="000F2D84"/>
    <w:rsid w:val="000F2FDF"/>
    <w:rsid w:val="000F449C"/>
    <w:rsid w:val="000F4780"/>
    <w:rsid w:val="000F4B02"/>
    <w:rsid w:val="000F5C6D"/>
    <w:rsid w:val="000F5D85"/>
    <w:rsid w:val="000F608B"/>
    <w:rsid w:val="000F6BE0"/>
    <w:rsid w:val="000F6D77"/>
    <w:rsid w:val="000F6E16"/>
    <w:rsid w:val="000F746B"/>
    <w:rsid w:val="0010079F"/>
    <w:rsid w:val="00104F9C"/>
    <w:rsid w:val="00105C15"/>
    <w:rsid w:val="00105E47"/>
    <w:rsid w:val="0010629E"/>
    <w:rsid w:val="00106764"/>
    <w:rsid w:val="001067DB"/>
    <w:rsid w:val="00106BF8"/>
    <w:rsid w:val="001078E1"/>
    <w:rsid w:val="00107C80"/>
    <w:rsid w:val="00110271"/>
    <w:rsid w:val="00111090"/>
    <w:rsid w:val="001111BA"/>
    <w:rsid w:val="001123B5"/>
    <w:rsid w:val="0011360B"/>
    <w:rsid w:val="00113C5D"/>
    <w:rsid w:val="001146BD"/>
    <w:rsid w:val="00114DE6"/>
    <w:rsid w:val="0011508D"/>
    <w:rsid w:val="00115741"/>
    <w:rsid w:val="00115BC7"/>
    <w:rsid w:val="0011737A"/>
    <w:rsid w:val="0011791E"/>
    <w:rsid w:val="0012007B"/>
    <w:rsid w:val="001209F4"/>
    <w:rsid w:val="00121099"/>
    <w:rsid w:val="00122118"/>
    <w:rsid w:val="00122526"/>
    <w:rsid w:val="001227F7"/>
    <w:rsid w:val="001241C9"/>
    <w:rsid w:val="001254B2"/>
    <w:rsid w:val="001256A4"/>
    <w:rsid w:val="00125972"/>
    <w:rsid w:val="00126219"/>
    <w:rsid w:val="001262A3"/>
    <w:rsid w:val="0012712A"/>
    <w:rsid w:val="00127302"/>
    <w:rsid w:val="00127D1A"/>
    <w:rsid w:val="00130318"/>
    <w:rsid w:val="001308E6"/>
    <w:rsid w:val="00130929"/>
    <w:rsid w:val="00131776"/>
    <w:rsid w:val="00131B0E"/>
    <w:rsid w:val="00132DC7"/>
    <w:rsid w:val="00133D0E"/>
    <w:rsid w:val="00134BE2"/>
    <w:rsid w:val="00135CA5"/>
    <w:rsid w:val="00135D56"/>
    <w:rsid w:val="00137321"/>
    <w:rsid w:val="00137A77"/>
    <w:rsid w:val="00143D5A"/>
    <w:rsid w:val="00145644"/>
    <w:rsid w:val="00145BA9"/>
    <w:rsid w:val="00145FDF"/>
    <w:rsid w:val="00146855"/>
    <w:rsid w:val="00147007"/>
    <w:rsid w:val="00150C3E"/>
    <w:rsid w:val="00151147"/>
    <w:rsid w:val="0015153D"/>
    <w:rsid w:val="001515D1"/>
    <w:rsid w:val="001529CA"/>
    <w:rsid w:val="00152C77"/>
    <w:rsid w:val="00152CF0"/>
    <w:rsid w:val="0015356E"/>
    <w:rsid w:val="00153599"/>
    <w:rsid w:val="001539AA"/>
    <w:rsid w:val="00153B7B"/>
    <w:rsid w:val="00154246"/>
    <w:rsid w:val="00154F18"/>
    <w:rsid w:val="001551E5"/>
    <w:rsid w:val="001555F8"/>
    <w:rsid w:val="00160835"/>
    <w:rsid w:val="001609D9"/>
    <w:rsid w:val="00161337"/>
    <w:rsid w:val="001622C2"/>
    <w:rsid w:val="001626C3"/>
    <w:rsid w:val="001629C7"/>
    <w:rsid w:val="00164091"/>
    <w:rsid w:val="001648A0"/>
    <w:rsid w:val="00164DF3"/>
    <w:rsid w:val="00165A0A"/>
    <w:rsid w:val="0016767C"/>
    <w:rsid w:val="00167DB2"/>
    <w:rsid w:val="00170EBD"/>
    <w:rsid w:val="00172759"/>
    <w:rsid w:val="001736C2"/>
    <w:rsid w:val="00173DD7"/>
    <w:rsid w:val="00174344"/>
    <w:rsid w:val="001761E0"/>
    <w:rsid w:val="001778A6"/>
    <w:rsid w:val="00181C89"/>
    <w:rsid w:val="00182145"/>
    <w:rsid w:val="001825BC"/>
    <w:rsid w:val="001826D3"/>
    <w:rsid w:val="00182BE8"/>
    <w:rsid w:val="00183295"/>
    <w:rsid w:val="001842B5"/>
    <w:rsid w:val="00184758"/>
    <w:rsid w:val="0018540D"/>
    <w:rsid w:val="001900F8"/>
    <w:rsid w:val="00190922"/>
    <w:rsid w:val="00191D2B"/>
    <w:rsid w:val="00192A7B"/>
    <w:rsid w:val="00193236"/>
    <w:rsid w:val="00195BFD"/>
    <w:rsid w:val="00196D31"/>
    <w:rsid w:val="00197492"/>
    <w:rsid w:val="001976A5"/>
    <w:rsid w:val="0019785D"/>
    <w:rsid w:val="001A02AC"/>
    <w:rsid w:val="001A2FF8"/>
    <w:rsid w:val="001A3D08"/>
    <w:rsid w:val="001A46DA"/>
    <w:rsid w:val="001A4A44"/>
    <w:rsid w:val="001A5A7E"/>
    <w:rsid w:val="001A6521"/>
    <w:rsid w:val="001A6A02"/>
    <w:rsid w:val="001A6A41"/>
    <w:rsid w:val="001A6FB8"/>
    <w:rsid w:val="001A7B7E"/>
    <w:rsid w:val="001B03A6"/>
    <w:rsid w:val="001B05D4"/>
    <w:rsid w:val="001B10CB"/>
    <w:rsid w:val="001B1AC2"/>
    <w:rsid w:val="001B4E3D"/>
    <w:rsid w:val="001B5DED"/>
    <w:rsid w:val="001B5E58"/>
    <w:rsid w:val="001B69B4"/>
    <w:rsid w:val="001C1A61"/>
    <w:rsid w:val="001C3C24"/>
    <w:rsid w:val="001C4366"/>
    <w:rsid w:val="001C47F4"/>
    <w:rsid w:val="001C6B11"/>
    <w:rsid w:val="001D0AFF"/>
    <w:rsid w:val="001D1BE1"/>
    <w:rsid w:val="001D28E7"/>
    <w:rsid w:val="001D2976"/>
    <w:rsid w:val="001D3538"/>
    <w:rsid w:val="001D3A9E"/>
    <w:rsid w:val="001D3B89"/>
    <w:rsid w:val="001D4049"/>
    <w:rsid w:val="001D46C1"/>
    <w:rsid w:val="001D4805"/>
    <w:rsid w:val="001D528A"/>
    <w:rsid w:val="001D56CD"/>
    <w:rsid w:val="001D7483"/>
    <w:rsid w:val="001D7955"/>
    <w:rsid w:val="001E109F"/>
    <w:rsid w:val="001E10F7"/>
    <w:rsid w:val="001E2419"/>
    <w:rsid w:val="001E2F1A"/>
    <w:rsid w:val="001E3DBD"/>
    <w:rsid w:val="001E547A"/>
    <w:rsid w:val="001E5C0E"/>
    <w:rsid w:val="001E5DB0"/>
    <w:rsid w:val="001E602B"/>
    <w:rsid w:val="001E7CCF"/>
    <w:rsid w:val="001F04A4"/>
    <w:rsid w:val="001F22A4"/>
    <w:rsid w:val="001F35FE"/>
    <w:rsid w:val="001F3866"/>
    <w:rsid w:val="001F4513"/>
    <w:rsid w:val="001F46F8"/>
    <w:rsid w:val="001F4AA2"/>
    <w:rsid w:val="001F5220"/>
    <w:rsid w:val="001F596D"/>
    <w:rsid w:val="001F7057"/>
    <w:rsid w:val="001F74D6"/>
    <w:rsid w:val="00200433"/>
    <w:rsid w:val="002011C1"/>
    <w:rsid w:val="00201AD2"/>
    <w:rsid w:val="00202081"/>
    <w:rsid w:val="0020222C"/>
    <w:rsid w:val="00202934"/>
    <w:rsid w:val="002032F9"/>
    <w:rsid w:val="002038B4"/>
    <w:rsid w:val="002064E7"/>
    <w:rsid w:val="0020707C"/>
    <w:rsid w:val="002071BF"/>
    <w:rsid w:val="002077D2"/>
    <w:rsid w:val="00210CF0"/>
    <w:rsid w:val="00211538"/>
    <w:rsid w:val="00211893"/>
    <w:rsid w:val="00212DE6"/>
    <w:rsid w:val="0021321E"/>
    <w:rsid w:val="0021374F"/>
    <w:rsid w:val="00213D9E"/>
    <w:rsid w:val="00214D64"/>
    <w:rsid w:val="002156D2"/>
    <w:rsid w:val="002158AB"/>
    <w:rsid w:val="00220229"/>
    <w:rsid w:val="00220608"/>
    <w:rsid w:val="00220B75"/>
    <w:rsid w:val="0022128C"/>
    <w:rsid w:val="00222062"/>
    <w:rsid w:val="0022320A"/>
    <w:rsid w:val="0022363D"/>
    <w:rsid w:val="00223BAA"/>
    <w:rsid w:val="00223F2C"/>
    <w:rsid w:val="00225746"/>
    <w:rsid w:val="002267D4"/>
    <w:rsid w:val="00227B92"/>
    <w:rsid w:val="00227DB9"/>
    <w:rsid w:val="00230663"/>
    <w:rsid w:val="00230728"/>
    <w:rsid w:val="0023166E"/>
    <w:rsid w:val="0023186B"/>
    <w:rsid w:val="00231B14"/>
    <w:rsid w:val="0023278D"/>
    <w:rsid w:val="0023281E"/>
    <w:rsid w:val="00232A70"/>
    <w:rsid w:val="00234063"/>
    <w:rsid w:val="00234481"/>
    <w:rsid w:val="00234C44"/>
    <w:rsid w:val="002351E4"/>
    <w:rsid w:val="002363F5"/>
    <w:rsid w:val="002407D6"/>
    <w:rsid w:val="002419DE"/>
    <w:rsid w:val="00241B68"/>
    <w:rsid w:val="00241C50"/>
    <w:rsid w:val="0024233A"/>
    <w:rsid w:val="00243A51"/>
    <w:rsid w:val="00243D49"/>
    <w:rsid w:val="00246EED"/>
    <w:rsid w:val="00252540"/>
    <w:rsid w:val="00254935"/>
    <w:rsid w:val="0025552C"/>
    <w:rsid w:val="0025680A"/>
    <w:rsid w:val="00256AF8"/>
    <w:rsid w:val="002579CE"/>
    <w:rsid w:val="00257DC9"/>
    <w:rsid w:val="00260589"/>
    <w:rsid w:val="00263164"/>
    <w:rsid w:val="0026362C"/>
    <w:rsid w:val="0026379B"/>
    <w:rsid w:val="00263BBB"/>
    <w:rsid w:val="00263EB5"/>
    <w:rsid w:val="00264116"/>
    <w:rsid w:val="0026439C"/>
    <w:rsid w:val="002664FC"/>
    <w:rsid w:val="002665F3"/>
    <w:rsid w:val="00270C86"/>
    <w:rsid w:val="00270F8D"/>
    <w:rsid w:val="0027333D"/>
    <w:rsid w:val="002741AA"/>
    <w:rsid w:val="002745C0"/>
    <w:rsid w:val="0027570B"/>
    <w:rsid w:val="00275C41"/>
    <w:rsid w:val="00275C50"/>
    <w:rsid w:val="00276436"/>
    <w:rsid w:val="00276CEE"/>
    <w:rsid w:val="002772C7"/>
    <w:rsid w:val="00277985"/>
    <w:rsid w:val="00277C8B"/>
    <w:rsid w:val="00285FA1"/>
    <w:rsid w:val="00287025"/>
    <w:rsid w:val="002872F8"/>
    <w:rsid w:val="00290500"/>
    <w:rsid w:val="00290B26"/>
    <w:rsid w:val="00292076"/>
    <w:rsid w:val="00294A5D"/>
    <w:rsid w:val="00294C28"/>
    <w:rsid w:val="00295075"/>
    <w:rsid w:val="002959C5"/>
    <w:rsid w:val="00297510"/>
    <w:rsid w:val="00297EE2"/>
    <w:rsid w:val="002A1496"/>
    <w:rsid w:val="002A20BC"/>
    <w:rsid w:val="002A3F2B"/>
    <w:rsid w:val="002A5217"/>
    <w:rsid w:val="002A5D73"/>
    <w:rsid w:val="002A652E"/>
    <w:rsid w:val="002A674F"/>
    <w:rsid w:val="002B0AFD"/>
    <w:rsid w:val="002B0E19"/>
    <w:rsid w:val="002B3571"/>
    <w:rsid w:val="002B428B"/>
    <w:rsid w:val="002B4809"/>
    <w:rsid w:val="002B51E9"/>
    <w:rsid w:val="002B62A7"/>
    <w:rsid w:val="002B7960"/>
    <w:rsid w:val="002C027A"/>
    <w:rsid w:val="002C4827"/>
    <w:rsid w:val="002C5517"/>
    <w:rsid w:val="002C61B7"/>
    <w:rsid w:val="002C641A"/>
    <w:rsid w:val="002C6B80"/>
    <w:rsid w:val="002C790F"/>
    <w:rsid w:val="002C7FF9"/>
    <w:rsid w:val="002D16A3"/>
    <w:rsid w:val="002D28E4"/>
    <w:rsid w:val="002D2DC9"/>
    <w:rsid w:val="002D3CCA"/>
    <w:rsid w:val="002D4645"/>
    <w:rsid w:val="002D4ED0"/>
    <w:rsid w:val="002D4EEC"/>
    <w:rsid w:val="002D54D7"/>
    <w:rsid w:val="002D5EF1"/>
    <w:rsid w:val="002D650E"/>
    <w:rsid w:val="002D7D5E"/>
    <w:rsid w:val="002E0AA8"/>
    <w:rsid w:val="002E130C"/>
    <w:rsid w:val="002E1446"/>
    <w:rsid w:val="002E1C20"/>
    <w:rsid w:val="002E2337"/>
    <w:rsid w:val="002E2817"/>
    <w:rsid w:val="002E2965"/>
    <w:rsid w:val="002E29A6"/>
    <w:rsid w:val="002E2ABB"/>
    <w:rsid w:val="002E3294"/>
    <w:rsid w:val="002E3AB9"/>
    <w:rsid w:val="002E49E1"/>
    <w:rsid w:val="002E4CC5"/>
    <w:rsid w:val="002E52BA"/>
    <w:rsid w:val="002E694F"/>
    <w:rsid w:val="002F055E"/>
    <w:rsid w:val="002F1328"/>
    <w:rsid w:val="002F1468"/>
    <w:rsid w:val="002F2116"/>
    <w:rsid w:val="002F2A5C"/>
    <w:rsid w:val="002F2AC0"/>
    <w:rsid w:val="002F6E31"/>
    <w:rsid w:val="00301279"/>
    <w:rsid w:val="00303817"/>
    <w:rsid w:val="00303CD5"/>
    <w:rsid w:val="00305D3C"/>
    <w:rsid w:val="003066DA"/>
    <w:rsid w:val="00306D79"/>
    <w:rsid w:val="0030742B"/>
    <w:rsid w:val="0031008D"/>
    <w:rsid w:val="00311DA9"/>
    <w:rsid w:val="00312033"/>
    <w:rsid w:val="0031267F"/>
    <w:rsid w:val="003131B6"/>
    <w:rsid w:val="00313BE3"/>
    <w:rsid w:val="00313D71"/>
    <w:rsid w:val="00314552"/>
    <w:rsid w:val="003166DF"/>
    <w:rsid w:val="00320202"/>
    <w:rsid w:val="003212A1"/>
    <w:rsid w:val="003218DA"/>
    <w:rsid w:val="00322540"/>
    <w:rsid w:val="0032280E"/>
    <w:rsid w:val="00323FFD"/>
    <w:rsid w:val="0032465C"/>
    <w:rsid w:val="0032491C"/>
    <w:rsid w:val="00324BA4"/>
    <w:rsid w:val="00325A54"/>
    <w:rsid w:val="00326B7A"/>
    <w:rsid w:val="00333744"/>
    <w:rsid w:val="00335DDE"/>
    <w:rsid w:val="00335E5F"/>
    <w:rsid w:val="00335FB0"/>
    <w:rsid w:val="003369D8"/>
    <w:rsid w:val="00337BD2"/>
    <w:rsid w:val="003451D7"/>
    <w:rsid w:val="003460E2"/>
    <w:rsid w:val="003465F3"/>
    <w:rsid w:val="003470FF"/>
    <w:rsid w:val="00350588"/>
    <w:rsid w:val="003507F2"/>
    <w:rsid w:val="0035167C"/>
    <w:rsid w:val="0035229D"/>
    <w:rsid w:val="00352A98"/>
    <w:rsid w:val="00353534"/>
    <w:rsid w:val="0035455B"/>
    <w:rsid w:val="00356869"/>
    <w:rsid w:val="00357361"/>
    <w:rsid w:val="003577BE"/>
    <w:rsid w:val="0036113A"/>
    <w:rsid w:val="00362C0F"/>
    <w:rsid w:val="00362DAD"/>
    <w:rsid w:val="00363203"/>
    <w:rsid w:val="00363DB9"/>
    <w:rsid w:val="00363DD7"/>
    <w:rsid w:val="00365A57"/>
    <w:rsid w:val="003660F2"/>
    <w:rsid w:val="003671FA"/>
    <w:rsid w:val="003712F4"/>
    <w:rsid w:val="003726AF"/>
    <w:rsid w:val="003731BB"/>
    <w:rsid w:val="003733A4"/>
    <w:rsid w:val="003733BE"/>
    <w:rsid w:val="00373F39"/>
    <w:rsid w:val="00374D54"/>
    <w:rsid w:val="00375629"/>
    <w:rsid w:val="0037567D"/>
    <w:rsid w:val="00376C8E"/>
    <w:rsid w:val="00377BD7"/>
    <w:rsid w:val="0038039A"/>
    <w:rsid w:val="00382271"/>
    <w:rsid w:val="00383112"/>
    <w:rsid w:val="00384A65"/>
    <w:rsid w:val="00386E58"/>
    <w:rsid w:val="00387EA0"/>
    <w:rsid w:val="00390B2B"/>
    <w:rsid w:val="00391685"/>
    <w:rsid w:val="00391708"/>
    <w:rsid w:val="00391726"/>
    <w:rsid w:val="0039259F"/>
    <w:rsid w:val="00393658"/>
    <w:rsid w:val="003943B4"/>
    <w:rsid w:val="0039524E"/>
    <w:rsid w:val="00397688"/>
    <w:rsid w:val="003A15C9"/>
    <w:rsid w:val="003A1D20"/>
    <w:rsid w:val="003A2779"/>
    <w:rsid w:val="003A36E4"/>
    <w:rsid w:val="003A6C19"/>
    <w:rsid w:val="003A74A2"/>
    <w:rsid w:val="003A76F8"/>
    <w:rsid w:val="003B0361"/>
    <w:rsid w:val="003B1938"/>
    <w:rsid w:val="003B2664"/>
    <w:rsid w:val="003B321A"/>
    <w:rsid w:val="003B5316"/>
    <w:rsid w:val="003B7137"/>
    <w:rsid w:val="003C0021"/>
    <w:rsid w:val="003C08BE"/>
    <w:rsid w:val="003C19F0"/>
    <w:rsid w:val="003C1D40"/>
    <w:rsid w:val="003C2B08"/>
    <w:rsid w:val="003C353D"/>
    <w:rsid w:val="003C4ECF"/>
    <w:rsid w:val="003C7B7C"/>
    <w:rsid w:val="003D34BC"/>
    <w:rsid w:val="003D38F0"/>
    <w:rsid w:val="003D4D45"/>
    <w:rsid w:val="003D4DE9"/>
    <w:rsid w:val="003D6267"/>
    <w:rsid w:val="003D6553"/>
    <w:rsid w:val="003D655A"/>
    <w:rsid w:val="003E1828"/>
    <w:rsid w:val="003E1B64"/>
    <w:rsid w:val="003E257A"/>
    <w:rsid w:val="003E3CD3"/>
    <w:rsid w:val="003F1333"/>
    <w:rsid w:val="003F1666"/>
    <w:rsid w:val="003F248C"/>
    <w:rsid w:val="003F28BE"/>
    <w:rsid w:val="003F3882"/>
    <w:rsid w:val="003F67C9"/>
    <w:rsid w:val="003F69EA"/>
    <w:rsid w:val="003F7659"/>
    <w:rsid w:val="0040055F"/>
    <w:rsid w:val="00401055"/>
    <w:rsid w:val="0040227D"/>
    <w:rsid w:val="00402A51"/>
    <w:rsid w:val="00403A6D"/>
    <w:rsid w:val="00403AC0"/>
    <w:rsid w:val="00406429"/>
    <w:rsid w:val="00406C8D"/>
    <w:rsid w:val="00410D46"/>
    <w:rsid w:val="004111DA"/>
    <w:rsid w:val="004116F1"/>
    <w:rsid w:val="00412388"/>
    <w:rsid w:val="00412486"/>
    <w:rsid w:val="00413602"/>
    <w:rsid w:val="00413DDE"/>
    <w:rsid w:val="00417920"/>
    <w:rsid w:val="00417B80"/>
    <w:rsid w:val="004207C0"/>
    <w:rsid w:val="00420ED9"/>
    <w:rsid w:val="004217F8"/>
    <w:rsid w:val="00421C69"/>
    <w:rsid w:val="00422249"/>
    <w:rsid w:val="00422487"/>
    <w:rsid w:val="00423C94"/>
    <w:rsid w:val="0042475D"/>
    <w:rsid w:val="00425B45"/>
    <w:rsid w:val="00425C9F"/>
    <w:rsid w:val="00426946"/>
    <w:rsid w:val="00432C4B"/>
    <w:rsid w:val="00432E68"/>
    <w:rsid w:val="004330EB"/>
    <w:rsid w:val="00433B40"/>
    <w:rsid w:val="00433CD5"/>
    <w:rsid w:val="00434518"/>
    <w:rsid w:val="0043565C"/>
    <w:rsid w:val="004368CE"/>
    <w:rsid w:val="00436A43"/>
    <w:rsid w:val="00436F9A"/>
    <w:rsid w:val="004402CC"/>
    <w:rsid w:val="00442CE6"/>
    <w:rsid w:val="0044305F"/>
    <w:rsid w:val="00443176"/>
    <w:rsid w:val="00443229"/>
    <w:rsid w:val="0044420C"/>
    <w:rsid w:val="004442BC"/>
    <w:rsid w:val="004455B4"/>
    <w:rsid w:val="00445968"/>
    <w:rsid w:val="00447820"/>
    <w:rsid w:val="00450053"/>
    <w:rsid w:val="00451A0F"/>
    <w:rsid w:val="00452FAE"/>
    <w:rsid w:val="004542BF"/>
    <w:rsid w:val="0045441E"/>
    <w:rsid w:val="00454460"/>
    <w:rsid w:val="00454845"/>
    <w:rsid w:val="00454AE6"/>
    <w:rsid w:val="00457148"/>
    <w:rsid w:val="00460AEA"/>
    <w:rsid w:val="004631BA"/>
    <w:rsid w:val="00463705"/>
    <w:rsid w:val="004643AC"/>
    <w:rsid w:val="00464ECB"/>
    <w:rsid w:val="004659E7"/>
    <w:rsid w:val="0046701B"/>
    <w:rsid w:val="0046703F"/>
    <w:rsid w:val="004678E5"/>
    <w:rsid w:val="00471E8A"/>
    <w:rsid w:val="0047318A"/>
    <w:rsid w:val="00473D81"/>
    <w:rsid w:val="004818FF"/>
    <w:rsid w:val="00485933"/>
    <w:rsid w:val="00486E74"/>
    <w:rsid w:val="004874E0"/>
    <w:rsid w:val="00487C38"/>
    <w:rsid w:val="00490DE9"/>
    <w:rsid w:val="0049128E"/>
    <w:rsid w:val="004918CE"/>
    <w:rsid w:val="00491B1C"/>
    <w:rsid w:val="00492FA8"/>
    <w:rsid w:val="00493BE3"/>
    <w:rsid w:val="00493DDD"/>
    <w:rsid w:val="0049418E"/>
    <w:rsid w:val="004961FF"/>
    <w:rsid w:val="00496F9A"/>
    <w:rsid w:val="00497CAB"/>
    <w:rsid w:val="00497F9E"/>
    <w:rsid w:val="004A0209"/>
    <w:rsid w:val="004A13EF"/>
    <w:rsid w:val="004A4364"/>
    <w:rsid w:val="004A4470"/>
    <w:rsid w:val="004A4FA5"/>
    <w:rsid w:val="004A5262"/>
    <w:rsid w:val="004A6E96"/>
    <w:rsid w:val="004A6F6B"/>
    <w:rsid w:val="004A71D4"/>
    <w:rsid w:val="004A73A8"/>
    <w:rsid w:val="004B027F"/>
    <w:rsid w:val="004B20C0"/>
    <w:rsid w:val="004B2B1B"/>
    <w:rsid w:val="004B44DE"/>
    <w:rsid w:val="004B5FC1"/>
    <w:rsid w:val="004B745D"/>
    <w:rsid w:val="004B794D"/>
    <w:rsid w:val="004B7D48"/>
    <w:rsid w:val="004C18E7"/>
    <w:rsid w:val="004C39EE"/>
    <w:rsid w:val="004C3AFC"/>
    <w:rsid w:val="004C4143"/>
    <w:rsid w:val="004C501B"/>
    <w:rsid w:val="004C691A"/>
    <w:rsid w:val="004C6D1F"/>
    <w:rsid w:val="004C706F"/>
    <w:rsid w:val="004C738B"/>
    <w:rsid w:val="004C7E47"/>
    <w:rsid w:val="004D3016"/>
    <w:rsid w:val="004D316B"/>
    <w:rsid w:val="004D4968"/>
    <w:rsid w:val="004D4BF4"/>
    <w:rsid w:val="004D6B4C"/>
    <w:rsid w:val="004D7ECD"/>
    <w:rsid w:val="004E04B1"/>
    <w:rsid w:val="004E051A"/>
    <w:rsid w:val="004E1E40"/>
    <w:rsid w:val="004E206E"/>
    <w:rsid w:val="004E2928"/>
    <w:rsid w:val="004E415F"/>
    <w:rsid w:val="004E4B62"/>
    <w:rsid w:val="004E5F56"/>
    <w:rsid w:val="004E6F9A"/>
    <w:rsid w:val="004F00A1"/>
    <w:rsid w:val="004F018B"/>
    <w:rsid w:val="004F0688"/>
    <w:rsid w:val="004F10D0"/>
    <w:rsid w:val="004F356B"/>
    <w:rsid w:val="004F3A02"/>
    <w:rsid w:val="004F5211"/>
    <w:rsid w:val="004F54E6"/>
    <w:rsid w:val="004F7097"/>
    <w:rsid w:val="004F7A95"/>
    <w:rsid w:val="004F7DE2"/>
    <w:rsid w:val="00500D62"/>
    <w:rsid w:val="00501CBD"/>
    <w:rsid w:val="005024CC"/>
    <w:rsid w:val="00502D01"/>
    <w:rsid w:val="00504932"/>
    <w:rsid w:val="00504F1F"/>
    <w:rsid w:val="00505B3A"/>
    <w:rsid w:val="005072A3"/>
    <w:rsid w:val="005074F1"/>
    <w:rsid w:val="005112C2"/>
    <w:rsid w:val="00512FE6"/>
    <w:rsid w:val="00513306"/>
    <w:rsid w:val="00513E0C"/>
    <w:rsid w:val="00514809"/>
    <w:rsid w:val="00514E43"/>
    <w:rsid w:val="005158D2"/>
    <w:rsid w:val="00515DB3"/>
    <w:rsid w:val="00515EDA"/>
    <w:rsid w:val="0051673C"/>
    <w:rsid w:val="005175CC"/>
    <w:rsid w:val="00517DA6"/>
    <w:rsid w:val="00520830"/>
    <w:rsid w:val="005217B4"/>
    <w:rsid w:val="0052268C"/>
    <w:rsid w:val="00522A39"/>
    <w:rsid w:val="00524357"/>
    <w:rsid w:val="0052508B"/>
    <w:rsid w:val="005302BF"/>
    <w:rsid w:val="00533CCB"/>
    <w:rsid w:val="00533E21"/>
    <w:rsid w:val="00534A0C"/>
    <w:rsid w:val="00534FE0"/>
    <w:rsid w:val="005405AE"/>
    <w:rsid w:val="00540BC2"/>
    <w:rsid w:val="005412F2"/>
    <w:rsid w:val="0054251C"/>
    <w:rsid w:val="0054367D"/>
    <w:rsid w:val="00544882"/>
    <w:rsid w:val="00544E66"/>
    <w:rsid w:val="00545B15"/>
    <w:rsid w:val="00546B5A"/>
    <w:rsid w:val="00550CC8"/>
    <w:rsid w:val="00550DAB"/>
    <w:rsid w:val="0055102F"/>
    <w:rsid w:val="0055104C"/>
    <w:rsid w:val="00552364"/>
    <w:rsid w:val="005540BD"/>
    <w:rsid w:val="00554DD6"/>
    <w:rsid w:val="00557132"/>
    <w:rsid w:val="0055740F"/>
    <w:rsid w:val="005603E6"/>
    <w:rsid w:val="0056096B"/>
    <w:rsid w:val="00560B1D"/>
    <w:rsid w:val="00560EA4"/>
    <w:rsid w:val="0056118C"/>
    <w:rsid w:val="005651B3"/>
    <w:rsid w:val="00565D0B"/>
    <w:rsid w:val="00565D46"/>
    <w:rsid w:val="00566E65"/>
    <w:rsid w:val="00567CCE"/>
    <w:rsid w:val="00571A80"/>
    <w:rsid w:val="0057282C"/>
    <w:rsid w:val="00572994"/>
    <w:rsid w:val="0057351D"/>
    <w:rsid w:val="00573522"/>
    <w:rsid w:val="00573AE3"/>
    <w:rsid w:val="005752DC"/>
    <w:rsid w:val="005760E1"/>
    <w:rsid w:val="005761F4"/>
    <w:rsid w:val="005772BD"/>
    <w:rsid w:val="005776DC"/>
    <w:rsid w:val="0058021D"/>
    <w:rsid w:val="00581578"/>
    <w:rsid w:val="00582A6C"/>
    <w:rsid w:val="00583007"/>
    <w:rsid w:val="00583F16"/>
    <w:rsid w:val="0058408C"/>
    <w:rsid w:val="00584854"/>
    <w:rsid w:val="00585485"/>
    <w:rsid w:val="005856ED"/>
    <w:rsid w:val="00585A84"/>
    <w:rsid w:val="00585B65"/>
    <w:rsid w:val="0058660B"/>
    <w:rsid w:val="00590B0F"/>
    <w:rsid w:val="0059120A"/>
    <w:rsid w:val="00593393"/>
    <w:rsid w:val="00593FF8"/>
    <w:rsid w:val="005943EC"/>
    <w:rsid w:val="00594957"/>
    <w:rsid w:val="00597422"/>
    <w:rsid w:val="005A06AD"/>
    <w:rsid w:val="005A20CA"/>
    <w:rsid w:val="005A24B8"/>
    <w:rsid w:val="005A2AD9"/>
    <w:rsid w:val="005A2CD4"/>
    <w:rsid w:val="005A4C1A"/>
    <w:rsid w:val="005A52DE"/>
    <w:rsid w:val="005A54A6"/>
    <w:rsid w:val="005A581F"/>
    <w:rsid w:val="005B043B"/>
    <w:rsid w:val="005B05EB"/>
    <w:rsid w:val="005B08CF"/>
    <w:rsid w:val="005B0A15"/>
    <w:rsid w:val="005B0BEB"/>
    <w:rsid w:val="005B144E"/>
    <w:rsid w:val="005B253E"/>
    <w:rsid w:val="005B267C"/>
    <w:rsid w:val="005B3CF9"/>
    <w:rsid w:val="005B56E7"/>
    <w:rsid w:val="005B5DE4"/>
    <w:rsid w:val="005B6BB6"/>
    <w:rsid w:val="005B7108"/>
    <w:rsid w:val="005B751B"/>
    <w:rsid w:val="005B76B6"/>
    <w:rsid w:val="005B7CF2"/>
    <w:rsid w:val="005C01A0"/>
    <w:rsid w:val="005C0CDB"/>
    <w:rsid w:val="005C1FD3"/>
    <w:rsid w:val="005C27C3"/>
    <w:rsid w:val="005C3034"/>
    <w:rsid w:val="005C3B91"/>
    <w:rsid w:val="005C55A0"/>
    <w:rsid w:val="005C61DD"/>
    <w:rsid w:val="005C6EDB"/>
    <w:rsid w:val="005C7792"/>
    <w:rsid w:val="005D19E3"/>
    <w:rsid w:val="005D2463"/>
    <w:rsid w:val="005D3DC8"/>
    <w:rsid w:val="005D4BBA"/>
    <w:rsid w:val="005D6175"/>
    <w:rsid w:val="005D797B"/>
    <w:rsid w:val="005E0F72"/>
    <w:rsid w:val="005E1FFA"/>
    <w:rsid w:val="005E276B"/>
    <w:rsid w:val="005E2986"/>
    <w:rsid w:val="005E312A"/>
    <w:rsid w:val="005E32E9"/>
    <w:rsid w:val="005E346A"/>
    <w:rsid w:val="005E3A70"/>
    <w:rsid w:val="005E3E18"/>
    <w:rsid w:val="005E4E5D"/>
    <w:rsid w:val="005E4ECF"/>
    <w:rsid w:val="005E4FDB"/>
    <w:rsid w:val="005E582F"/>
    <w:rsid w:val="005E58BC"/>
    <w:rsid w:val="005E65E6"/>
    <w:rsid w:val="005E667F"/>
    <w:rsid w:val="005E6E68"/>
    <w:rsid w:val="005E711E"/>
    <w:rsid w:val="005F292F"/>
    <w:rsid w:val="005F3517"/>
    <w:rsid w:val="005F35C5"/>
    <w:rsid w:val="005F3976"/>
    <w:rsid w:val="005F55B7"/>
    <w:rsid w:val="005F5AC3"/>
    <w:rsid w:val="005F64E6"/>
    <w:rsid w:val="005F65AC"/>
    <w:rsid w:val="0060034F"/>
    <w:rsid w:val="00600A82"/>
    <w:rsid w:val="006023A2"/>
    <w:rsid w:val="00602E14"/>
    <w:rsid w:val="00604829"/>
    <w:rsid w:val="00604C5F"/>
    <w:rsid w:val="006066B6"/>
    <w:rsid w:val="00606C83"/>
    <w:rsid w:val="00607303"/>
    <w:rsid w:val="006119C0"/>
    <w:rsid w:val="00611F98"/>
    <w:rsid w:val="0061235B"/>
    <w:rsid w:val="0061240F"/>
    <w:rsid w:val="00612D23"/>
    <w:rsid w:val="00613B83"/>
    <w:rsid w:val="00613D4B"/>
    <w:rsid w:val="00614192"/>
    <w:rsid w:val="006147D5"/>
    <w:rsid w:val="0061650D"/>
    <w:rsid w:val="00621100"/>
    <w:rsid w:val="00622A44"/>
    <w:rsid w:val="006234BA"/>
    <w:rsid w:val="006241A4"/>
    <w:rsid w:val="00625FEF"/>
    <w:rsid w:val="00626C8C"/>
    <w:rsid w:val="00627E34"/>
    <w:rsid w:val="00630BD8"/>
    <w:rsid w:val="0063315A"/>
    <w:rsid w:val="006338D6"/>
    <w:rsid w:val="006361A7"/>
    <w:rsid w:val="00636EC0"/>
    <w:rsid w:val="00636EF1"/>
    <w:rsid w:val="006372C4"/>
    <w:rsid w:val="0063796D"/>
    <w:rsid w:val="00640ABF"/>
    <w:rsid w:val="006422FF"/>
    <w:rsid w:val="006426A6"/>
    <w:rsid w:val="00642FF1"/>
    <w:rsid w:val="00643475"/>
    <w:rsid w:val="006439ED"/>
    <w:rsid w:val="006440A7"/>
    <w:rsid w:val="00645BE6"/>
    <w:rsid w:val="0064629E"/>
    <w:rsid w:val="00646C81"/>
    <w:rsid w:val="006509D9"/>
    <w:rsid w:val="00650EAB"/>
    <w:rsid w:val="00651460"/>
    <w:rsid w:val="0065184C"/>
    <w:rsid w:val="006534DE"/>
    <w:rsid w:val="00653F42"/>
    <w:rsid w:val="006541BE"/>
    <w:rsid w:val="00654C9D"/>
    <w:rsid w:val="0065501A"/>
    <w:rsid w:val="00655149"/>
    <w:rsid w:val="00655535"/>
    <w:rsid w:val="00660C3A"/>
    <w:rsid w:val="00660C5F"/>
    <w:rsid w:val="006613CC"/>
    <w:rsid w:val="006616C3"/>
    <w:rsid w:val="00661849"/>
    <w:rsid w:val="00664B90"/>
    <w:rsid w:val="006667CD"/>
    <w:rsid w:val="00666EFE"/>
    <w:rsid w:val="00667932"/>
    <w:rsid w:val="00670B23"/>
    <w:rsid w:val="00671929"/>
    <w:rsid w:val="00672034"/>
    <w:rsid w:val="00673170"/>
    <w:rsid w:val="006765E9"/>
    <w:rsid w:val="00676A94"/>
    <w:rsid w:val="0067734B"/>
    <w:rsid w:val="00680124"/>
    <w:rsid w:val="006813B5"/>
    <w:rsid w:val="00681F3C"/>
    <w:rsid w:val="00683561"/>
    <w:rsid w:val="006835EA"/>
    <w:rsid w:val="00683807"/>
    <w:rsid w:val="00684647"/>
    <w:rsid w:val="00684F50"/>
    <w:rsid w:val="00687440"/>
    <w:rsid w:val="00690429"/>
    <w:rsid w:val="0069052A"/>
    <w:rsid w:val="00692848"/>
    <w:rsid w:val="00694846"/>
    <w:rsid w:val="00694F30"/>
    <w:rsid w:val="006960A9"/>
    <w:rsid w:val="00696621"/>
    <w:rsid w:val="006A10F8"/>
    <w:rsid w:val="006A4E91"/>
    <w:rsid w:val="006A73C0"/>
    <w:rsid w:val="006B0082"/>
    <w:rsid w:val="006B152B"/>
    <w:rsid w:val="006B1E23"/>
    <w:rsid w:val="006B21C6"/>
    <w:rsid w:val="006B2C59"/>
    <w:rsid w:val="006B3D3C"/>
    <w:rsid w:val="006B60AA"/>
    <w:rsid w:val="006B6528"/>
    <w:rsid w:val="006B7D1B"/>
    <w:rsid w:val="006C0572"/>
    <w:rsid w:val="006C08DB"/>
    <w:rsid w:val="006C0A47"/>
    <w:rsid w:val="006C291D"/>
    <w:rsid w:val="006C2B02"/>
    <w:rsid w:val="006C2FCA"/>
    <w:rsid w:val="006C557F"/>
    <w:rsid w:val="006C6D8B"/>
    <w:rsid w:val="006C7C9C"/>
    <w:rsid w:val="006C7E3F"/>
    <w:rsid w:val="006D0283"/>
    <w:rsid w:val="006D092D"/>
    <w:rsid w:val="006D094C"/>
    <w:rsid w:val="006D16DD"/>
    <w:rsid w:val="006D16ED"/>
    <w:rsid w:val="006D2563"/>
    <w:rsid w:val="006D40BF"/>
    <w:rsid w:val="006D5AAA"/>
    <w:rsid w:val="006D6F6D"/>
    <w:rsid w:val="006D7691"/>
    <w:rsid w:val="006D7737"/>
    <w:rsid w:val="006E099B"/>
    <w:rsid w:val="006E0B99"/>
    <w:rsid w:val="006E0F9F"/>
    <w:rsid w:val="006E16C1"/>
    <w:rsid w:val="006E1CA2"/>
    <w:rsid w:val="006E2809"/>
    <w:rsid w:val="006E33C8"/>
    <w:rsid w:val="006E3ECE"/>
    <w:rsid w:val="006E4871"/>
    <w:rsid w:val="006E4D9B"/>
    <w:rsid w:val="006E4E14"/>
    <w:rsid w:val="006E6D60"/>
    <w:rsid w:val="006E6F8E"/>
    <w:rsid w:val="006F0C3C"/>
    <w:rsid w:val="006F17BA"/>
    <w:rsid w:val="006F2B5B"/>
    <w:rsid w:val="006F2B9A"/>
    <w:rsid w:val="006F2F8A"/>
    <w:rsid w:val="006F3575"/>
    <w:rsid w:val="006F3595"/>
    <w:rsid w:val="006F418A"/>
    <w:rsid w:val="006F4D81"/>
    <w:rsid w:val="006F5D6F"/>
    <w:rsid w:val="006F6CC9"/>
    <w:rsid w:val="006F7935"/>
    <w:rsid w:val="007012F2"/>
    <w:rsid w:val="00701CF8"/>
    <w:rsid w:val="007025DF"/>
    <w:rsid w:val="007033B5"/>
    <w:rsid w:val="007035BA"/>
    <w:rsid w:val="007042BD"/>
    <w:rsid w:val="0070456C"/>
    <w:rsid w:val="0070595E"/>
    <w:rsid w:val="0071085D"/>
    <w:rsid w:val="00711042"/>
    <w:rsid w:val="0071190C"/>
    <w:rsid w:val="00711CF6"/>
    <w:rsid w:val="007123AC"/>
    <w:rsid w:val="0071288A"/>
    <w:rsid w:val="007129A4"/>
    <w:rsid w:val="00712B22"/>
    <w:rsid w:val="00715128"/>
    <w:rsid w:val="0071516C"/>
    <w:rsid w:val="00715E08"/>
    <w:rsid w:val="00717909"/>
    <w:rsid w:val="0072056C"/>
    <w:rsid w:val="00720E6F"/>
    <w:rsid w:val="00721698"/>
    <w:rsid w:val="007227CE"/>
    <w:rsid w:val="0072434B"/>
    <w:rsid w:val="007252FD"/>
    <w:rsid w:val="007269E7"/>
    <w:rsid w:val="00726CEA"/>
    <w:rsid w:val="0073003A"/>
    <w:rsid w:val="00730F50"/>
    <w:rsid w:val="00731613"/>
    <w:rsid w:val="007321EB"/>
    <w:rsid w:val="00733BFD"/>
    <w:rsid w:val="00733D5F"/>
    <w:rsid w:val="0073666E"/>
    <w:rsid w:val="0073707D"/>
    <w:rsid w:val="007419B1"/>
    <w:rsid w:val="00742D32"/>
    <w:rsid w:val="00744A3C"/>
    <w:rsid w:val="00744FFF"/>
    <w:rsid w:val="00745CDC"/>
    <w:rsid w:val="0074656B"/>
    <w:rsid w:val="007468B9"/>
    <w:rsid w:val="00750D20"/>
    <w:rsid w:val="007511F1"/>
    <w:rsid w:val="00752628"/>
    <w:rsid w:val="00752C16"/>
    <w:rsid w:val="0075316D"/>
    <w:rsid w:val="00753778"/>
    <w:rsid w:val="00753A59"/>
    <w:rsid w:val="00753C5C"/>
    <w:rsid w:val="007550B4"/>
    <w:rsid w:val="00757117"/>
    <w:rsid w:val="00757189"/>
    <w:rsid w:val="00757A0E"/>
    <w:rsid w:val="00760850"/>
    <w:rsid w:val="007630E9"/>
    <w:rsid w:val="00765FDB"/>
    <w:rsid w:val="00767017"/>
    <w:rsid w:val="0076749A"/>
    <w:rsid w:val="007713C3"/>
    <w:rsid w:val="0077213E"/>
    <w:rsid w:val="007731C0"/>
    <w:rsid w:val="0077350E"/>
    <w:rsid w:val="00773D17"/>
    <w:rsid w:val="00773FB8"/>
    <w:rsid w:val="00774997"/>
    <w:rsid w:val="00774FBD"/>
    <w:rsid w:val="00775113"/>
    <w:rsid w:val="007767AF"/>
    <w:rsid w:val="00776847"/>
    <w:rsid w:val="00776A99"/>
    <w:rsid w:val="00777E82"/>
    <w:rsid w:val="00782207"/>
    <w:rsid w:val="0078256A"/>
    <w:rsid w:val="00782FF2"/>
    <w:rsid w:val="00783674"/>
    <w:rsid w:val="00785612"/>
    <w:rsid w:val="00787CBC"/>
    <w:rsid w:val="00790E34"/>
    <w:rsid w:val="007913C9"/>
    <w:rsid w:val="00792C08"/>
    <w:rsid w:val="007950DE"/>
    <w:rsid w:val="00795EEC"/>
    <w:rsid w:val="00797376"/>
    <w:rsid w:val="007A05D2"/>
    <w:rsid w:val="007A33DA"/>
    <w:rsid w:val="007A38C4"/>
    <w:rsid w:val="007A3ACF"/>
    <w:rsid w:val="007A3FEB"/>
    <w:rsid w:val="007A4318"/>
    <w:rsid w:val="007A512A"/>
    <w:rsid w:val="007A664F"/>
    <w:rsid w:val="007B082E"/>
    <w:rsid w:val="007B1954"/>
    <w:rsid w:val="007B1C9F"/>
    <w:rsid w:val="007B5057"/>
    <w:rsid w:val="007B6665"/>
    <w:rsid w:val="007B71C5"/>
    <w:rsid w:val="007B72A1"/>
    <w:rsid w:val="007C1122"/>
    <w:rsid w:val="007C1B7D"/>
    <w:rsid w:val="007C219E"/>
    <w:rsid w:val="007C33EB"/>
    <w:rsid w:val="007C340D"/>
    <w:rsid w:val="007C3CEE"/>
    <w:rsid w:val="007C497A"/>
    <w:rsid w:val="007C6DE2"/>
    <w:rsid w:val="007C7325"/>
    <w:rsid w:val="007C7C30"/>
    <w:rsid w:val="007C7CEF"/>
    <w:rsid w:val="007D05C1"/>
    <w:rsid w:val="007D1A5F"/>
    <w:rsid w:val="007D2374"/>
    <w:rsid w:val="007D2BB0"/>
    <w:rsid w:val="007D557B"/>
    <w:rsid w:val="007D6309"/>
    <w:rsid w:val="007D7442"/>
    <w:rsid w:val="007E0283"/>
    <w:rsid w:val="007E03A6"/>
    <w:rsid w:val="007E0D3D"/>
    <w:rsid w:val="007E10B2"/>
    <w:rsid w:val="007E1557"/>
    <w:rsid w:val="007E2687"/>
    <w:rsid w:val="007E34B9"/>
    <w:rsid w:val="007E4311"/>
    <w:rsid w:val="007E4703"/>
    <w:rsid w:val="007E4889"/>
    <w:rsid w:val="007E4B8F"/>
    <w:rsid w:val="007E51E3"/>
    <w:rsid w:val="007E579B"/>
    <w:rsid w:val="007E597A"/>
    <w:rsid w:val="007E6023"/>
    <w:rsid w:val="007E65A2"/>
    <w:rsid w:val="007E6781"/>
    <w:rsid w:val="007F0B66"/>
    <w:rsid w:val="007F0D96"/>
    <w:rsid w:val="007F13D4"/>
    <w:rsid w:val="007F15E3"/>
    <w:rsid w:val="007F267B"/>
    <w:rsid w:val="007F26A5"/>
    <w:rsid w:val="007F2B10"/>
    <w:rsid w:val="007F30B4"/>
    <w:rsid w:val="007F3C5A"/>
    <w:rsid w:val="007F4368"/>
    <w:rsid w:val="007F4C04"/>
    <w:rsid w:val="007F4E11"/>
    <w:rsid w:val="007F50B2"/>
    <w:rsid w:val="007F5283"/>
    <w:rsid w:val="007F5E6A"/>
    <w:rsid w:val="0080065F"/>
    <w:rsid w:val="008012FB"/>
    <w:rsid w:val="00801780"/>
    <w:rsid w:val="00803307"/>
    <w:rsid w:val="008038BA"/>
    <w:rsid w:val="008039B6"/>
    <w:rsid w:val="0080666B"/>
    <w:rsid w:val="00806701"/>
    <w:rsid w:val="008074EE"/>
    <w:rsid w:val="00807D08"/>
    <w:rsid w:val="00810731"/>
    <w:rsid w:val="00810DE8"/>
    <w:rsid w:val="0081216D"/>
    <w:rsid w:val="008137A6"/>
    <w:rsid w:val="00813E8F"/>
    <w:rsid w:val="008148FD"/>
    <w:rsid w:val="00814EA5"/>
    <w:rsid w:val="00814EC4"/>
    <w:rsid w:val="00816BDA"/>
    <w:rsid w:val="0081797F"/>
    <w:rsid w:val="00817F06"/>
    <w:rsid w:val="008212A4"/>
    <w:rsid w:val="00821911"/>
    <w:rsid w:val="00821C28"/>
    <w:rsid w:val="00822082"/>
    <w:rsid w:val="00824014"/>
    <w:rsid w:val="008265EF"/>
    <w:rsid w:val="008310E9"/>
    <w:rsid w:val="00831EA4"/>
    <w:rsid w:val="008323C1"/>
    <w:rsid w:val="00832A10"/>
    <w:rsid w:val="00832A16"/>
    <w:rsid w:val="008337CA"/>
    <w:rsid w:val="0084186B"/>
    <w:rsid w:val="00842A2B"/>
    <w:rsid w:val="00843078"/>
    <w:rsid w:val="00844827"/>
    <w:rsid w:val="00845AE1"/>
    <w:rsid w:val="00846EB5"/>
    <w:rsid w:val="00846FB6"/>
    <w:rsid w:val="00852613"/>
    <w:rsid w:val="00852B14"/>
    <w:rsid w:val="00852E67"/>
    <w:rsid w:val="0085618A"/>
    <w:rsid w:val="00856AB5"/>
    <w:rsid w:val="00857CC6"/>
    <w:rsid w:val="008608DF"/>
    <w:rsid w:val="00861253"/>
    <w:rsid w:val="0086387D"/>
    <w:rsid w:val="00863E72"/>
    <w:rsid w:val="008648B6"/>
    <w:rsid w:val="0086527E"/>
    <w:rsid w:val="00865417"/>
    <w:rsid w:val="00865A85"/>
    <w:rsid w:val="00866B63"/>
    <w:rsid w:val="00866E48"/>
    <w:rsid w:val="008673EE"/>
    <w:rsid w:val="0087008B"/>
    <w:rsid w:val="00870553"/>
    <w:rsid w:val="00870B54"/>
    <w:rsid w:val="00870CE5"/>
    <w:rsid w:val="00870E7A"/>
    <w:rsid w:val="008713BA"/>
    <w:rsid w:val="008731B2"/>
    <w:rsid w:val="0087347E"/>
    <w:rsid w:val="008736E8"/>
    <w:rsid w:val="0087544B"/>
    <w:rsid w:val="0087578A"/>
    <w:rsid w:val="00877B40"/>
    <w:rsid w:val="00880466"/>
    <w:rsid w:val="008807A4"/>
    <w:rsid w:val="00880995"/>
    <w:rsid w:val="00881650"/>
    <w:rsid w:val="00883A9D"/>
    <w:rsid w:val="008842A6"/>
    <w:rsid w:val="008842EF"/>
    <w:rsid w:val="00885BA3"/>
    <w:rsid w:val="00886044"/>
    <w:rsid w:val="008860ED"/>
    <w:rsid w:val="008869F1"/>
    <w:rsid w:val="00886F4E"/>
    <w:rsid w:val="008901BE"/>
    <w:rsid w:val="008905CC"/>
    <w:rsid w:val="00890A89"/>
    <w:rsid w:val="0089102A"/>
    <w:rsid w:val="008924D3"/>
    <w:rsid w:val="00893A9B"/>
    <w:rsid w:val="00893E45"/>
    <w:rsid w:val="00894537"/>
    <w:rsid w:val="008973BD"/>
    <w:rsid w:val="008978D1"/>
    <w:rsid w:val="00897F94"/>
    <w:rsid w:val="008A08FC"/>
    <w:rsid w:val="008A14EB"/>
    <w:rsid w:val="008A262D"/>
    <w:rsid w:val="008A43DE"/>
    <w:rsid w:val="008A45CE"/>
    <w:rsid w:val="008A4A32"/>
    <w:rsid w:val="008A4CE4"/>
    <w:rsid w:val="008A4E4B"/>
    <w:rsid w:val="008A506A"/>
    <w:rsid w:val="008A51D5"/>
    <w:rsid w:val="008A5740"/>
    <w:rsid w:val="008A57E1"/>
    <w:rsid w:val="008A68E0"/>
    <w:rsid w:val="008A6BB8"/>
    <w:rsid w:val="008A7B99"/>
    <w:rsid w:val="008A7F1D"/>
    <w:rsid w:val="008B00A2"/>
    <w:rsid w:val="008B0113"/>
    <w:rsid w:val="008B071A"/>
    <w:rsid w:val="008B1F4B"/>
    <w:rsid w:val="008B2739"/>
    <w:rsid w:val="008B2B79"/>
    <w:rsid w:val="008B3600"/>
    <w:rsid w:val="008B3B0F"/>
    <w:rsid w:val="008B3C14"/>
    <w:rsid w:val="008B4A7B"/>
    <w:rsid w:val="008B57D5"/>
    <w:rsid w:val="008B6CCB"/>
    <w:rsid w:val="008B78F1"/>
    <w:rsid w:val="008B7B2D"/>
    <w:rsid w:val="008C07ED"/>
    <w:rsid w:val="008C185F"/>
    <w:rsid w:val="008C2A29"/>
    <w:rsid w:val="008C2BDF"/>
    <w:rsid w:val="008C6899"/>
    <w:rsid w:val="008C6F2C"/>
    <w:rsid w:val="008C765A"/>
    <w:rsid w:val="008C76F7"/>
    <w:rsid w:val="008D00EE"/>
    <w:rsid w:val="008D2C61"/>
    <w:rsid w:val="008D323A"/>
    <w:rsid w:val="008D38AF"/>
    <w:rsid w:val="008D3D9B"/>
    <w:rsid w:val="008D5ADF"/>
    <w:rsid w:val="008D627B"/>
    <w:rsid w:val="008E00F5"/>
    <w:rsid w:val="008E0172"/>
    <w:rsid w:val="008E0B1D"/>
    <w:rsid w:val="008E13FD"/>
    <w:rsid w:val="008E2D16"/>
    <w:rsid w:val="008E3920"/>
    <w:rsid w:val="008E42D5"/>
    <w:rsid w:val="008E4A85"/>
    <w:rsid w:val="008E6998"/>
    <w:rsid w:val="008E72BF"/>
    <w:rsid w:val="008F011D"/>
    <w:rsid w:val="008F0416"/>
    <w:rsid w:val="008F0A84"/>
    <w:rsid w:val="008F35B4"/>
    <w:rsid w:val="008F42B6"/>
    <w:rsid w:val="008F4C29"/>
    <w:rsid w:val="008F527D"/>
    <w:rsid w:val="008F5532"/>
    <w:rsid w:val="008F579D"/>
    <w:rsid w:val="008F5D36"/>
    <w:rsid w:val="008F6FE5"/>
    <w:rsid w:val="008F71F8"/>
    <w:rsid w:val="008F7241"/>
    <w:rsid w:val="008F72AF"/>
    <w:rsid w:val="008F739C"/>
    <w:rsid w:val="008F7413"/>
    <w:rsid w:val="008F7C5B"/>
    <w:rsid w:val="008F7CA4"/>
    <w:rsid w:val="0090004B"/>
    <w:rsid w:val="00900595"/>
    <w:rsid w:val="00900B9F"/>
    <w:rsid w:val="00900BB5"/>
    <w:rsid w:val="00900E47"/>
    <w:rsid w:val="009011E5"/>
    <w:rsid w:val="0090141D"/>
    <w:rsid w:val="00902809"/>
    <w:rsid w:val="00902BD9"/>
    <w:rsid w:val="00903B1D"/>
    <w:rsid w:val="009046EE"/>
    <w:rsid w:val="0090513C"/>
    <w:rsid w:val="0090680E"/>
    <w:rsid w:val="00907603"/>
    <w:rsid w:val="00907773"/>
    <w:rsid w:val="00910507"/>
    <w:rsid w:val="00914BF8"/>
    <w:rsid w:val="00915F62"/>
    <w:rsid w:val="0091611C"/>
    <w:rsid w:val="009166F3"/>
    <w:rsid w:val="00917DBC"/>
    <w:rsid w:val="00920245"/>
    <w:rsid w:val="00920EE8"/>
    <w:rsid w:val="00921A87"/>
    <w:rsid w:val="009243F9"/>
    <w:rsid w:val="0092636E"/>
    <w:rsid w:val="00926C34"/>
    <w:rsid w:val="009314C9"/>
    <w:rsid w:val="009314E5"/>
    <w:rsid w:val="00931E08"/>
    <w:rsid w:val="0093244D"/>
    <w:rsid w:val="00933C9F"/>
    <w:rsid w:val="00933D73"/>
    <w:rsid w:val="00934023"/>
    <w:rsid w:val="0093521D"/>
    <w:rsid w:val="009354AA"/>
    <w:rsid w:val="009371F5"/>
    <w:rsid w:val="00940AF4"/>
    <w:rsid w:val="00941459"/>
    <w:rsid w:val="009415D9"/>
    <w:rsid w:val="00942375"/>
    <w:rsid w:val="00942986"/>
    <w:rsid w:val="00942C91"/>
    <w:rsid w:val="009431B2"/>
    <w:rsid w:val="00945576"/>
    <w:rsid w:val="00946418"/>
    <w:rsid w:val="00947B64"/>
    <w:rsid w:val="00950EDF"/>
    <w:rsid w:val="009512D5"/>
    <w:rsid w:val="0095134F"/>
    <w:rsid w:val="009515BC"/>
    <w:rsid w:val="00953CFC"/>
    <w:rsid w:val="009547C9"/>
    <w:rsid w:val="00954B34"/>
    <w:rsid w:val="00955DBA"/>
    <w:rsid w:val="00956730"/>
    <w:rsid w:val="009568C4"/>
    <w:rsid w:val="00956CE0"/>
    <w:rsid w:val="00957B67"/>
    <w:rsid w:val="00957C2E"/>
    <w:rsid w:val="00957C35"/>
    <w:rsid w:val="00957CAC"/>
    <w:rsid w:val="0096113D"/>
    <w:rsid w:val="00961651"/>
    <w:rsid w:val="00961EA0"/>
    <w:rsid w:val="00962E3F"/>
    <w:rsid w:val="00962F36"/>
    <w:rsid w:val="009645E4"/>
    <w:rsid w:val="00965DD8"/>
    <w:rsid w:val="009672E2"/>
    <w:rsid w:val="009674C4"/>
    <w:rsid w:val="009711B5"/>
    <w:rsid w:val="009714D4"/>
    <w:rsid w:val="009744E1"/>
    <w:rsid w:val="00974D21"/>
    <w:rsid w:val="009750AC"/>
    <w:rsid w:val="00976621"/>
    <w:rsid w:val="00976DEE"/>
    <w:rsid w:val="00976F6D"/>
    <w:rsid w:val="0097772E"/>
    <w:rsid w:val="00980D1C"/>
    <w:rsid w:val="00981CD7"/>
    <w:rsid w:val="00981CE9"/>
    <w:rsid w:val="009822C4"/>
    <w:rsid w:val="00983AE2"/>
    <w:rsid w:val="009859F8"/>
    <w:rsid w:val="009862F9"/>
    <w:rsid w:val="009871BC"/>
    <w:rsid w:val="009873BD"/>
    <w:rsid w:val="00991A07"/>
    <w:rsid w:val="00993B2E"/>
    <w:rsid w:val="00993CCA"/>
    <w:rsid w:val="0099475E"/>
    <w:rsid w:val="0099574D"/>
    <w:rsid w:val="00995A6D"/>
    <w:rsid w:val="00995B3F"/>
    <w:rsid w:val="00996AFF"/>
    <w:rsid w:val="00996DC6"/>
    <w:rsid w:val="00996DF1"/>
    <w:rsid w:val="00996FBD"/>
    <w:rsid w:val="009A2C4B"/>
    <w:rsid w:val="009A3EC9"/>
    <w:rsid w:val="009A5A60"/>
    <w:rsid w:val="009A5D18"/>
    <w:rsid w:val="009B1E94"/>
    <w:rsid w:val="009B3A50"/>
    <w:rsid w:val="009B4294"/>
    <w:rsid w:val="009B539E"/>
    <w:rsid w:val="009B6C5B"/>
    <w:rsid w:val="009B6FBA"/>
    <w:rsid w:val="009C033B"/>
    <w:rsid w:val="009C0919"/>
    <w:rsid w:val="009C125B"/>
    <w:rsid w:val="009C5E4C"/>
    <w:rsid w:val="009C6B63"/>
    <w:rsid w:val="009D23BE"/>
    <w:rsid w:val="009D2425"/>
    <w:rsid w:val="009D2C01"/>
    <w:rsid w:val="009D2EC4"/>
    <w:rsid w:val="009D2F88"/>
    <w:rsid w:val="009D3948"/>
    <w:rsid w:val="009D3991"/>
    <w:rsid w:val="009D4AB1"/>
    <w:rsid w:val="009D56A6"/>
    <w:rsid w:val="009D7D93"/>
    <w:rsid w:val="009E29C4"/>
    <w:rsid w:val="009E3651"/>
    <w:rsid w:val="009E3FD6"/>
    <w:rsid w:val="009E461F"/>
    <w:rsid w:val="009E499D"/>
    <w:rsid w:val="009E4BBC"/>
    <w:rsid w:val="009E6213"/>
    <w:rsid w:val="009E62FF"/>
    <w:rsid w:val="009E65EE"/>
    <w:rsid w:val="009E6D7B"/>
    <w:rsid w:val="009F11E0"/>
    <w:rsid w:val="009F1882"/>
    <w:rsid w:val="009F2CC0"/>
    <w:rsid w:val="009F301C"/>
    <w:rsid w:val="009F3345"/>
    <w:rsid w:val="009F35EA"/>
    <w:rsid w:val="009F4D6B"/>
    <w:rsid w:val="009F5F8F"/>
    <w:rsid w:val="00A000D8"/>
    <w:rsid w:val="00A001BC"/>
    <w:rsid w:val="00A00826"/>
    <w:rsid w:val="00A0378A"/>
    <w:rsid w:val="00A05A8B"/>
    <w:rsid w:val="00A0690F"/>
    <w:rsid w:val="00A0695E"/>
    <w:rsid w:val="00A10018"/>
    <w:rsid w:val="00A10CA7"/>
    <w:rsid w:val="00A11C71"/>
    <w:rsid w:val="00A13752"/>
    <w:rsid w:val="00A140F0"/>
    <w:rsid w:val="00A142F5"/>
    <w:rsid w:val="00A14817"/>
    <w:rsid w:val="00A167A1"/>
    <w:rsid w:val="00A20597"/>
    <w:rsid w:val="00A20B42"/>
    <w:rsid w:val="00A20E05"/>
    <w:rsid w:val="00A20E5C"/>
    <w:rsid w:val="00A21EA8"/>
    <w:rsid w:val="00A22AD6"/>
    <w:rsid w:val="00A22F60"/>
    <w:rsid w:val="00A2358B"/>
    <w:rsid w:val="00A255B4"/>
    <w:rsid w:val="00A2592E"/>
    <w:rsid w:val="00A303C4"/>
    <w:rsid w:val="00A30808"/>
    <w:rsid w:val="00A3107F"/>
    <w:rsid w:val="00A311DA"/>
    <w:rsid w:val="00A32CCA"/>
    <w:rsid w:val="00A33708"/>
    <w:rsid w:val="00A33FD6"/>
    <w:rsid w:val="00A34B5F"/>
    <w:rsid w:val="00A35108"/>
    <w:rsid w:val="00A352B5"/>
    <w:rsid w:val="00A36D9C"/>
    <w:rsid w:val="00A40652"/>
    <w:rsid w:val="00A410DF"/>
    <w:rsid w:val="00A42180"/>
    <w:rsid w:val="00A42EAA"/>
    <w:rsid w:val="00A4359B"/>
    <w:rsid w:val="00A43EC9"/>
    <w:rsid w:val="00A44C70"/>
    <w:rsid w:val="00A44E78"/>
    <w:rsid w:val="00A45718"/>
    <w:rsid w:val="00A4647C"/>
    <w:rsid w:val="00A46D9E"/>
    <w:rsid w:val="00A4705C"/>
    <w:rsid w:val="00A4753C"/>
    <w:rsid w:val="00A47CB6"/>
    <w:rsid w:val="00A50287"/>
    <w:rsid w:val="00A505A1"/>
    <w:rsid w:val="00A506F1"/>
    <w:rsid w:val="00A51143"/>
    <w:rsid w:val="00A512DE"/>
    <w:rsid w:val="00A518EF"/>
    <w:rsid w:val="00A519D2"/>
    <w:rsid w:val="00A5333D"/>
    <w:rsid w:val="00A5442A"/>
    <w:rsid w:val="00A54434"/>
    <w:rsid w:val="00A54545"/>
    <w:rsid w:val="00A57541"/>
    <w:rsid w:val="00A6110F"/>
    <w:rsid w:val="00A615AE"/>
    <w:rsid w:val="00A62386"/>
    <w:rsid w:val="00A62B71"/>
    <w:rsid w:val="00A633BF"/>
    <w:rsid w:val="00A6398A"/>
    <w:rsid w:val="00A6497C"/>
    <w:rsid w:val="00A64FF5"/>
    <w:rsid w:val="00A66018"/>
    <w:rsid w:val="00A703DD"/>
    <w:rsid w:val="00A70BC1"/>
    <w:rsid w:val="00A70C0D"/>
    <w:rsid w:val="00A70CDE"/>
    <w:rsid w:val="00A723B6"/>
    <w:rsid w:val="00A729F9"/>
    <w:rsid w:val="00A74DAE"/>
    <w:rsid w:val="00A7518E"/>
    <w:rsid w:val="00A764FA"/>
    <w:rsid w:val="00A76BC7"/>
    <w:rsid w:val="00A76DCF"/>
    <w:rsid w:val="00A8086D"/>
    <w:rsid w:val="00A80EA0"/>
    <w:rsid w:val="00A825AB"/>
    <w:rsid w:val="00A831BD"/>
    <w:rsid w:val="00A83668"/>
    <w:rsid w:val="00A83DC1"/>
    <w:rsid w:val="00A84070"/>
    <w:rsid w:val="00A873F1"/>
    <w:rsid w:val="00A90385"/>
    <w:rsid w:val="00A909DC"/>
    <w:rsid w:val="00A90FA2"/>
    <w:rsid w:val="00A91F9B"/>
    <w:rsid w:val="00A92A25"/>
    <w:rsid w:val="00A930C7"/>
    <w:rsid w:val="00A9327A"/>
    <w:rsid w:val="00A932CE"/>
    <w:rsid w:val="00A95428"/>
    <w:rsid w:val="00A96E60"/>
    <w:rsid w:val="00A97760"/>
    <w:rsid w:val="00AA047D"/>
    <w:rsid w:val="00AA064D"/>
    <w:rsid w:val="00AA2135"/>
    <w:rsid w:val="00AA2699"/>
    <w:rsid w:val="00AA2A3B"/>
    <w:rsid w:val="00AA4CC9"/>
    <w:rsid w:val="00AA5909"/>
    <w:rsid w:val="00AA78EA"/>
    <w:rsid w:val="00AA7F29"/>
    <w:rsid w:val="00AB1033"/>
    <w:rsid w:val="00AB10BC"/>
    <w:rsid w:val="00AB1E31"/>
    <w:rsid w:val="00AB267D"/>
    <w:rsid w:val="00AB27A4"/>
    <w:rsid w:val="00AB2E0C"/>
    <w:rsid w:val="00AB4503"/>
    <w:rsid w:val="00AB4796"/>
    <w:rsid w:val="00AB4EAD"/>
    <w:rsid w:val="00AB6CF7"/>
    <w:rsid w:val="00AC02EC"/>
    <w:rsid w:val="00AC07A5"/>
    <w:rsid w:val="00AC1317"/>
    <w:rsid w:val="00AC2497"/>
    <w:rsid w:val="00AC572D"/>
    <w:rsid w:val="00AC5B1B"/>
    <w:rsid w:val="00AC6426"/>
    <w:rsid w:val="00AD043C"/>
    <w:rsid w:val="00AD081A"/>
    <w:rsid w:val="00AD202B"/>
    <w:rsid w:val="00AD2717"/>
    <w:rsid w:val="00AD3A60"/>
    <w:rsid w:val="00AD442E"/>
    <w:rsid w:val="00AD44F3"/>
    <w:rsid w:val="00AD6C58"/>
    <w:rsid w:val="00AD6E02"/>
    <w:rsid w:val="00AD7720"/>
    <w:rsid w:val="00AD784C"/>
    <w:rsid w:val="00AE098A"/>
    <w:rsid w:val="00AE0A59"/>
    <w:rsid w:val="00AE2278"/>
    <w:rsid w:val="00AE3438"/>
    <w:rsid w:val="00AE34FD"/>
    <w:rsid w:val="00AE3A87"/>
    <w:rsid w:val="00AE60F3"/>
    <w:rsid w:val="00AE68A4"/>
    <w:rsid w:val="00AE722E"/>
    <w:rsid w:val="00AE7691"/>
    <w:rsid w:val="00AE7930"/>
    <w:rsid w:val="00AF01D2"/>
    <w:rsid w:val="00AF0DDD"/>
    <w:rsid w:val="00AF13DB"/>
    <w:rsid w:val="00AF2674"/>
    <w:rsid w:val="00AF2C08"/>
    <w:rsid w:val="00AF4E34"/>
    <w:rsid w:val="00AF5A13"/>
    <w:rsid w:val="00AF5C59"/>
    <w:rsid w:val="00AF7198"/>
    <w:rsid w:val="00AF735A"/>
    <w:rsid w:val="00AF7A57"/>
    <w:rsid w:val="00AF7D8E"/>
    <w:rsid w:val="00AF7E26"/>
    <w:rsid w:val="00B0039F"/>
    <w:rsid w:val="00B01802"/>
    <w:rsid w:val="00B0188B"/>
    <w:rsid w:val="00B01AC6"/>
    <w:rsid w:val="00B01E03"/>
    <w:rsid w:val="00B025DA"/>
    <w:rsid w:val="00B02C7C"/>
    <w:rsid w:val="00B0325D"/>
    <w:rsid w:val="00B0481A"/>
    <w:rsid w:val="00B04EEF"/>
    <w:rsid w:val="00B055DB"/>
    <w:rsid w:val="00B075AD"/>
    <w:rsid w:val="00B07963"/>
    <w:rsid w:val="00B10675"/>
    <w:rsid w:val="00B10EC5"/>
    <w:rsid w:val="00B12601"/>
    <w:rsid w:val="00B12F0D"/>
    <w:rsid w:val="00B13837"/>
    <w:rsid w:val="00B16B54"/>
    <w:rsid w:val="00B1713B"/>
    <w:rsid w:val="00B2231D"/>
    <w:rsid w:val="00B25484"/>
    <w:rsid w:val="00B25656"/>
    <w:rsid w:val="00B2798B"/>
    <w:rsid w:val="00B27BED"/>
    <w:rsid w:val="00B302E9"/>
    <w:rsid w:val="00B30B2D"/>
    <w:rsid w:val="00B30E17"/>
    <w:rsid w:val="00B315E2"/>
    <w:rsid w:val="00B32125"/>
    <w:rsid w:val="00B32BB2"/>
    <w:rsid w:val="00B332AE"/>
    <w:rsid w:val="00B33D60"/>
    <w:rsid w:val="00B34AD8"/>
    <w:rsid w:val="00B34C91"/>
    <w:rsid w:val="00B357A9"/>
    <w:rsid w:val="00B365D4"/>
    <w:rsid w:val="00B36D5E"/>
    <w:rsid w:val="00B40115"/>
    <w:rsid w:val="00B40242"/>
    <w:rsid w:val="00B40476"/>
    <w:rsid w:val="00B40B6B"/>
    <w:rsid w:val="00B40BED"/>
    <w:rsid w:val="00B4242A"/>
    <w:rsid w:val="00B427B7"/>
    <w:rsid w:val="00B42E8E"/>
    <w:rsid w:val="00B44ADE"/>
    <w:rsid w:val="00B45EA9"/>
    <w:rsid w:val="00B46EF2"/>
    <w:rsid w:val="00B47F49"/>
    <w:rsid w:val="00B502B0"/>
    <w:rsid w:val="00B513D8"/>
    <w:rsid w:val="00B51B8A"/>
    <w:rsid w:val="00B51FCD"/>
    <w:rsid w:val="00B52098"/>
    <w:rsid w:val="00B52C9B"/>
    <w:rsid w:val="00B53955"/>
    <w:rsid w:val="00B53AD7"/>
    <w:rsid w:val="00B547DD"/>
    <w:rsid w:val="00B551B4"/>
    <w:rsid w:val="00B5653E"/>
    <w:rsid w:val="00B567DB"/>
    <w:rsid w:val="00B579E3"/>
    <w:rsid w:val="00B60D8A"/>
    <w:rsid w:val="00B60F14"/>
    <w:rsid w:val="00B615AC"/>
    <w:rsid w:val="00B62F20"/>
    <w:rsid w:val="00B62F46"/>
    <w:rsid w:val="00B6419D"/>
    <w:rsid w:val="00B67559"/>
    <w:rsid w:val="00B713D7"/>
    <w:rsid w:val="00B745FB"/>
    <w:rsid w:val="00B746B9"/>
    <w:rsid w:val="00B756EF"/>
    <w:rsid w:val="00B75CAD"/>
    <w:rsid w:val="00B76D88"/>
    <w:rsid w:val="00B76DCA"/>
    <w:rsid w:val="00B770E0"/>
    <w:rsid w:val="00B7776D"/>
    <w:rsid w:val="00B80596"/>
    <w:rsid w:val="00B81AEA"/>
    <w:rsid w:val="00B81E07"/>
    <w:rsid w:val="00B822DA"/>
    <w:rsid w:val="00B848EF"/>
    <w:rsid w:val="00B850E5"/>
    <w:rsid w:val="00B85BA0"/>
    <w:rsid w:val="00B862CB"/>
    <w:rsid w:val="00B86F8F"/>
    <w:rsid w:val="00B91688"/>
    <w:rsid w:val="00B92A44"/>
    <w:rsid w:val="00B94A96"/>
    <w:rsid w:val="00B95BD8"/>
    <w:rsid w:val="00B9617E"/>
    <w:rsid w:val="00B975C1"/>
    <w:rsid w:val="00B976B6"/>
    <w:rsid w:val="00BA0CB9"/>
    <w:rsid w:val="00BA1310"/>
    <w:rsid w:val="00BA3868"/>
    <w:rsid w:val="00BA45B8"/>
    <w:rsid w:val="00BA4F62"/>
    <w:rsid w:val="00BA5E7C"/>
    <w:rsid w:val="00BA6B9B"/>
    <w:rsid w:val="00BA6D28"/>
    <w:rsid w:val="00BA77B0"/>
    <w:rsid w:val="00BA78E8"/>
    <w:rsid w:val="00BB0010"/>
    <w:rsid w:val="00BB1561"/>
    <w:rsid w:val="00BB1E7F"/>
    <w:rsid w:val="00BB2768"/>
    <w:rsid w:val="00BB288E"/>
    <w:rsid w:val="00BB7970"/>
    <w:rsid w:val="00BB7AFA"/>
    <w:rsid w:val="00BC05B0"/>
    <w:rsid w:val="00BC1349"/>
    <w:rsid w:val="00BC14A0"/>
    <w:rsid w:val="00BC2A27"/>
    <w:rsid w:val="00BC3B13"/>
    <w:rsid w:val="00BC3C75"/>
    <w:rsid w:val="00BC3CA3"/>
    <w:rsid w:val="00BC4FAB"/>
    <w:rsid w:val="00BC5A20"/>
    <w:rsid w:val="00BC6156"/>
    <w:rsid w:val="00BC6DC3"/>
    <w:rsid w:val="00BD0761"/>
    <w:rsid w:val="00BD0868"/>
    <w:rsid w:val="00BD0A4F"/>
    <w:rsid w:val="00BD0A95"/>
    <w:rsid w:val="00BD0BEB"/>
    <w:rsid w:val="00BD0CCF"/>
    <w:rsid w:val="00BD0FBF"/>
    <w:rsid w:val="00BD134D"/>
    <w:rsid w:val="00BD1485"/>
    <w:rsid w:val="00BD1B31"/>
    <w:rsid w:val="00BD2E2C"/>
    <w:rsid w:val="00BD3507"/>
    <w:rsid w:val="00BD3AA3"/>
    <w:rsid w:val="00BD3F44"/>
    <w:rsid w:val="00BD7AC2"/>
    <w:rsid w:val="00BD7D67"/>
    <w:rsid w:val="00BD7E54"/>
    <w:rsid w:val="00BE0036"/>
    <w:rsid w:val="00BE0737"/>
    <w:rsid w:val="00BE1810"/>
    <w:rsid w:val="00BE1B44"/>
    <w:rsid w:val="00BE214A"/>
    <w:rsid w:val="00BE3014"/>
    <w:rsid w:val="00BE385C"/>
    <w:rsid w:val="00BE3BBD"/>
    <w:rsid w:val="00BE4D78"/>
    <w:rsid w:val="00BE6F8B"/>
    <w:rsid w:val="00BE7467"/>
    <w:rsid w:val="00BE76AF"/>
    <w:rsid w:val="00BE7E9E"/>
    <w:rsid w:val="00BF17D2"/>
    <w:rsid w:val="00BF1E9D"/>
    <w:rsid w:val="00BF208C"/>
    <w:rsid w:val="00BF2286"/>
    <w:rsid w:val="00BF246E"/>
    <w:rsid w:val="00BF2818"/>
    <w:rsid w:val="00BF354C"/>
    <w:rsid w:val="00BF42BC"/>
    <w:rsid w:val="00BF44C0"/>
    <w:rsid w:val="00BF5131"/>
    <w:rsid w:val="00BF55A1"/>
    <w:rsid w:val="00BF5742"/>
    <w:rsid w:val="00BF60AB"/>
    <w:rsid w:val="00BF7FC6"/>
    <w:rsid w:val="00C00543"/>
    <w:rsid w:val="00C00A31"/>
    <w:rsid w:val="00C00AFB"/>
    <w:rsid w:val="00C00FC5"/>
    <w:rsid w:val="00C02352"/>
    <w:rsid w:val="00C025D1"/>
    <w:rsid w:val="00C03836"/>
    <w:rsid w:val="00C03977"/>
    <w:rsid w:val="00C03A34"/>
    <w:rsid w:val="00C055BD"/>
    <w:rsid w:val="00C0649D"/>
    <w:rsid w:val="00C07027"/>
    <w:rsid w:val="00C074E2"/>
    <w:rsid w:val="00C07838"/>
    <w:rsid w:val="00C108E6"/>
    <w:rsid w:val="00C10E65"/>
    <w:rsid w:val="00C119D8"/>
    <w:rsid w:val="00C11FC7"/>
    <w:rsid w:val="00C12043"/>
    <w:rsid w:val="00C12846"/>
    <w:rsid w:val="00C133E3"/>
    <w:rsid w:val="00C13438"/>
    <w:rsid w:val="00C14AC2"/>
    <w:rsid w:val="00C1598A"/>
    <w:rsid w:val="00C1650A"/>
    <w:rsid w:val="00C16EBD"/>
    <w:rsid w:val="00C17E31"/>
    <w:rsid w:val="00C20BD7"/>
    <w:rsid w:val="00C216FC"/>
    <w:rsid w:val="00C25B0B"/>
    <w:rsid w:val="00C264C6"/>
    <w:rsid w:val="00C26F01"/>
    <w:rsid w:val="00C27351"/>
    <w:rsid w:val="00C27852"/>
    <w:rsid w:val="00C30435"/>
    <w:rsid w:val="00C310F0"/>
    <w:rsid w:val="00C31E3C"/>
    <w:rsid w:val="00C32CC1"/>
    <w:rsid w:val="00C343E8"/>
    <w:rsid w:val="00C3542B"/>
    <w:rsid w:val="00C35563"/>
    <w:rsid w:val="00C3651C"/>
    <w:rsid w:val="00C378A0"/>
    <w:rsid w:val="00C404F2"/>
    <w:rsid w:val="00C4058F"/>
    <w:rsid w:val="00C40A27"/>
    <w:rsid w:val="00C40F0C"/>
    <w:rsid w:val="00C41EAE"/>
    <w:rsid w:val="00C41F32"/>
    <w:rsid w:val="00C4202A"/>
    <w:rsid w:val="00C42616"/>
    <w:rsid w:val="00C43965"/>
    <w:rsid w:val="00C44824"/>
    <w:rsid w:val="00C4661F"/>
    <w:rsid w:val="00C46921"/>
    <w:rsid w:val="00C478C4"/>
    <w:rsid w:val="00C50B0E"/>
    <w:rsid w:val="00C50EAB"/>
    <w:rsid w:val="00C50F50"/>
    <w:rsid w:val="00C50F68"/>
    <w:rsid w:val="00C51713"/>
    <w:rsid w:val="00C518CB"/>
    <w:rsid w:val="00C51F77"/>
    <w:rsid w:val="00C52706"/>
    <w:rsid w:val="00C55334"/>
    <w:rsid w:val="00C55C5A"/>
    <w:rsid w:val="00C56CEE"/>
    <w:rsid w:val="00C5751F"/>
    <w:rsid w:val="00C57957"/>
    <w:rsid w:val="00C57959"/>
    <w:rsid w:val="00C61998"/>
    <w:rsid w:val="00C62DA9"/>
    <w:rsid w:val="00C64408"/>
    <w:rsid w:val="00C658CE"/>
    <w:rsid w:val="00C65961"/>
    <w:rsid w:val="00C65FBF"/>
    <w:rsid w:val="00C66343"/>
    <w:rsid w:val="00C669C6"/>
    <w:rsid w:val="00C66C2C"/>
    <w:rsid w:val="00C67EB2"/>
    <w:rsid w:val="00C71065"/>
    <w:rsid w:val="00C7172A"/>
    <w:rsid w:val="00C718A2"/>
    <w:rsid w:val="00C7563B"/>
    <w:rsid w:val="00C76AB7"/>
    <w:rsid w:val="00C76DB9"/>
    <w:rsid w:val="00C77A5A"/>
    <w:rsid w:val="00C80036"/>
    <w:rsid w:val="00C80109"/>
    <w:rsid w:val="00C8044F"/>
    <w:rsid w:val="00C809F6"/>
    <w:rsid w:val="00C80BAE"/>
    <w:rsid w:val="00C80CAC"/>
    <w:rsid w:val="00C810F9"/>
    <w:rsid w:val="00C81853"/>
    <w:rsid w:val="00C818D1"/>
    <w:rsid w:val="00C81CBF"/>
    <w:rsid w:val="00C824C8"/>
    <w:rsid w:val="00C82E31"/>
    <w:rsid w:val="00C82EB3"/>
    <w:rsid w:val="00C85414"/>
    <w:rsid w:val="00C86409"/>
    <w:rsid w:val="00C866C4"/>
    <w:rsid w:val="00C87105"/>
    <w:rsid w:val="00C87E00"/>
    <w:rsid w:val="00C90A89"/>
    <w:rsid w:val="00C91BD4"/>
    <w:rsid w:val="00C9200D"/>
    <w:rsid w:val="00C9263C"/>
    <w:rsid w:val="00C9299D"/>
    <w:rsid w:val="00C94A9A"/>
    <w:rsid w:val="00C9567A"/>
    <w:rsid w:val="00C9775B"/>
    <w:rsid w:val="00C97B40"/>
    <w:rsid w:val="00CA0444"/>
    <w:rsid w:val="00CA12EF"/>
    <w:rsid w:val="00CA2760"/>
    <w:rsid w:val="00CA3405"/>
    <w:rsid w:val="00CA3F76"/>
    <w:rsid w:val="00CA40AC"/>
    <w:rsid w:val="00CA41EC"/>
    <w:rsid w:val="00CA5CC7"/>
    <w:rsid w:val="00CA7D0E"/>
    <w:rsid w:val="00CB3355"/>
    <w:rsid w:val="00CB38CE"/>
    <w:rsid w:val="00CB3AA6"/>
    <w:rsid w:val="00CB3B24"/>
    <w:rsid w:val="00CB56A2"/>
    <w:rsid w:val="00CB5BEE"/>
    <w:rsid w:val="00CB73DC"/>
    <w:rsid w:val="00CB79D0"/>
    <w:rsid w:val="00CC180B"/>
    <w:rsid w:val="00CC1C5C"/>
    <w:rsid w:val="00CC237D"/>
    <w:rsid w:val="00CC29F6"/>
    <w:rsid w:val="00CC3260"/>
    <w:rsid w:val="00CC3433"/>
    <w:rsid w:val="00CC3AD2"/>
    <w:rsid w:val="00CC48EB"/>
    <w:rsid w:val="00CC51B1"/>
    <w:rsid w:val="00CC5592"/>
    <w:rsid w:val="00CC5EFB"/>
    <w:rsid w:val="00CC6065"/>
    <w:rsid w:val="00CC61B4"/>
    <w:rsid w:val="00CC7863"/>
    <w:rsid w:val="00CD06D4"/>
    <w:rsid w:val="00CD081E"/>
    <w:rsid w:val="00CD0D68"/>
    <w:rsid w:val="00CD398D"/>
    <w:rsid w:val="00CD5A01"/>
    <w:rsid w:val="00CD5BB4"/>
    <w:rsid w:val="00CD617A"/>
    <w:rsid w:val="00CD64D6"/>
    <w:rsid w:val="00CD7042"/>
    <w:rsid w:val="00CE0502"/>
    <w:rsid w:val="00CE1EEE"/>
    <w:rsid w:val="00CE23AC"/>
    <w:rsid w:val="00CE2E45"/>
    <w:rsid w:val="00CE3628"/>
    <w:rsid w:val="00CE5452"/>
    <w:rsid w:val="00CE55ED"/>
    <w:rsid w:val="00CE6C88"/>
    <w:rsid w:val="00CE7159"/>
    <w:rsid w:val="00CE7C4D"/>
    <w:rsid w:val="00CF1191"/>
    <w:rsid w:val="00CF1FD3"/>
    <w:rsid w:val="00CF2786"/>
    <w:rsid w:val="00CF2F44"/>
    <w:rsid w:val="00CF5F74"/>
    <w:rsid w:val="00CF6148"/>
    <w:rsid w:val="00CF78E2"/>
    <w:rsid w:val="00CF7BF4"/>
    <w:rsid w:val="00D019CC"/>
    <w:rsid w:val="00D02C9C"/>
    <w:rsid w:val="00D04E8D"/>
    <w:rsid w:val="00D0533C"/>
    <w:rsid w:val="00D05C89"/>
    <w:rsid w:val="00D05CB5"/>
    <w:rsid w:val="00D05D90"/>
    <w:rsid w:val="00D06487"/>
    <w:rsid w:val="00D07E3C"/>
    <w:rsid w:val="00D108D5"/>
    <w:rsid w:val="00D10B07"/>
    <w:rsid w:val="00D10E58"/>
    <w:rsid w:val="00D11927"/>
    <w:rsid w:val="00D11BB5"/>
    <w:rsid w:val="00D11C0D"/>
    <w:rsid w:val="00D11E1D"/>
    <w:rsid w:val="00D124F4"/>
    <w:rsid w:val="00D12AE3"/>
    <w:rsid w:val="00D13D5E"/>
    <w:rsid w:val="00D14772"/>
    <w:rsid w:val="00D15002"/>
    <w:rsid w:val="00D15CFC"/>
    <w:rsid w:val="00D2001F"/>
    <w:rsid w:val="00D203FB"/>
    <w:rsid w:val="00D21879"/>
    <w:rsid w:val="00D218EA"/>
    <w:rsid w:val="00D21933"/>
    <w:rsid w:val="00D22B6B"/>
    <w:rsid w:val="00D23165"/>
    <w:rsid w:val="00D23B5D"/>
    <w:rsid w:val="00D24612"/>
    <w:rsid w:val="00D24BCA"/>
    <w:rsid w:val="00D24EF1"/>
    <w:rsid w:val="00D26422"/>
    <w:rsid w:val="00D305AD"/>
    <w:rsid w:val="00D3111D"/>
    <w:rsid w:val="00D3118D"/>
    <w:rsid w:val="00D31A51"/>
    <w:rsid w:val="00D32AEE"/>
    <w:rsid w:val="00D33606"/>
    <w:rsid w:val="00D3404D"/>
    <w:rsid w:val="00D34562"/>
    <w:rsid w:val="00D347A7"/>
    <w:rsid w:val="00D34F96"/>
    <w:rsid w:val="00D352EE"/>
    <w:rsid w:val="00D368ED"/>
    <w:rsid w:val="00D36924"/>
    <w:rsid w:val="00D36ED9"/>
    <w:rsid w:val="00D37288"/>
    <w:rsid w:val="00D377E9"/>
    <w:rsid w:val="00D37897"/>
    <w:rsid w:val="00D37A54"/>
    <w:rsid w:val="00D4166B"/>
    <w:rsid w:val="00D41E69"/>
    <w:rsid w:val="00D42F2D"/>
    <w:rsid w:val="00D43730"/>
    <w:rsid w:val="00D43D10"/>
    <w:rsid w:val="00D43DDF"/>
    <w:rsid w:val="00D460B5"/>
    <w:rsid w:val="00D46281"/>
    <w:rsid w:val="00D4643E"/>
    <w:rsid w:val="00D46617"/>
    <w:rsid w:val="00D47C41"/>
    <w:rsid w:val="00D50530"/>
    <w:rsid w:val="00D523DA"/>
    <w:rsid w:val="00D52F05"/>
    <w:rsid w:val="00D53DA0"/>
    <w:rsid w:val="00D54E16"/>
    <w:rsid w:val="00D54E4A"/>
    <w:rsid w:val="00D55ABB"/>
    <w:rsid w:val="00D55B59"/>
    <w:rsid w:val="00D562AC"/>
    <w:rsid w:val="00D56B44"/>
    <w:rsid w:val="00D57066"/>
    <w:rsid w:val="00D60605"/>
    <w:rsid w:val="00D61B03"/>
    <w:rsid w:val="00D61DC4"/>
    <w:rsid w:val="00D64B9B"/>
    <w:rsid w:val="00D64FA1"/>
    <w:rsid w:val="00D65E1F"/>
    <w:rsid w:val="00D65FAE"/>
    <w:rsid w:val="00D66905"/>
    <w:rsid w:val="00D66BC5"/>
    <w:rsid w:val="00D67541"/>
    <w:rsid w:val="00D707DC"/>
    <w:rsid w:val="00D721D8"/>
    <w:rsid w:val="00D73942"/>
    <w:rsid w:val="00D7471A"/>
    <w:rsid w:val="00D7609D"/>
    <w:rsid w:val="00D76588"/>
    <w:rsid w:val="00D76914"/>
    <w:rsid w:val="00D769B9"/>
    <w:rsid w:val="00D76A57"/>
    <w:rsid w:val="00D8248A"/>
    <w:rsid w:val="00D8501D"/>
    <w:rsid w:val="00D86321"/>
    <w:rsid w:val="00D86DC7"/>
    <w:rsid w:val="00D903E0"/>
    <w:rsid w:val="00D9053F"/>
    <w:rsid w:val="00D906E0"/>
    <w:rsid w:val="00D91753"/>
    <w:rsid w:val="00D91AF1"/>
    <w:rsid w:val="00D92AC0"/>
    <w:rsid w:val="00D9325B"/>
    <w:rsid w:val="00D9335F"/>
    <w:rsid w:val="00D944EA"/>
    <w:rsid w:val="00D953D5"/>
    <w:rsid w:val="00D954FB"/>
    <w:rsid w:val="00D95554"/>
    <w:rsid w:val="00D975EC"/>
    <w:rsid w:val="00D97803"/>
    <w:rsid w:val="00DA01ED"/>
    <w:rsid w:val="00DA0CF3"/>
    <w:rsid w:val="00DA19C7"/>
    <w:rsid w:val="00DA213E"/>
    <w:rsid w:val="00DA2D01"/>
    <w:rsid w:val="00DA5560"/>
    <w:rsid w:val="00DA6CD7"/>
    <w:rsid w:val="00DA762B"/>
    <w:rsid w:val="00DB114A"/>
    <w:rsid w:val="00DB1343"/>
    <w:rsid w:val="00DB183A"/>
    <w:rsid w:val="00DB192A"/>
    <w:rsid w:val="00DB6327"/>
    <w:rsid w:val="00DB6541"/>
    <w:rsid w:val="00DB6A78"/>
    <w:rsid w:val="00DC016B"/>
    <w:rsid w:val="00DC0C84"/>
    <w:rsid w:val="00DC0E4E"/>
    <w:rsid w:val="00DC0F03"/>
    <w:rsid w:val="00DC2BCA"/>
    <w:rsid w:val="00DC34A9"/>
    <w:rsid w:val="00DC5993"/>
    <w:rsid w:val="00DC7527"/>
    <w:rsid w:val="00DD0450"/>
    <w:rsid w:val="00DD07DF"/>
    <w:rsid w:val="00DD1F55"/>
    <w:rsid w:val="00DD2F5C"/>
    <w:rsid w:val="00DD45D3"/>
    <w:rsid w:val="00DD591C"/>
    <w:rsid w:val="00DD5C08"/>
    <w:rsid w:val="00DD5D9D"/>
    <w:rsid w:val="00DD6915"/>
    <w:rsid w:val="00DD6AF1"/>
    <w:rsid w:val="00DD6B66"/>
    <w:rsid w:val="00DD6E04"/>
    <w:rsid w:val="00DD78CB"/>
    <w:rsid w:val="00DD79BB"/>
    <w:rsid w:val="00DE0FE4"/>
    <w:rsid w:val="00DE1378"/>
    <w:rsid w:val="00DE1EDE"/>
    <w:rsid w:val="00DE30F4"/>
    <w:rsid w:val="00DE3B94"/>
    <w:rsid w:val="00DE61A5"/>
    <w:rsid w:val="00DE7AF8"/>
    <w:rsid w:val="00DF08D1"/>
    <w:rsid w:val="00DF10EB"/>
    <w:rsid w:val="00DF2468"/>
    <w:rsid w:val="00DF2F4A"/>
    <w:rsid w:val="00DF32F4"/>
    <w:rsid w:val="00DF3B44"/>
    <w:rsid w:val="00DF40E7"/>
    <w:rsid w:val="00DF4103"/>
    <w:rsid w:val="00DF6994"/>
    <w:rsid w:val="00E003AF"/>
    <w:rsid w:val="00E00D7D"/>
    <w:rsid w:val="00E039C4"/>
    <w:rsid w:val="00E03B8D"/>
    <w:rsid w:val="00E03D51"/>
    <w:rsid w:val="00E04FE1"/>
    <w:rsid w:val="00E05940"/>
    <w:rsid w:val="00E07BC7"/>
    <w:rsid w:val="00E11CAC"/>
    <w:rsid w:val="00E1284F"/>
    <w:rsid w:val="00E12A8E"/>
    <w:rsid w:val="00E15045"/>
    <w:rsid w:val="00E16669"/>
    <w:rsid w:val="00E16A0A"/>
    <w:rsid w:val="00E20975"/>
    <w:rsid w:val="00E22BED"/>
    <w:rsid w:val="00E22CA9"/>
    <w:rsid w:val="00E2341C"/>
    <w:rsid w:val="00E239E3"/>
    <w:rsid w:val="00E23B94"/>
    <w:rsid w:val="00E244AD"/>
    <w:rsid w:val="00E248E5"/>
    <w:rsid w:val="00E26F4D"/>
    <w:rsid w:val="00E274E0"/>
    <w:rsid w:val="00E301D4"/>
    <w:rsid w:val="00E3117F"/>
    <w:rsid w:val="00E319CE"/>
    <w:rsid w:val="00E320F5"/>
    <w:rsid w:val="00E32DAA"/>
    <w:rsid w:val="00E32E0D"/>
    <w:rsid w:val="00E36A1F"/>
    <w:rsid w:val="00E36CE2"/>
    <w:rsid w:val="00E36F80"/>
    <w:rsid w:val="00E3720F"/>
    <w:rsid w:val="00E407CC"/>
    <w:rsid w:val="00E416D1"/>
    <w:rsid w:val="00E41D61"/>
    <w:rsid w:val="00E42BCC"/>
    <w:rsid w:val="00E44248"/>
    <w:rsid w:val="00E44A45"/>
    <w:rsid w:val="00E45C76"/>
    <w:rsid w:val="00E45EEF"/>
    <w:rsid w:val="00E46418"/>
    <w:rsid w:val="00E478E5"/>
    <w:rsid w:val="00E4794B"/>
    <w:rsid w:val="00E50451"/>
    <w:rsid w:val="00E504F1"/>
    <w:rsid w:val="00E50A08"/>
    <w:rsid w:val="00E51039"/>
    <w:rsid w:val="00E51CD9"/>
    <w:rsid w:val="00E5264A"/>
    <w:rsid w:val="00E526A6"/>
    <w:rsid w:val="00E536AD"/>
    <w:rsid w:val="00E53E9F"/>
    <w:rsid w:val="00E53F4E"/>
    <w:rsid w:val="00E54289"/>
    <w:rsid w:val="00E548E6"/>
    <w:rsid w:val="00E55988"/>
    <w:rsid w:val="00E56181"/>
    <w:rsid w:val="00E56350"/>
    <w:rsid w:val="00E56924"/>
    <w:rsid w:val="00E56BC5"/>
    <w:rsid w:val="00E56E04"/>
    <w:rsid w:val="00E57305"/>
    <w:rsid w:val="00E57736"/>
    <w:rsid w:val="00E6042D"/>
    <w:rsid w:val="00E62956"/>
    <w:rsid w:val="00E63357"/>
    <w:rsid w:val="00E64501"/>
    <w:rsid w:val="00E64EBC"/>
    <w:rsid w:val="00E705E3"/>
    <w:rsid w:val="00E7125F"/>
    <w:rsid w:val="00E72435"/>
    <w:rsid w:val="00E72A2B"/>
    <w:rsid w:val="00E73D69"/>
    <w:rsid w:val="00E73DF7"/>
    <w:rsid w:val="00E75325"/>
    <w:rsid w:val="00E75B1E"/>
    <w:rsid w:val="00E76220"/>
    <w:rsid w:val="00E773C3"/>
    <w:rsid w:val="00E77A6D"/>
    <w:rsid w:val="00E77D76"/>
    <w:rsid w:val="00E80557"/>
    <w:rsid w:val="00E82B21"/>
    <w:rsid w:val="00E83AD9"/>
    <w:rsid w:val="00E8474B"/>
    <w:rsid w:val="00E86AF6"/>
    <w:rsid w:val="00E86D79"/>
    <w:rsid w:val="00E8769A"/>
    <w:rsid w:val="00E877C8"/>
    <w:rsid w:val="00E9009F"/>
    <w:rsid w:val="00E907D0"/>
    <w:rsid w:val="00E90922"/>
    <w:rsid w:val="00E91732"/>
    <w:rsid w:val="00E91748"/>
    <w:rsid w:val="00E92542"/>
    <w:rsid w:val="00E92F34"/>
    <w:rsid w:val="00E940D9"/>
    <w:rsid w:val="00E945F8"/>
    <w:rsid w:val="00E94E43"/>
    <w:rsid w:val="00E95927"/>
    <w:rsid w:val="00EA0990"/>
    <w:rsid w:val="00EA0C33"/>
    <w:rsid w:val="00EA1037"/>
    <w:rsid w:val="00EA2A8C"/>
    <w:rsid w:val="00EA30B4"/>
    <w:rsid w:val="00EA3BCA"/>
    <w:rsid w:val="00EA4CBA"/>
    <w:rsid w:val="00EA4F45"/>
    <w:rsid w:val="00EA75F9"/>
    <w:rsid w:val="00EA78CD"/>
    <w:rsid w:val="00EB0030"/>
    <w:rsid w:val="00EB08B3"/>
    <w:rsid w:val="00EB2F7E"/>
    <w:rsid w:val="00EB37D2"/>
    <w:rsid w:val="00EB3C24"/>
    <w:rsid w:val="00EB4215"/>
    <w:rsid w:val="00EB559D"/>
    <w:rsid w:val="00EC09B7"/>
    <w:rsid w:val="00EC0A88"/>
    <w:rsid w:val="00EC0C8C"/>
    <w:rsid w:val="00EC0F5A"/>
    <w:rsid w:val="00EC2651"/>
    <w:rsid w:val="00EC3685"/>
    <w:rsid w:val="00EC3812"/>
    <w:rsid w:val="00EC4895"/>
    <w:rsid w:val="00EC5C90"/>
    <w:rsid w:val="00EC6614"/>
    <w:rsid w:val="00ED290A"/>
    <w:rsid w:val="00ED2BAE"/>
    <w:rsid w:val="00ED4013"/>
    <w:rsid w:val="00ED46FF"/>
    <w:rsid w:val="00ED5BF4"/>
    <w:rsid w:val="00ED6810"/>
    <w:rsid w:val="00ED69EE"/>
    <w:rsid w:val="00ED6E66"/>
    <w:rsid w:val="00ED76F3"/>
    <w:rsid w:val="00ED78A9"/>
    <w:rsid w:val="00EE0365"/>
    <w:rsid w:val="00EE1636"/>
    <w:rsid w:val="00EE20CC"/>
    <w:rsid w:val="00EE2EBB"/>
    <w:rsid w:val="00EE50DE"/>
    <w:rsid w:val="00EF0140"/>
    <w:rsid w:val="00EF02A4"/>
    <w:rsid w:val="00EF0606"/>
    <w:rsid w:val="00EF0780"/>
    <w:rsid w:val="00EF1BB0"/>
    <w:rsid w:val="00EF1EC7"/>
    <w:rsid w:val="00EF210B"/>
    <w:rsid w:val="00EF31DC"/>
    <w:rsid w:val="00EF3B5E"/>
    <w:rsid w:val="00EF5005"/>
    <w:rsid w:val="00EF5162"/>
    <w:rsid w:val="00EF59AC"/>
    <w:rsid w:val="00EF608C"/>
    <w:rsid w:val="00EF6426"/>
    <w:rsid w:val="00EF6963"/>
    <w:rsid w:val="00EF6C45"/>
    <w:rsid w:val="00F00761"/>
    <w:rsid w:val="00F00B0B"/>
    <w:rsid w:val="00F01E66"/>
    <w:rsid w:val="00F0230E"/>
    <w:rsid w:val="00F02D7E"/>
    <w:rsid w:val="00F030E8"/>
    <w:rsid w:val="00F04312"/>
    <w:rsid w:val="00F04382"/>
    <w:rsid w:val="00F05471"/>
    <w:rsid w:val="00F057A5"/>
    <w:rsid w:val="00F058DA"/>
    <w:rsid w:val="00F059E8"/>
    <w:rsid w:val="00F06180"/>
    <w:rsid w:val="00F0768C"/>
    <w:rsid w:val="00F10063"/>
    <w:rsid w:val="00F11162"/>
    <w:rsid w:val="00F11421"/>
    <w:rsid w:val="00F1256D"/>
    <w:rsid w:val="00F13A4B"/>
    <w:rsid w:val="00F15866"/>
    <w:rsid w:val="00F158F7"/>
    <w:rsid w:val="00F15F64"/>
    <w:rsid w:val="00F1619C"/>
    <w:rsid w:val="00F2018F"/>
    <w:rsid w:val="00F203F3"/>
    <w:rsid w:val="00F20839"/>
    <w:rsid w:val="00F20A36"/>
    <w:rsid w:val="00F2127D"/>
    <w:rsid w:val="00F21D42"/>
    <w:rsid w:val="00F233B1"/>
    <w:rsid w:val="00F2349C"/>
    <w:rsid w:val="00F23965"/>
    <w:rsid w:val="00F24D0F"/>
    <w:rsid w:val="00F2647B"/>
    <w:rsid w:val="00F26E4C"/>
    <w:rsid w:val="00F26F99"/>
    <w:rsid w:val="00F2766C"/>
    <w:rsid w:val="00F30509"/>
    <w:rsid w:val="00F306AA"/>
    <w:rsid w:val="00F315FB"/>
    <w:rsid w:val="00F32690"/>
    <w:rsid w:val="00F32C1F"/>
    <w:rsid w:val="00F333AD"/>
    <w:rsid w:val="00F33C95"/>
    <w:rsid w:val="00F36F51"/>
    <w:rsid w:val="00F36FC3"/>
    <w:rsid w:val="00F40AC0"/>
    <w:rsid w:val="00F411CB"/>
    <w:rsid w:val="00F4208C"/>
    <w:rsid w:val="00F430DC"/>
    <w:rsid w:val="00F43702"/>
    <w:rsid w:val="00F4378D"/>
    <w:rsid w:val="00F448B4"/>
    <w:rsid w:val="00F4498C"/>
    <w:rsid w:val="00F46586"/>
    <w:rsid w:val="00F467D9"/>
    <w:rsid w:val="00F47770"/>
    <w:rsid w:val="00F47A20"/>
    <w:rsid w:val="00F500FF"/>
    <w:rsid w:val="00F501D2"/>
    <w:rsid w:val="00F51686"/>
    <w:rsid w:val="00F51BB8"/>
    <w:rsid w:val="00F51BFA"/>
    <w:rsid w:val="00F51C35"/>
    <w:rsid w:val="00F51D0D"/>
    <w:rsid w:val="00F52AAA"/>
    <w:rsid w:val="00F53824"/>
    <w:rsid w:val="00F539EB"/>
    <w:rsid w:val="00F550E7"/>
    <w:rsid w:val="00F55116"/>
    <w:rsid w:val="00F55952"/>
    <w:rsid w:val="00F55A25"/>
    <w:rsid w:val="00F579E1"/>
    <w:rsid w:val="00F602A7"/>
    <w:rsid w:val="00F6106A"/>
    <w:rsid w:val="00F61656"/>
    <w:rsid w:val="00F619AD"/>
    <w:rsid w:val="00F64ED7"/>
    <w:rsid w:val="00F65219"/>
    <w:rsid w:val="00F66052"/>
    <w:rsid w:val="00F66EC7"/>
    <w:rsid w:val="00F70362"/>
    <w:rsid w:val="00F71465"/>
    <w:rsid w:val="00F732B5"/>
    <w:rsid w:val="00F735B5"/>
    <w:rsid w:val="00F7371D"/>
    <w:rsid w:val="00F73C62"/>
    <w:rsid w:val="00F7528F"/>
    <w:rsid w:val="00F75459"/>
    <w:rsid w:val="00F75CE6"/>
    <w:rsid w:val="00F7688D"/>
    <w:rsid w:val="00F77318"/>
    <w:rsid w:val="00F77B7A"/>
    <w:rsid w:val="00F77C75"/>
    <w:rsid w:val="00F77CC0"/>
    <w:rsid w:val="00F80189"/>
    <w:rsid w:val="00F80AB9"/>
    <w:rsid w:val="00F80B8E"/>
    <w:rsid w:val="00F81283"/>
    <w:rsid w:val="00F81C50"/>
    <w:rsid w:val="00F8291B"/>
    <w:rsid w:val="00F84C88"/>
    <w:rsid w:val="00F8523D"/>
    <w:rsid w:val="00F85643"/>
    <w:rsid w:val="00F85A44"/>
    <w:rsid w:val="00F86B18"/>
    <w:rsid w:val="00F86E3A"/>
    <w:rsid w:val="00F9077C"/>
    <w:rsid w:val="00F915AC"/>
    <w:rsid w:val="00F92556"/>
    <w:rsid w:val="00F92789"/>
    <w:rsid w:val="00F93298"/>
    <w:rsid w:val="00F93C5C"/>
    <w:rsid w:val="00F93EC1"/>
    <w:rsid w:val="00F94437"/>
    <w:rsid w:val="00F94F64"/>
    <w:rsid w:val="00F96C1A"/>
    <w:rsid w:val="00F97B3E"/>
    <w:rsid w:val="00FA23FB"/>
    <w:rsid w:val="00FA328C"/>
    <w:rsid w:val="00FA3646"/>
    <w:rsid w:val="00FA3875"/>
    <w:rsid w:val="00FA3C04"/>
    <w:rsid w:val="00FA44DD"/>
    <w:rsid w:val="00FA5B44"/>
    <w:rsid w:val="00FB0439"/>
    <w:rsid w:val="00FB07AD"/>
    <w:rsid w:val="00FB7124"/>
    <w:rsid w:val="00FC01BD"/>
    <w:rsid w:val="00FC041B"/>
    <w:rsid w:val="00FC191E"/>
    <w:rsid w:val="00FC237C"/>
    <w:rsid w:val="00FC259F"/>
    <w:rsid w:val="00FC34FC"/>
    <w:rsid w:val="00FC46AF"/>
    <w:rsid w:val="00FC541D"/>
    <w:rsid w:val="00FC5CB7"/>
    <w:rsid w:val="00FC7636"/>
    <w:rsid w:val="00FD1647"/>
    <w:rsid w:val="00FD2405"/>
    <w:rsid w:val="00FD2681"/>
    <w:rsid w:val="00FD3730"/>
    <w:rsid w:val="00FD4A08"/>
    <w:rsid w:val="00FD59A4"/>
    <w:rsid w:val="00FD64A9"/>
    <w:rsid w:val="00FD7EC8"/>
    <w:rsid w:val="00FE013E"/>
    <w:rsid w:val="00FE0DC3"/>
    <w:rsid w:val="00FE1151"/>
    <w:rsid w:val="00FE1AB8"/>
    <w:rsid w:val="00FE2501"/>
    <w:rsid w:val="00FE2582"/>
    <w:rsid w:val="00FE2936"/>
    <w:rsid w:val="00FE3038"/>
    <w:rsid w:val="00FE35D3"/>
    <w:rsid w:val="00FE430C"/>
    <w:rsid w:val="00FE47AA"/>
    <w:rsid w:val="00FE50F8"/>
    <w:rsid w:val="00FE63FA"/>
    <w:rsid w:val="00FF0694"/>
    <w:rsid w:val="00FF0BD2"/>
    <w:rsid w:val="00FF16D7"/>
    <w:rsid w:val="00FF1C5E"/>
    <w:rsid w:val="00FF37B6"/>
    <w:rsid w:val="00FF4051"/>
    <w:rsid w:val="00FF5354"/>
    <w:rsid w:val="00FF5DA3"/>
    <w:rsid w:val="00FF638F"/>
    <w:rsid w:val="00FF6A3F"/>
    <w:rsid w:val="00FF6B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F31B0"/>
  <w15:chartTrackingRefBased/>
  <w15:docId w15:val="{3FDB9F59-6ED1-4E83-9C6B-1E7C0CF2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60C5F"/>
    <w:pPr>
      <w:spacing w:after="120" w:line="276" w:lineRule="auto"/>
      <w:jc w:val="both"/>
    </w:pPr>
    <w:rPr>
      <w:rFonts w:ascii="Segoe UI" w:hAnsi="Segoe UI"/>
      <w:sz w:val="20"/>
    </w:rPr>
  </w:style>
  <w:style w:type="paragraph" w:styleId="Nadpis1">
    <w:name w:val="heading 1"/>
    <w:basedOn w:val="Normlny"/>
    <w:next w:val="Normlny"/>
    <w:link w:val="Nadpis1Char"/>
    <w:uiPriority w:val="9"/>
    <w:qFormat/>
    <w:rsid w:val="003E1828"/>
    <w:pPr>
      <w:keepNext/>
      <w:keepLines/>
      <w:pageBreakBefore/>
      <w:numPr>
        <w:numId w:val="8"/>
      </w:numPr>
      <w:spacing w:before="120"/>
      <w:outlineLvl w:val="0"/>
    </w:pPr>
    <w:rPr>
      <w:rFonts w:eastAsiaTheme="majorEastAsia" w:cstheme="majorBidi"/>
      <w:b/>
      <w:color w:val="314364"/>
      <w:position w:val="10"/>
      <w:sz w:val="32"/>
      <w:szCs w:val="32"/>
    </w:rPr>
  </w:style>
  <w:style w:type="paragraph" w:styleId="Nadpis2">
    <w:name w:val="heading 2"/>
    <w:basedOn w:val="Normlny"/>
    <w:next w:val="Normlny"/>
    <w:link w:val="Nadpis2Char"/>
    <w:uiPriority w:val="9"/>
    <w:unhideWhenUsed/>
    <w:qFormat/>
    <w:rsid w:val="00DC5993"/>
    <w:pPr>
      <w:keepNext/>
      <w:keepLines/>
      <w:spacing w:before="120"/>
      <w:ind w:left="357"/>
      <w:outlineLvl w:val="1"/>
    </w:pPr>
    <w:rPr>
      <w:rFonts w:eastAsiaTheme="majorEastAsia" w:cstheme="majorBidi"/>
      <w:color w:val="314364"/>
      <w:sz w:val="28"/>
      <w:szCs w:val="26"/>
    </w:rPr>
  </w:style>
  <w:style w:type="paragraph" w:styleId="Nadpis3">
    <w:name w:val="heading 3"/>
    <w:basedOn w:val="Normlny"/>
    <w:next w:val="Normlny"/>
    <w:link w:val="Nadpis3Char"/>
    <w:uiPriority w:val="9"/>
    <w:unhideWhenUsed/>
    <w:qFormat/>
    <w:rsid w:val="00DC5993"/>
    <w:pPr>
      <w:keepNext/>
      <w:keepLines/>
      <w:spacing w:before="40"/>
      <w:ind w:left="680"/>
      <w:outlineLvl w:val="2"/>
    </w:pPr>
    <w:rPr>
      <w:rFonts w:eastAsiaTheme="majorEastAsia" w:cstheme="majorBidi"/>
      <w:color w:val="314364"/>
      <w:sz w:val="24"/>
      <w:szCs w:val="24"/>
    </w:rPr>
  </w:style>
  <w:style w:type="paragraph" w:styleId="Nadpis4">
    <w:name w:val="heading 4"/>
    <w:basedOn w:val="Normlny"/>
    <w:next w:val="Normlny"/>
    <w:link w:val="Nadpis4Char"/>
    <w:uiPriority w:val="9"/>
    <w:unhideWhenUsed/>
    <w:qFormat/>
    <w:rsid w:val="00164091"/>
    <w:pPr>
      <w:keepNext/>
      <w:keepLines/>
      <w:outlineLvl w:val="3"/>
    </w:pPr>
    <w:rPr>
      <w:rFonts w:eastAsiaTheme="majorEastAsia" w:cstheme="majorBidi"/>
      <w:color w:val="314364"/>
      <w:sz w:val="22"/>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1828"/>
    <w:rPr>
      <w:rFonts w:ascii="Segoe UI" w:eastAsiaTheme="majorEastAsia" w:hAnsi="Segoe UI" w:cstheme="majorBidi"/>
      <w:b/>
      <w:color w:val="314364"/>
      <w:position w:val="10"/>
      <w:sz w:val="32"/>
      <w:szCs w:val="32"/>
    </w:rPr>
  </w:style>
  <w:style w:type="character" w:customStyle="1" w:styleId="Nadpis2Char">
    <w:name w:val="Nadpis 2 Char"/>
    <w:basedOn w:val="Predvolenpsmoodseku"/>
    <w:link w:val="Nadpis2"/>
    <w:uiPriority w:val="9"/>
    <w:rsid w:val="00DC5993"/>
    <w:rPr>
      <w:rFonts w:ascii="Segoe UI" w:eastAsiaTheme="majorEastAsia" w:hAnsi="Segoe UI" w:cstheme="majorBidi"/>
      <w:color w:val="314364"/>
      <w:sz w:val="28"/>
      <w:szCs w:val="26"/>
    </w:rPr>
  </w:style>
  <w:style w:type="paragraph" w:styleId="Hlavika">
    <w:name w:val="header"/>
    <w:basedOn w:val="Normlny"/>
    <w:link w:val="HlavikaChar"/>
    <w:uiPriority w:val="99"/>
    <w:unhideWhenUsed/>
    <w:rsid w:val="004F10D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F10D0"/>
  </w:style>
  <w:style w:type="paragraph" w:styleId="Pta">
    <w:name w:val="footer"/>
    <w:basedOn w:val="Normlny"/>
    <w:link w:val="PtaChar"/>
    <w:uiPriority w:val="99"/>
    <w:unhideWhenUsed/>
    <w:rsid w:val="004F10D0"/>
    <w:pPr>
      <w:tabs>
        <w:tab w:val="center" w:pos="4536"/>
        <w:tab w:val="right" w:pos="9072"/>
      </w:tabs>
      <w:spacing w:after="0" w:line="240" w:lineRule="auto"/>
    </w:pPr>
  </w:style>
  <w:style w:type="character" w:customStyle="1" w:styleId="PtaChar">
    <w:name w:val="Päta Char"/>
    <w:basedOn w:val="Predvolenpsmoodseku"/>
    <w:link w:val="Pta"/>
    <w:uiPriority w:val="99"/>
    <w:rsid w:val="004F10D0"/>
  </w:style>
  <w:style w:type="character" w:styleId="Zstupntext">
    <w:name w:val="Placeholder Text"/>
    <w:basedOn w:val="Predvolenpsmoodseku"/>
    <w:uiPriority w:val="99"/>
    <w:semiHidden/>
    <w:rsid w:val="00F539EB"/>
    <w:rPr>
      <w:color w:val="808080"/>
    </w:rPr>
  </w:style>
  <w:style w:type="paragraph" w:styleId="Nzov">
    <w:name w:val="Title"/>
    <w:basedOn w:val="Normlny"/>
    <w:next w:val="Normlny"/>
    <w:link w:val="NzovChar"/>
    <w:uiPriority w:val="10"/>
    <w:qFormat/>
    <w:rsid w:val="00FF5DA3"/>
    <w:pPr>
      <w:spacing w:before="240" w:after="240" w:line="240" w:lineRule="auto"/>
      <w:contextualSpacing/>
      <w:jc w:val="center"/>
    </w:pPr>
    <w:rPr>
      <w:rFonts w:eastAsiaTheme="majorEastAsia" w:cstheme="majorBidi"/>
      <w:b/>
      <w:smallCaps/>
      <w:color w:val="314364"/>
      <w:spacing w:val="-10"/>
      <w:kern w:val="28"/>
      <w:sz w:val="44"/>
      <w:szCs w:val="56"/>
    </w:rPr>
  </w:style>
  <w:style w:type="character" w:customStyle="1" w:styleId="NzovChar">
    <w:name w:val="Názov Char"/>
    <w:basedOn w:val="Predvolenpsmoodseku"/>
    <w:link w:val="Nzov"/>
    <w:uiPriority w:val="10"/>
    <w:rsid w:val="00FF5DA3"/>
    <w:rPr>
      <w:rFonts w:ascii="Segoe UI" w:eastAsiaTheme="majorEastAsia" w:hAnsi="Segoe UI" w:cstheme="majorBidi"/>
      <w:b/>
      <w:smallCaps/>
      <w:color w:val="314364"/>
      <w:spacing w:val="-10"/>
      <w:kern w:val="28"/>
      <w:sz w:val="44"/>
      <w:szCs w:val="56"/>
    </w:rPr>
  </w:style>
  <w:style w:type="paragraph" w:styleId="Podtitul">
    <w:name w:val="Subtitle"/>
    <w:basedOn w:val="Normlny"/>
    <w:next w:val="Normlny"/>
    <w:link w:val="PodtitulChar"/>
    <w:uiPriority w:val="11"/>
    <w:qFormat/>
    <w:rsid w:val="001778A6"/>
    <w:pPr>
      <w:numPr>
        <w:ilvl w:val="1"/>
      </w:numPr>
      <w:spacing w:before="240" w:after="240"/>
      <w:jc w:val="center"/>
    </w:pPr>
    <w:rPr>
      <w:rFonts w:eastAsiaTheme="minorEastAsia"/>
      <w:color w:val="314364"/>
      <w:spacing w:val="15"/>
      <w:sz w:val="28"/>
    </w:rPr>
  </w:style>
  <w:style w:type="character" w:customStyle="1" w:styleId="PodtitulChar">
    <w:name w:val="Podtitul Char"/>
    <w:basedOn w:val="Predvolenpsmoodseku"/>
    <w:link w:val="Podtitul"/>
    <w:uiPriority w:val="11"/>
    <w:rsid w:val="001778A6"/>
    <w:rPr>
      <w:rFonts w:ascii="Segoe UI" w:eastAsiaTheme="minorEastAsia" w:hAnsi="Segoe UI"/>
      <w:color w:val="314364"/>
      <w:spacing w:val="15"/>
      <w:sz w:val="28"/>
    </w:rPr>
  </w:style>
  <w:style w:type="paragraph" w:customStyle="1" w:styleId="Zhrnutie">
    <w:name w:val="Zhrnutie"/>
    <w:basedOn w:val="Normlny"/>
    <w:qFormat/>
    <w:rsid w:val="001778A6"/>
    <w:pPr>
      <w:spacing w:before="120"/>
      <w:jc w:val="left"/>
    </w:pPr>
    <w:rPr>
      <w:b/>
      <w:color w:val="314364"/>
      <w:sz w:val="32"/>
    </w:rPr>
  </w:style>
  <w:style w:type="paragraph" w:styleId="Odsekzoznamu">
    <w:name w:val="List Paragraph"/>
    <w:aliases w:val="body,Odsek zoznamu2,Odsek,Odsek zoznamu1,Dot pt,No Spacing1,List Paragraph Char Char Char,Indicator Text,Numbered Para 1,List Paragraph à moi,Odsek zoznamu4,LISTA,Listaszerű bekezdés2,Listaszerű bekezdés3,Listaszerű bekezdés1,Bullet 1,3"/>
    <w:basedOn w:val="Normlny"/>
    <w:link w:val="OdsekzoznamuChar"/>
    <w:uiPriority w:val="34"/>
    <w:qFormat/>
    <w:rsid w:val="0015153D"/>
    <w:pPr>
      <w:ind w:left="720"/>
      <w:contextualSpacing/>
    </w:pPr>
  </w:style>
  <w:style w:type="paragraph" w:customStyle="1" w:styleId="Poakovanie">
    <w:name w:val="Poďakovanie"/>
    <w:basedOn w:val="Normlny"/>
    <w:qFormat/>
    <w:rsid w:val="00BD3507"/>
    <w:pPr>
      <w:spacing w:before="120"/>
      <w:jc w:val="left"/>
    </w:pPr>
    <w:rPr>
      <w:color w:val="314364"/>
      <w:sz w:val="28"/>
    </w:rPr>
  </w:style>
  <w:style w:type="character" w:styleId="Hypertextovprepojenie">
    <w:name w:val="Hyperlink"/>
    <w:basedOn w:val="Predvolenpsmoodseku"/>
    <w:uiPriority w:val="99"/>
    <w:unhideWhenUsed/>
    <w:rsid w:val="00C824C8"/>
    <w:rPr>
      <w:rFonts w:ascii="Segoe UI" w:hAnsi="Segoe UI"/>
      <w:color w:val="314364" w:themeColor="hyperlink"/>
      <w:sz w:val="20"/>
      <w:u w:val="single"/>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Plonk"/>
    <w:basedOn w:val="Normlny"/>
    <w:link w:val="TextpoznmkypodiarouChar"/>
    <w:uiPriority w:val="99"/>
    <w:qFormat/>
    <w:rsid w:val="00110271"/>
    <w:pPr>
      <w:spacing w:after="0" w:line="240" w:lineRule="auto"/>
    </w:pPr>
    <w:rPr>
      <w:sz w:val="16"/>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Plonk Char"/>
    <w:basedOn w:val="Predvolenpsmoodseku"/>
    <w:link w:val="Textpoznmkypodiarou"/>
    <w:uiPriority w:val="99"/>
    <w:rsid w:val="008148FD"/>
    <w:rPr>
      <w:rFonts w:ascii="Segoe UI" w:hAnsi="Segoe UI"/>
      <w:sz w:val="16"/>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2407D6"/>
    <w:rPr>
      <w:vertAlign w:val="superscript"/>
    </w:rPr>
  </w:style>
  <w:style w:type="paragraph" w:customStyle="1" w:styleId="vodZverZhrnutie">
    <w:name w:val="Úvod/Záver/Zhrnutie"/>
    <w:basedOn w:val="Nadpis1"/>
    <w:next w:val="Textpoznmkypodiarou"/>
    <w:rsid w:val="00277C8B"/>
    <w:pPr>
      <w:numPr>
        <w:numId w:val="0"/>
      </w:numPr>
    </w:pPr>
  </w:style>
  <w:style w:type="paragraph" w:customStyle="1" w:styleId="Zdroj">
    <w:name w:val="Zdroj"/>
    <w:basedOn w:val="Normlny"/>
    <w:qFormat/>
    <w:rsid w:val="00730F50"/>
    <w:pPr>
      <w:spacing w:line="240" w:lineRule="auto"/>
      <w:jc w:val="left"/>
    </w:pPr>
    <w:rPr>
      <w:i/>
      <w:color w:val="314364" w:themeColor="text2"/>
      <w:sz w:val="16"/>
    </w:rPr>
  </w:style>
  <w:style w:type="paragraph" w:styleId="Popis">
    <w:name w:val="caption"/>
    <w:basedOn w:val="Normlny"/>
    <w:next w:val="Normlny"/>
    <w:uiPriority w:val="35"/>
    <w:unhideWhenUsed/>
    <w:qFormat/>
    <w:rsid w:val="002407D6"/>
    <w:pPr>
      <w:spacing w:after="0" w:line="240" w:lineRule="auto"/>
    </w:pPr>
    <w:rPr>
      <w:b/>
      <w:iCs/>
      <w:color w:val="314364" w:themeColor="text2"/>
      <w:szCs w:val="18"/>
    </w:rPr>
  </w:style>
  <w:style w:type="table" w:styleId="Mriekatabuky">
    <w:name w:val="Table Grid"/>
    <w:basedOn w:val="Normlnatabuka"/>
    <w:uiPriority w:val="39"/>
    <w:rsid w:val="00664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uiPriority w:val="1"/>
    <w:qFormat/>
    <w:rsid w:val="00664B90"/>
    <w:pPr>
      <w:spacing w:after="0" w:line="240" w:lineRule="auto"/>
    </w:pPr>
    <w:rPr>
      <w:rFonts w:asciiTheme="minorHAnsi" w:eastAsiaTheme="minorEastAsia" w:hAnsiTheme="minorHAnsi"/>
      <w:lang w:eastAsia="sk-SK"/>
    </w:rPr>
  </w:style>
  <w:style w:type="character" w:customStyle="1" w:styleId="BezriadkovaniaChar">
    <w:name w:val="Bez riadkovania Char"/>
    <w:basedOn w:val="Predvolenpsmoodseku"/>
    <w:link w:val="Bezriadkovania"/>
    <w:uiPriority w:val="1"/>
    <w:locked/>
    <w:rsid w:val="00664B90"/>
    <w:rPr>
      <w:rFonts w:asciiTheme="minorHAnsi" w:eastAsiaTheme="minorEastAsia" w:hAnsiTheme="minorHAnsi"/>
      <w:lang w:eastAsia="sk-SK"/>
    </w:rPr>
  </w:style>
  <w:style w:type="paragraph" w:customStyle="1" w:styleId="Pouitliteratra">
    <w:name w:val="Použitá literatúra"/>
    <w:basedOn w:val="Odsekzoznamu"/>
    <w:qFormat/>
    <w:rsid w:val="0070595E"/>
    <w:pPr>
      <w:numPr>
        <w:numId w:val="1"/>
      </w:numPr>
      <w:ind w:left="357" w:hanging="357"/>
    </w:pPr>
  </w:style>
  <w:style w:type="paragraph" w:styleId="Hlavikaobsahu">
    <w:name w:val="TOC Heading"/>
    <w:basedOn w:val="Nadpis1"/>
    <w:next w:val="Normlny"/>
    <w:uiPriority w:val="39"/>
    <w:unhideWhenUsed/>
    <w:qFormat/>
    <w:rsid w:val="00277C8B"/>
    <w:pPr>
      <w:numPr>
        <w:numId w:val="0"/>
      </w:numPr>
      <w:spacing w:before="240" w:after="0" w:line="259" w:lineRule="auto"/>
      <w:jc w:val="left"/>
      <w:outlineLvl w:val="9"/>
    </w:pPr>
    <w:rPr>
      <w:b w:val="0"/>
      <w:position w:val="0"/>
      <w:lang w:eastAsia="sk-SK"/>
    </w:rPr>
  </w:style>
  <w:style w:type="paragraph" w:styleId="Obsah1">
    <w:name w:val="toc 1"/>
    <w:basedOn w:val="Normlny"/>
    <w:next w:val="Normlny"/>
    <w:autoRedefine/>
    <w:uiPriority w:val="39"/>
    <w:unhideWhenUsed/>
    <w:rsid w:val="00A4647C"/>
    <w:pPr>
      <w:tabs>
        <w:tab w:val="left" w:pos="400"/>
        <w:tab w:val="right" w:leader="dot" w:pos="9060"/>
      </w:tabs>
      <w:spacing w:before="120"/>
      <w:jc w:val="left"/>
    </w:pPr>
    <w:rPr>
      <w:rFonts w:asciiTheme="minorHAnsi" w:hAnsiTheme="minorHAnsi"/>
      <w:b/>
      <w:bCs/>
      <w:caps/>
      <w:noProof/>
      <w:color w:val="314364" w:themeColor="text2"/>
      <w:szCs w:val="20"/>
    </w:rPr>
  </w:style>
  <w:style w:type="paragraph" w:styleId="Obsah2">
    <w:name w:val="toc 2"/>
    <w:basedOn w:val="Normlny"/>
    <w:next w:val="Normlny"/>
    <w:autoRedefine/>
    <w:uiPriority w:val="39"/>
    <w:unhideWhenUsed/>
    <w:rsid w:val="00004033"/>
    <w:pPr>
      <w:spacing w:after="0"/>
      <w:ind w:left="200"/>
      <w:jc w:val="left"/>
    </w:pPr>
    <w:rPr>
      <w:rFonts w:asciiTheme="minorHAnsi" w:hAnsiTheme="minorHAnsi"/>
      <w:smallCaps/>
      <w:szCs w:val="20"/>
    </w:rPr>
  </w:style>
  <w:style w:type="paragraph" w:styleId="Obsah3">
    <w:name w:val="toc 3"/>
    <w:basedOn w:val="Normlny"/>
    <w:next w:val="Normlny"/>
    <w:autoRedefine/>
    <w:uiPriority w:val="39"/>
    <w:unhideWhenUsed/>
    <w:rsid w:val="00004033"/>
    <w:pPr>
      <w:spacing w:after="0"/>
      <w:ind w:left="400"/>
      <w:jc w:val="left"/>
    </w:pPr>
    <w:rPr>
      <w:rFonts w:asciiTheme="minorHAnsi" w:hAnsiTheme="minorHAnsi"/>
      <w:i/>
      <w:iCs/>
      <w:szCs w:val="20"/>
    </w:rPr>
  </w:style>
  <w:style w:type="character" w:customStyle="1" w:styleId="Nadpis3Char">
    <w:name w:val="Nadpis 3 Char"/>
    <w:basedOn w:val="Predvolenpsmoodseku"/>
    <w:link w:val="Nadpis3"/>
    <w:uiPriority w:val="9"/>
    <w:rsid w:val="00DC5993"/>
    <w:rPr>
      <w:rFonts w:ascii="Segoe UI" w:eastAsiaTheme="majorEastAsia" w:hAnsi="Segoe UI" w:cstheme="majorBidi"/>
      <w:color w:val="314364"/>
      <w:sz w:val="24"/>
      <w:szCs w:val="24"/>
    </w:rPr>
  </w:style>
  <w:style w:type="paragraph" w:styleId="Textbubliny">
    <w:name w:val="Balloon Text"/>
    <w:basedOn w:val="Normlny"/>
    <w:link w:val="TextbublinyChar"/>
    <w:uiPriority w:val="99"/>
    <w:semiHidden/>
    <w:unhideWhenUsed/>
    <w:rsid w:val="00442CE6"/>
    <w:pPr>
      <w:spacing w:after="0" w:line="240" w:lineRule="auto"/>
    </w:pPr>
    <w:rPr>
      <w:rFonts w:cs="Segoe UI"/>
      <w:sz w:val="18"/>
      <w:szCs w:val="18"/>
    </w:rPr>
  </w:style>
  <w:style w:type="character" w:customStyle="1" w:styleId="TextbublinyChar">
    <w:name w:val="Text bubliny Char"/>
    <w:basedOn w:val="Predvolenpsmoodseku"/>
    <w:link w:val="Textbubliny"/>
    <w:uiPriority w:val="99"/>
    <w:semiHidden/>
    <w:rsid w:val="00442CE6"/>
    <w:rPr>
      <w:rFonts w:ascii="Segoe UI" w:hAnsi="Segoe UI" w:cs="Segoe UI"/>
      <w:sz w:val="18"/>
      <w:szCs w:val="18"/>
    </w:rPr>
  </w:style>
  <w:style w:type="character" w:styleId="Odkaznakomentr">
    <w:name w:val="annotation reference"/>
    <w:basedOn w:val="Predvolenpsmoodseku"/>
    <w:uiPriority w:val="99"/>
    <w:semiHidden/>
    <w:unhideWhenUsed/>
    <w:rsid w:val="003733BE"/>
    <w:rPr>
      <w:sz w:val="16"/>
      <w:szCs w:val="16"/>
    </w:rPr>
  </w:style>
  <w:style w:type="paragraph" w:styleId="Textkomentra">
    <w:name w:val="annotation text"/>
    <w:basedOn w:val="Normlny"/>
    <w:link w:val="TextkomentraChar"/>
    <w:uiPriority w:val="99"/>
    <w:unhideWhenUsed/>
    <w:rsid w:val="003733BE"/>
    <w:pPr>
      <w:spacing w:line="240" w:lineRule="auto"/>
    </w:pPr>
    <w:rPr>
      <w:szCs w:val="20"/>
    </w:rPr>
  </w:style>
  <w:style w:type="character" w:customStyle="1" w:styleId="TextkomentraChar">
    <w:name w:val="Text komentára Char"/>
    <w:basedOn w:val="Predvolenpsmoodseku"/>
    <w:link w:val="Textkomentra"/>
    <w:uiPriority w:val="99"/>
    <w:rsid w:val="003733BE"/>
    <w:rPr>
      <w:rFonts w:ascii="Segoe UI" w:hAnsi="Segoe UI"/>
      <w:sz w:val="20"/>
      <w:szCs w:val="20"/>
    </w:rPr>
  </w:style>
  <w:style w:type="paragraph" w:styleId="Predmetkomentra">
    <w:name w:val="annotation subject"/>
    <w:basedOn w:val="Textkomentra"/>
    <w:next w:val="Textkomentra"/>
    <w:link w:val="PredmetkomentraChar"/>
    <w:uiPriority w:val="99"/>
    <w:semiHidden/>
    <w:unhideWhenUsed/>
    <w:rsid w:val="002D4645"/>
    <w:rPr>
      <w:b/>
      <w:bCs/>
    </w:rPr>
  </w:style>
  <w:style w:type="character" w:customStyle="1" w:styleId="PredmetkomentraChar">
    <w:name w:val="Predmet komentára Char"/>
    <w:basedOn w:val="TextkomentraChar"/>
    <w:link w:val="Predmetkomentra"/>
    <w:uiPriority w:val="99"/>
    <w:semiHidden/>
    <w:rsid w:val="002D4645"/>
    <w:rPr>
      <w:rFonts w:ascii="Segoe UI" w:hAnsi="Segoe UI"/>
      <w:b/>
      <w:bCs/>
      <w:sz w:val="20"/>
      <w:szCs w:val="20"/>
    </w:rPr>
  </w:style>
  <w:style w:type="character" w:customStyle="1" w:styleId="In">
    <w:name w:val="Iné_"/>
    <w:basedOn w:val="Predvolenpsmoodseku"/>
    <w:link w:val="In0"/>
    <w:rsid w:val="0070456C"/>
    <w:rPr>
      <w:rFonts w:ascii="Times New Roman" w:eastAsia="Times New Roman" w:hAnsi="Times New Roman" w:cs="Times New Roman"/>
      <w:shd w:val="clear" w:color="auto" w:fill="FFFFFF"/>
    </w:rPr>
  </w:style>
  <w:style w:type="paragraph" w:customStyle="1" w:styleId="In0">
    <w:name w:val="Iné"/>
    <w:basedOn w:val="Normlny"/>
    <w:link w:val="In"/>
    <w:rsid w:val="0070456C"/>
    <w:pPr>
      <w:widowControl w:val="0"/>
      <w:shd w:val="clear" w:color="auto" w:fill="FFFFFF"/>
      <w:spacing w:after="260" w:line="240" w:lineRule="auto"/>
    </w:pPr>
    <w:rPr>
      <w:rFonts w:ascii="Times New Roman" w:eastAsia="Times New Roman" w:hAnsi="Times New Roman" w:cs="Times New Roman"/>
      <w:sz w:val="22"/>
    </w:rPr>
  </w:style>
  <w:style w:type="table" w:customStyle="1" w:styleId="Mriekatabuky1">
    <w:name w:val="Mriežka tabuľky1"/>
    <w:basedOn w:val="Normlnatabuka"/>
    <w:next w:val="Mriekatabuky"/>
    <w:uiPriority w:val="5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4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1"/>
    <w:rsid w:val="00422249"/>
    <w:rPr>
      <w:rFonts w:ascii="Times New Roman" w:eastAsia="Times New Roman" w:hAnsi="Times New Roman" w:cs="Times New Roman"/>
      <w:shd w:val="clear" w:color="auto" w:fill="FFFFFF"/>
    </w:rPr>
  </w:style>
  <w:style w:type="paragraph" w:customStyle="1" w:styleId="Zkladntext1">
    <w:name w:val="Základný text1"/>
    <w:basedOn w:val="Normlny"/>
    <w:link w:val="Zkladntext"/>
    <w:rsid w:val="00422249"/>
    <w:pPr>
      <w:widowControl w:val="0"/>
      <w:shd w:val="clear" w:color="auto" w:fill="FFFFFF"/>
      <w:spacing w:after="260" w:line="240" w:lineRule="auto"/>
    </w:pPr>
    <w:rPr>
      <w:rFonts w:ascii="Times New Roman" w:eastAsia="Times New Roman" w:hAnsi="Times New Roman" w:cs="Times New Roman"/>
      <w:sz w:val="22"/>
    </w:rPr>
  </w:style>
  <w:style w:type="character" w:customStyle="1" w:styleId="OdsekzoznamuChar">
    <w:name w:val="Odsek zoznamu Char"/>
    <w:aliases w:val="body Char,Odsek zoznamu2 Char,Odsek Char,Odsek zoznamu1 Char,Dot pt Char,No Spacing1 Char,List Paragraph Char Char Char Char,Indicator Text Char,Numbered Para 1 Char,List Paragraph à moi Char,Odsek zoznamu4 Char,LISTA Char,3 Char"/>
    <w:basedOn w:val="Predvolenpsmoodseku"/>
    <w:link w:val="Odsekzoznamu"/>
    <w:uiPriority w:val="34"/>
    <w:qFormat/>
    <w:locked/>
    <w:rsid w:val="00571A80"/>
    <w:rPr>
      <w:rFonts w:ascii="Segoe UI" w:hAnsi="Segoe UI"/>
      <w:sz w:val="20"/>
    </w:rPr>
  </w:style>
  <w:style w:type="paragraph" w:customStyle="1" w:styleId="2stlpce">
    <w:name w:val="2 stlpce"/>
    <w:basedOn w:val="Normlny"/>
    <w:link w:val="2stlpceChar"/>
    <w:qFormat/>
    <w:rsid w:val="00A33FD6"/>
    <w:pPr>
      <w:spacing w:line="240" w:lineRule="auto"/>
    </w:pPr>
    <w:rPr>
      <w:rFonts w:ascii="Calibri" w:hAnsi="Calibri"/>
      <w:sz w:val="22"/>
    </w:rPr>
  </w:style>
  <w:style w:type="character" w:customStyle="1" w:styleId="2stlpceChar">
    <w:name w:val="2 stlpce Char"/>
    <w:basedOn w:val="Predvolenpsmoodseku"/>
    <w:link w:val="2stlpce"/>
    <w:rsid w:val="00A33FD6"/>
    <w:rPr>
      <w:rFonts w:ascii="Calibri" w:hAnsi="Calibri"/>
    </w:rPr>
  </w:style>
  <w:style w:type="character" w:styleId="PouitHypertextovPrepojenie">
    <w:name w:val="FollowedHyperlink"/>
    <w:basedOn w:val="Predvolenpsmoodseku"/>
    <w:uiPriority w:val="99"/>
    <w:semiHidden/>
    <w:unhideWhenUsed/>
    <w:rsid w:val="00582A6C"/>
    <w:rPr>
      <w:color w:val="314364" w:themeColor="followedHyperlink"/>
      <w:u w:val="single"/>
    </w:rPr>
  </w:style>
  <w:style w:type="paragraph" w:customStyle="1" w:styleId="Default">
    <w:name w:val="Default"/>
    <w:rsid w:val="00DC0C84"/>
    <w:pPr>
      <w:autoSpaceDE w:val="0"/>
      <w:autoSpaceDN w:val="0"/>
      <w:adjustRightInd w:val="0"/>
      <w:spacing w:after="0" w:line="240" w:lineRule="auto"/>
    </w:pPr>
    <w:rPr>
      <w:rFonts w:ascii="Times New Roman" w:hAnsi="Times New Roman" w:cs="Times New Roman"/>
      <w:color w:val="000000"/>
      <w:sz w:val="24"/>
      <w:szCs w:val="24"/>
    </w:rPr>
  </w:style>
  <w:style w:type="paragraph" w:styleId="Obsah4">
    <w:name w:val="toc 4"/>
    <w:basedOn w:val="Normlny"/>
    <w:next w:val="Normlny"/>
    <w:autoRedefine/>
    <w:uiPriority w:val="39"/>
    <w:unhideWhenUsed/>
    <w:rsid w:val="00A4647C"/>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A4647C"/>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A4647C"/>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A4647C"/>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A4647C"/>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A4647C"/>
    <w:pPr>
      <w:spacing w:after="0"/>
      <w:ind w:left="1600"/>
      <w:jc w:val="left"/>
    </w:pPr>
    <w:rPr>
      <w:rFonts w:asciiTheme="minorHAnsi" w:hAnsiTheme="minorHAnsi"/>
      <w:sz w:val="18"/>
      <w:szCs w:val="18"/>
    </w:rPr>
  </w:style>
  <w:style w:type="table" w:customStyle="1" w:styleId="Mriekatabuky8">
    <w:name w:val="Mriežka tabuľky8"/>
    <w:basedOn w:val="Normlnatabuka"/>
    <w:next w:val="Mriekatabuky"/>
    <w:uiPriority w:val="39"/>
    <w:rsid w:val="0012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164091"/>
    <w:rPr>
      <w:rFonts w:ascii="Segoe UI" w:eastAsiaTheme="majorEastAsia" w:hAnsi="Segoe UI" w:cstheme="majorBidi"/>
      <w:color w:val="314364"/>
      <w:szCs w:val="24"/>
    </w:rPr>
  </w:style>
  <w:style w:type="character" w:styleId="Siln">
    <w:name w:val="Strong"/>
    <w:basedOn w:val="Predvolenpsmoodseku"/>
    <w:uiPriority w:val="22"/>
    <w:qFormat/>
    <w:rsid w:val="0081797F"/>
    <w:rPr>
      <w:b/>
      <w:bCs/>
    </w:rPr>
  </w:style>
  <w:style w:type="paragraph" w:styleId="Zkladntext0">
    <w:name w:val="Body Text"/>
    <w:basedOn w:val="Normlny"/>
    <w:link w:val="ZkladntextChar"/>
    <w:semiHidden/>
    <w:rsid w:val="0081797F"/>
    <w:pPr>
      <w:spacing w:after="200"/>
      <w:jc w:val="left"/>
    </w:pPr>
    <w:rPr>
      <w:rFonts w:asciiTheme="minorHAnsi" w:hAnsiTheme="minorHAnsi"/>
      <w:sz w:val="22"/>
      <w:szCs w:val="20"/>
    </w:rPr>
  </w:style>
  <w:style w:type="character" w:customStyle="1" w:styleId="ZkladntextChar">
    <w:name w:val="Základný text Char"/>
    <w:basedOn w:val="Predvolenpsmoodseku"/>
    <w:link w:val="Zkladntext0"/>
    <w:semiHidden/>
    <w:rsid w:val="0081797F"/>
    <w:rPr>
      <w:rFonts w:asciiTheme="minorHAnsi" w:hAnsiTheme="minorHAnsi"/>
      <w:szCs w:val="20"/>
    </w:rPr>
  </w:style>
  <w:style w:type="paragraph" w:styleId="Normlnywebov">
    <w:name w:val="Normal (Web)"/>
    <w:basedOn w:val="Normlny"/>
    <w:uiPriority w:val="99"/>
    <w:unhideWhenUsed/>
    <w:rsid w:val="00870CE5"/>
    <w:pPr>
      <w:spacing w:before="100" w:beforeAutospacing="1" w:after="100" w:afterAutospacing="1" w:line="240" w:lineRule="auto"/>
      <w:jc w:val="left"/>
    </w:pPr>
    <w:rPr>
      <w:rFonts w:ascii="Times New Roman" w:eastAsiaTheme="minorEastAsia" w:hAnsi="Times New Roman" w:cs="Times New Roman"/>
      <w:sz w:val="24"/>
      <w:szCs w:val="24"/>
      <w:lang w:eastAsia="sk-SK"/>
    </w:rPr>
  </w:style>
  <w:style w:type="table" w:customStyle="1" w:styleId="Mriekatabuky5">
    <w:name w:val="Mriežka tabuľky5"/>
    <w:basedOn w:val="Normlnatabuka"/>
    <w:next w:val="Mriekatabuky"/>
    <w:uiPriority w:val="59"/>
    <w:rsid w:val="00E92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F6521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
    <w:name w:val="Základný text (3)_"/>
    <w:basedOn w:val="Predvolenpsmoodseku"/>
    <w:link w:val="Zkladntext30"/>
    <w:rsid w:val="00F97B3E"/>
    <w:rPr>
      <w:rFonts w:ascii="Times New Roman" w:eastAsia="Times New Roman" w:hAnsi="Times New Roman" w:cs="Times New Roman"/>
      <w:sz w:val="20"/>
      <w:szCs w:val="20"/>
      <w:shd w:val="clear" w:color="auto" w:fill="FFFFFF"/>
    </w:rPr>
  </w:style>
  <w:style w:type="paragraph" w:customStyle="1" w:styleId="Zkladntext30">
    <w:name w:val="Základný text (3)"/>
    <w:basedOn w:val="Normlny"/>
    <w:link w:val="Zkladntext3"/>
    <w:rsid w:val="00F97B3E"/>
    <w:pPr>
      <w:widowControl w:val="0"/>
      <w:shd w:val="clear" w:color="auto" w:fill="FFFFFF"/>
      <w:spacing w:after="520" w:line="240" w:lineRule="auto"/>
      <w:ind w:left="1330"/>
      <w:jc w:val="left"/>
    </w:pPr>
    <w:rPr>
      <w:rFonts w:ascii="Times New Roman" w:eastAsia="Times New Roman" w:hAnsi="Times New Roman" w:cs="Times New Roman"/>
      <w:szCs w:val="20"/>
    </w:rPr>
  </w:style>
  <w:style w:type="table" w:customStyle="1" w:styleId="Mriekatabuky111">
    <w:name w:val="Mriežka tabuľky111"/>
    <w:basedOn w:val="Normlnatabuka"/>
    <w:next w:val="Mriekatabuky"/>
    <w:uiPriority w:val="39"/>
    <w:rsid w:val="00DC0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A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4E4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rsid w:val="001A7B7E"/>
    <w:pPr>
      <w:spacing w:after="0" w:line="240" w:lineRule="exact"/>
      <w:jc w:val="left"/>
    </w:pPr>
    <w:rPr>
      <w:rFonts w:ascii="Arial Narrow" w:hAnsi="Arial Narrow"/>
      <w:sz w:val="22"/>
      <w:vertAlign w:val="superscript"/>
    </w:rPr>
  </w:style>
  <w:style w:type="paragraph" w:styleId="Revzia">
    <w:name w:val="Revision"/>
    <w:hidden/>
    <w:uiPriority w:val="99"/>
    <w:semiHidden/>
    <w:rsid w:val="0074656B"/>
    <w:pPr>
      <w:spacing w:after="0" w:line="240" w:lineRule="auto"/>
    </w:pPr>
    <w:rPr>
      <w:rFonts w:ascii="Segoe UI" w:hAnsi="Segoe UI"/>
      <w:sz w:val="20"/>
    </w:rPr>
  </w:style>
  <w:style w:type="table" w:customStyle="1" w:styleId="Mriekatabuky7">
    <w:name w:val="Mriežka tabuľky7"/>
    <w:basedOn w:val="Normlnatabuka"/>
    <w:next w:val="Mriekatabuky"/>
    <w:uiPriority w:val="39"/>
    <w:rsid w:val="0042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42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81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0F0907"/>
    <w:rPr>
      <w:rFonts w:ascii="Segoe UI" w:hAnsi="Segoe UI"/>
      <w:color w:val="314364"/>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83598">
      <w:bodyDiv w:val="1"/>
      <w:marLeft w:val="0"/>
      <w:marRight w:val="0"/>
      <w:marTop w:val="0"/>
      <w:marBottom w:val="0"/>
      <w:divBdr>
        <w:top w:val="none" w:sz="0" w:space="0" w:color="auto"/>
        <w:left w:val="none" w:sz="0" w:space="0" w:color="auto"/>
        <w:bottom w:val="none" w:sz="0" w:space="0" w:color="auto"/>
        <w:right w:val="none" w:sz="0" w:space="0" w:color="auto"/>
      </w:divBdr>
    </w:div>
    <w:div w:id="267277379">
      <w:bodyDiv w:val="1"/>
      <w:marLeft w:val="0"/>
      <w:marRight w:val="0"/>
      <w:marTop w:val="0"/>
      <w:marBottom w:val="0"/>
      <w:divBdr>
        <w:top w:val="none" w:sz="0" w:space="0" w:color="auto"/>
        <w:left w:val="none" w:sz="0" w:space="0" w:color="auto"/>
        <w:bottom w:val="none" w:sz="0" w:space="0" w:color="auto"/>
        <w:right w:val="none" w:sz="0" w:space="0" w:color="auto"/>
      </w:divBdr>
    </w:div>
    <w:div w:id="1626697887">
      <w:bodyDiv w:val="1"/>
      <w:marLeft w:val="0"/>
      <w:marRight w:val="0"/>
      <w:marTop w:val="0"/>
      <w:marBottom w:val="0"/>
      <w:divBdr>
        <w:top w:val="none" w:sz="0" w:space="0" w:color="auto"/>
        <w:left w:val="none" w:sz="0" w:space="0" w:color="auto"/>
        <w:bottom w:val="none" w:sz="0" w:space="0" w:color="auto"/>
        <w:right w:val="none" w:sz="0" w:space="0" w:color="auto"/>
      </w:divBdr>
    </w:div>
    <w:div w:id="1663041934">
      <w:bodyDiv w:val="1"/>
      <w:marLeft w:val="0"/>
      <w:marRight w:val="0"/>
      <w:marTop w:val="0"/>
      <w:marBottom w:val="0"/>
      <w:divBdr>
        <w:top w:val="none" w:sz="0" w:space="0" w:color="auto"/>
        <w:left w:val="none" w:sz="0" w:space="0" w:color="auto"/>
        <w:bottom w:val="none" w:sz="0" w:space="0" w:color="auto"/>
        <w:right w:val="none" w:sz="0" w:space="0" w:color="auto"/>
      </w:divBdr>
    </w:div>
    <w:div w:id="198746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hyperlink" Target="http://www.rokovania.sk" TargetMode="External"/><Relationship Id="rId47" Type="http://schemas.openxmlformats.org/officeDocument/2006/relationships/footer" Target="footer1.xml"/><Relationship Id="rId50" Type="http://schemas.openxmlformats.org/officeDocument/2006/relationships/hyperlink" Target="https://rokovania.gov.sk/RVL/Material/26982/1" TargetMode="External"/><Relationship Id="rId55" Type="http://schemas.openxmlformats.org/officeDocument/2006/relationships/hyperlink" Target="https://rokovania.gov.sk/RVL/Material/27197/1"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hyperlink" Target="http://mumap.nkusr.sk/" TargetMode="External"/><Relationship Id="rId40" Type="http://schemas.openxmlformats.org/officeDocument/2006/relationships/chart" Target="charts/chart30.xml"/><Relationship Id="rId45" Type="http://schemas.openxmlformats.org/officeDocument/2006/relationships/image" Target="media/image3.JPG"/><Relationship Id="rId53" Type="http://schemas.openxmlformats.org/officeDocument/2006/relationships/hyperlink" Target="https://rokovania.gov.sk/RVL/Material/27026/1" TargetMode="External"/><Relationship Id="rId58" Type="http://schemas.openxmlformats.org/officeDocument/2006/relationships/hyperlink" Target="https://rokovania.gov.sk/RVL/Material/27832/1"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rokovania.sk" TargetMode="Externa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2.xml"/><Relationship Id="rId48" Type="http://schemas.openxmlformats.org/officeDocument/2006/relationships/hyperlink" Target="https://rokovania.gov.sk/RVL/Material/26935/1" TargetMode="External"/><Relationship Id="rId56" Type="http://schemas.openxmlformats.org/officeDocument/2006/relationships/hyperlink" Target="https://rokovania.gov.sk/RVL/Material/27186/1"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rokovania.gov.sk/RVL/Material/27007/1"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8.xml"/><Relationship Id="rId46" Type="http://schemas.openxmlformats.org/officeDocument/2006/relationships/header" Target="header2.xml"/><Relationship Id="rId59" Type="http://schemas.openxmlformats.org/officeDocument/2006/relationships/hyperlink" Target="https://rokovania.gov.sk/RVL/Material/27906/1" TargetMode="External"/><Relationship Id="rId20" Type="http://schemas.openxmlformats.org/officeDocument/2006/relationships/chart" Target="charts/chart11.xml"/><Relationship Id="rId41" Type="http://schemas.openxmlformats.org/officeDocument/2006/relationships/chart" Target="charts/chart31.xml"/><Relationship Id="rId54" Type="http://schemas.openxmlformats.org/officeDocument/2006/relationships/hyperlink" Target="https://rokovania.gov.sk/RVL/Material/27038/1" TargetMode="External"/><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hyperlink" Target="https://rokovania.gov.sk/RVL/Material/26980/1" TargetMode="External"/><Relationship Id="rId57" Type="http://schemas.openxmlformats.org/officeDocument/2006/relationships/hyperlink" Target="https://rokovania.gov.sk/RVL/Material/27338/1" TargetMode="External"/><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3.xml"/><Relationship Id="rId52" Type="http://schemas.openxmlformats.org/officeDocument/2006/relationships/hyperlink" Target="https://rokovania.gov.sk/RVL/Material/27010/1" TargetMode="External"/><Relationship Id="rId60" Type="http://schemas.openxmlformats.org/officeDocument/2006/relationships/header" Target="header3.xml"/><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29.xml"/></Relationships>
</file>

<file path=word/_rels/footnotes.xml.rels><?xml version="1.0" encoding="UTF-8" standalone="yes"?>
<Relationships xmlns="http://schemas.openxmlformats.org/package/2006/relationships"><Relationship Id="rId8" Type="http://schemas.openxmlformats.org/officeDocument/2006/relationships/hyperlink" Target="https://www.crz.gov.sk/zmluva/6886944/" TargetMode="External"/><Relationship Id="rId13" Type="http://schemas.openxmlformats.org/officeDocument/2006/relationships/hyperlink" Target="https://www.politico.eu/article/eastern-europe-coronavirus-vaccine-commission/" TargetMode="External"/><Relationship Id="rId18" Type="http://schemas.openxmlformats.org/officeDocument/2006/relationships/hyperlink" Target="https://www.nku.gov.sk/documents/10157/1407476/Spr%C3%A1va+Nezrovnalosti+2014-2020/f8f2c982-ad21-4f19-b03e-7571a0a77a41" TargetMode="External"/><Relationship Id="rId26" Type="http://schemas.openxmlformats.org/officeDocument/2006/relationships/hyperlink" Target="https://rokovania.gov.sk/RVL/Resolution/20231/1" TargetMode="External"/><Relationship Id="rId3" Type="http://schemas.openxmlformats.org/officeDocument/2006/relationships/hyperlink" Target="https://www.kozsr.sk/wp-content/uploads/2022/07/Dodatok-ku-KZVS-2022-verejna-sluzba.pdf" TargetMode="External"/><Relationship Id="rId21" Type="http://schemas.openxmlformats.org/officeDocument/2006/relationships/hyperlink" Target="https://www.opii.gov.sk/metodicke-dokumenty/metodika-fazovania-projektov-opd-opii" TargetMode="External"/><Relationship Id="rId7" Type="http://schemas.openxmlformats.org/officeDocument/2006/relationships/hyperlink" Target="https://www.nku.gov.sk/documents/10157/1460168/Priloha+-+nakup+stihaciek+F16.zip" TargetMode="External"/><Relationship Id="rId12" Type="http://schemas.openxmlformats.org/officeDocument/2006/relationships/hyperlink" Target="https://www.nku.gov.sk/documents/10157/45ccd4e8-7274-4fcd-a1a6-e9a07190e60e" TargetMode="External"/><Relationship Id="rId17" Type="http://schemas.openxmlformats.org/officeDocument/2006/relationships/hyperlink" Target="https://www.mfsr.sk/files/sk/media/tlacove-spravy/cerpanie-sf-kf-k-31-12-2015/Cerpanie_SF_a_KF_tlacova_sprava_31-12-2015.pdf" TargetMode="External"/><Relationship Id="rId25" Type="http://schemas.openxmlformats.org/officeDocument/2006/relationships/hyperlink" Target="https://www.planobnovy.sk/realizacia/semafor/" TargetMode="External"/><Relationship Id="rId2" Type="http://schemas.openxmlformats.org/officeDocument/2006/relationships/hyperlink" Target="https://www.slov-lex.sk/pravne-predpisy/SK/ZZ/2012/394/20130101" TargetMode="External"/><Relationship Id="rId16" Type="http://schemas.openxmlformats.org/officeDocument/2006/relationships/hyperlink" Target="https://www.ifw-kiel.de/publications/kiel-working-papers/2022/the-ukraine-support-tracker-which-countries-help-ukraine-and-how-17204/" TargetMode="External"/><Relationship Id="rId20" Type="http://schemas.openxmlformats.org/officeDocument/2006/relationships/hyperlink" Target="https://papers.ssrn.com/sol3/papers.cfm?abstract_id=655103" TargetMode="External"/><Relationship Id="rId29" Type="http://schemas.openxmlformats.org/officeDocument/2006/relationships/hyperlink" Target="https://www.planobnovy.sk/realizacia/semafor-investicnych-projektov/univerzitna-nemocnica-martin/" TargetMode="External"/><Relationship Id="rId1" Type="http://schemas.openxmlformats.org/officeDocument/2006/relationships/hyperlink" Target="https://www.mfsr.sk/files/archiv/81/DV_2023_02_komentar_final.pdf" TargetMode="External"/><Relationship Id="rId6" Type="http://schemas.openxmlformats.org/officeDocument/2006/relationships/hyperlink" Target="https://www.nku.gov.sk/documents/10157/1460168/Nakup_F-16_analyza_NKU.pdf" TargetMode="External"/><Relationship Id="rId11" Type="http://schemas.openxmlformats.org/officeDocument/2006/relationships/hyperlink" Target="https://www.nku.gov.sk/documents/10157/164740/Stanovisko_k_navrhu_statneho_rozpoctu_na_rok_2022.pdf" TargetMode="External"/><Relationship Id="rId24" Type="http://schemas.openxmlformats.org/officeDocument/2006/relationships/hyperlink" Target="https://www.opii.gov.sk/metodicke-dokumenty/metodika-fazovania-projektov-opd-opii" TargetMode="External"/><Relationship Id="rId32" Type="http://schemas.openxmlformats.org/officeDocument/2006/relationships/hyperlink" Target="https://www.mfsr.sk/sk/verejnost/pomoc-samospravam/" TargetMode="External"/><Relationship Id="rId5" Type="http://schemas.openxmlformats.org/officeDocument/2006/relationships/hyperlink" Target="https://www.mpo.cz/cz/prumysl/zpracovatelsky-prumysl/obranny-a-bezpecnostni-prumysl-offsety/offsety--80825/" TargetMode="External"/><Relationship Id="rId15" Type="http://schemas.openxmlformats.org/officeDocument/2006/relationships/hyperlink" Target="http://mumap.nkusr.sk/" TargetMode="External"/><Relationship Id="rId23" Type="http://schemas.openxmlformats.org/officeDocument/2006/relationships/hyperlink" Target="https://www.opii.gov.sk/projekty/velke-projekty" TargetMode="External"/><Relationship Id="rId28" Type="http://schemas.openxmlformats.org/officeDocument/2006/relationships/hyperlink" Target="https://www.planobnovy.sk/realizacia/semafor-investicnych-projektov/narodna-univerzitna-nemocnica-raszochy/" TargetMode="External"/><Relationship Id="rId10" Type="http://schemas.openxmlformats.org/officeDocument/2006/relationships/hyperlink" Target="https://www.nrsr.sk/web/Default.aspx?sid=zakony/zakon&amp;ZakZborID=13&amp;CisObdobia=8&amp;CPT=1067" TargetMode="External"/><Relationship Id="rId19" Type="http://schemas.openxmlformats.org/officeDocument/2006/relationships/hyperlink" Target="https://www.mirri.gov.sk/aktuality/cko/vicepremierka-remisova-presadila-riesenie-problemu-rastu-cien-stavebnych-materialov-novela-zakona-o-eurofondoch-umozni-navysit-financie-pre-narodne-projekty-aj-dopytove-vyzvy/index.html" TargetMode="External"/><Relationship Id="rId31" Type="http://schemas.openxmlformats.org/officeDocument/2006/relationships/hyperlink" Target="https://www.nrsr.sk/web/Default.aspx?sid=zakony/cpt&amp;ZakZborID=13&amp;CisObdobia=8&amp;ID=1521" TargetMode="External"/><Relationship Id="rId4" Type="http://schemas.openxmlformats.org/officeDocument/2006/relationships/hyperlink" Target="https://economy-finance.ec.europa.eu/publications/debt-sustainability-monitor-2022_en" TargetMode="External"/><Relationship Id="rId9" Type="http://schemas.openxmlformats.org/officeDocument/2006/relationships/hyperlink" Target="https://www.crz.gov.sk/zmluva/7235822/" TargetMode="External"/><Relationship Id="rId14" Type="http://schemas.openxmlformats.org/officeDocument/2006/relationships/hyperlink" Target="https://ec.europa.eu/commission/presscorner/detail/sk/ip_23_2133" TargetMode="External"/><Relationship Id="rId22" Type="http://schemas.openxmlformats.org/officeDocument/2006/relationships/hyperlink" Target="https://www.opii.gov.sk/download/d/15-0/OPII_15_0.pdf" TargetMode="External"/><Relationship Id="rId27" Type="http://schemas.openxmlformats.org/officeDocument/2006/relationships/hyperlink" Target="https://rokovania.gov.sk/RVL/Material/28033/1" TargetMode="External"/><Relationship Id="rId30" Type="http://schemas.openxmlformats.org/officeDocument/2006/relationships/hyperlink" Target="https://www.uvo.gov.sk/vestnik-a-registre/vestnik/oznamenie/detail/606102?cHash=934a65f232fdffb68d5330ce1b54de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novisk&#225;\Stanovisko%20k%20n&#225;vrhu%20&#352;R%202021\Stanovisko%20OSA.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SYST&#201;MOV&#201;%20PRIE&#268;INKY\Downloads\STANOVISKO\Stanovisko%20k%20&#352;Z&#218;%202022\Stanovisko_&#352;Z&#218;_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SYST&#201;MOV&#201;%20PRIE&#268;INKY\Desktop\Stanovisko%20GRAFY_AF.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analytickyodbor\analyticky%20odbor\Stanovisko%20k%20n&#225;vrhu%20&#352;Z&#218;%202022\Stanovisko%20NK&#218;%20SR%20k%20n&#225;vrhu%20&#352;Z&#218;%20za%202022.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D:\SYST&#201;MOV&#201;%20PRIE&#268;INKY\Desktop\Stanovisk&#225;\&#352;Z&#218;%202022\MZSR%20&#269;erpanie%202022%20programy.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D:\SYST&#201;MOV&#201;%20PRIE&#268;INKY\Desktop\Stanovisk&#225;\&#352;Z&#218;%202022\MZSR%20&#269;erpanie%202022%20programy.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analytickyodbor\analyticky%20odbor\Stanovisko%20k%20n&#225;vrhu%20&#352;Z&#218;%202022\Stanovisko%20NK&#218;%20SR%20k%20n&#225;vrhu%20&#352;Z&#218;%20za%202022.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D:\SYST&#201;MOV&#201;%20PRIE&#268;INKY\Desktop\Stanovisk&#225;\&#352;Z&#218;%202022\MZSR%20&#269;erpanie%202022%20programy.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D:\SYST&#201;MOV&#201;%20PRIE&#268;INKY\Desktop\Stanovisk&#225;\&#352;Z&#218;%202022\NCZI-00665-2023.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D:\MOJE%20DOKUMENTY\Odbor%20analytick&#253;_9.12.15\Ukazovatele%201_6.2.18\Ukazovatele_Zdravie.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D:\MOJE%20DOKUMENTY\Odbor%20analytick&#253;_9.12.15\Ukazovatele%201_6.2.18\Ukazovatele_Zdravie.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D:\MOJE%20DOKUMENTY\Stanovisko%20k%20&#352;Z&#218;%20za%20rok%202022\M&#352;%20prog%20&#353;%2022.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SYST&#201;MOV&#201;%20PRIE&#268;INKY\Downloads\STANOVISKO\Stanovisko%20k%20&#352;Z&#218;%202022\Stanovisko_&#352;Z&#218;_2022.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D:\MOJE%20DOKUMENTY\Stanovisko%20k%20&#352;Z&#218;%20za%20rok%202022\ped_zam_vs.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D:\MOJE%20DOKUMENTY\Stanovisko%20k%20&#352;Z&#218;%20za%20rok%202022\ped_zam_vs.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D:\MOJE%20DOKUMENTY\Stanovisko%20k%20&#352;Z&#218;%20za%20rok%202022\ped_zam_vs.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D:\MOJE%20DOKUMENTY\Stanovisko%20k%20&#352;Z&#218;%20za%20rok%202022\neped_zam_vs.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D:\MOJE%20DOKUMENTY\Stanovisko%20k%20&#352;Z&#218;%20za%20rok%202022\neped_zam_vs.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baoa1220\Analyticky%20Odbor\Stanovisko%20k%20n&#225;vrhu%20&#352;Z&#218;%202022\Stanovisko%20NK&#218;%20SR%20k%20n&#225;vrhu%20&#352;Z&#218;%20za%202022.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analytickyodbor\analyticky%20odbor\Stanovisko%20k%20n&#225;vrhu%20&#352;Z&#218;%202022\Stanovisko%20NK&#218;%20SR%20k%20n&#225;vrhu%20&#352;Z&#218;%20za%202022.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H_rok_programu_Microsoft_Excel3.xlsx"/></Relationships>
</file>

<file path=word/charts/_rels/chart28.xml.rels><?xml version="1.0" encoding="UTF-8" standalone="yes"?>
<Relationships xmlns="http://schemas.openxmlformats.org/package/2006/relationships"><Relationship Id="rId3" Type="http://schemas.openxmlformats.org/officeDocument/2006/relationships/oleObject" Target="file:///D:\DATA\OSA\---KNIZNICA---\STANOVISKA\&#352;ZU\za%20rok%202022\Programov&#253;%20rozpo&#269;et%20za%20rok%202022%20-%20MO%20SR.xlsx" TargetMode="Externa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2.xml"/></Relationships>
</file>

<file path=word/charts/_rels/chart29.xml.rels><?xml version="1.0" encoding="UTF-8" standalone="yes"?>
<Relationships xmlns="http://schemas.openxmlformats.org/package/2006/relationships"><Relationship Id="rId3" Type="http://schemas.openxmlformats.org/officeDocument/2006/relationships/oleObject" Target="file:///D:\DATA\OSA\---KNIZNICA---\STANOVISKA\&#352;ZU\za%20rok%202022\MO%20SR.xlsx"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SYST&#201;MOV&#201;%20PRIE&#268;INKY\Downloads\STANOVISKO\Stanovisko%20k%20&#352;Z&#218;%202022\Stanovisko_&#352;Z&#218;_2022.xlsx" TargetMode="External"/><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3" Type="http://schemas.openxmlformats.org/officeDocument/2006/relationships/oleObject" Target="file:///D:\DATA\OSA\-----%20SUBPOLITIKY%20-----\MO%20SR\VYDAVKY%20UKRAJINA\V&#253;davky%20na%20Ukrajinu%20v%20roku%202022%20ISA24042023.xlsx" TargetMode="External"/><Relationship Id="rId2" Type="http://schemas.microsoft.com/office/2011/relationships/chartColorStyle" Target="colors29.xml"/><Relationship Id="rId1" Type="http://schemas.microsoft.com/office/2011/relationships/chartStyle" Target="style29.xml"/></Relationships>
</file>

<file path=word/charts/_rels/chart31.xml.rels><?xml version="1.0" encoding="UTF-8" standalone="yes"?>
<Relationships xmlns="http://schemas.openxmlformats.org/package/2006/relationships"><Relationship Id="rId3" Type="http://schemas.openxmlformats.org/officeDocument/2006/relationships/oleObject" Target="file:///D:\DATA\OSA\-----%20SUBPOLITIKY%20-----\MO%20SR\VYDAVKY%20UKRAJINA\V&#253;davky%20na%20Ukrajinu%20v%20roku%202022%20ISA24042023.xlsx" TargetMode="External"/><Relationship Id="rId2" Type="http://schemas.microsoft.com/office/2011/relationships/chartColorStyle" Target="colors30.xml"/><Relationship Id="rId1" Type="http://schemas.microsoft.com/office/2011/relationships/chartStyle" Target="style30.xml"/></Relationships>
</file>

<file path=word/charts/_rels/chart32.xml.rels><?xml version="1.0" encoding="UTF-8" standalone="yes"?>
<Relationships xmlns="http://schemas.openxmlformats.org/package/2006/relationships"><Relationship Id="rId3" Type="http://schemas.openxmlformats.org/officeDocument/2006/relationships/package" Target="../embeddings/H_rok_programu_Microsoft_Excel4.xlsx"/><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2.xml"/><Relationship Id="rId1" Type="http://schemas.microsoft.com/office/2011/relationships/chartStyle" Target="style32.xml"/><Relationship Id="rId5" Type="http://schemas.openxmlformats.org/officeDocument/2006/relationships/chartUserShapes" Target="../drawings/drawing3.xml"/><Relationship Id="rId4" Type="http://schemas.openxmlformats.org/officeDocument/2006/relationships/oleObject" Target="file:///D:\SYST&#201;MOV&#201;%20PRIE&#268;INKY\Desktop\Stanovisko%20k%20&#352;Z&#218;%202022\RH1Q2023.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SYST&#201;MOV&#201;%20PRIE&#268;INKY\Downloads\STANOVISKO\Stanovisko%20k%20&#352;Z&#218;%202022\Stanovisko_&#352;Z&#218;_2022.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SYST&#201;MOV&#201;%20PRIE&#268;INKY\Downloads\STANOVISKO\Stanovisko%20k%20&#352;Z&#218;%202022\Stanovisko_&#352;Z&#218;_202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SYST&#201;MOV&#201;%20PRIE&#268;INKY\Downloads\STANOVISKO\Stanovisko%20k%20&#352;Z&#218;%202022\Stanovisko_&#352;Z&#218;_2022.xlsx" TargetMode="External"/></Relationships>
</file>

<file path=word/charts/_rels/chart7.xml.rels><?xml version="1.0" encoding="UTF-8" standalone="yes"?>
<Relationships xmlns="http://schemas.openxmlformats.org/package/2006/relationships"><Relationship Id="rId3" Type="http://schemas.openxmlformats.org/officeDocument/2006/relationships/package" Target="../embeddings/H_rok_programu_Microsoft_Excel.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H_rok_programu_Microsoft_Excel1.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H_rok_programu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 1'!$C$2</c:f>
              <c:strCache>
                <c:ptCount val="1"/>
                <c:pt idx="0">
                  <c:v>RVS 2022</c:v>
                </c:pt>
              </c:strCache>
            </c:strRef>
          </c:tx>
          <c:spPr>
            <a:solidFill>
              <a:schemeClr val="accent1"/>
            </a:solidFill>
            <a:ln>
              <a:noFill/>
            </a:ln>
            <a:effectLst/>
          </c:spPr>
          <c:invertIfNegative val="0"/>
          <c:cat>
            <c:strRef>
              <c:f>'Graf 1'!$B$3:$B$9</c:f>
              <c:strCache>
                <c:ptCount val="7"/>
                <c:pt idx="0">
                  <c:v>HDP, s.c. (YoY zmena)</c:v>
                </c:pt>
                <c:pt idx="1">
                  <c:v>Súkromná spotreba, s.c.</c:v>
                </c:pt>
                <c:pt idx="2">
                  <c:v>Vládna spotreba, s.c.</c:v>
                </c:pt>
                <c:pt idx="3">
                  <c:v>Fixné investície, s.c.</c:v>
                </c:pt>
                <c:pt idx="4">
                  <c:v>Export tovarov a služieb, s.c.</c:v>
                </c:pt>
                <c:pt idx="5">
                  <c:v>Import tovarov a služieb, s.c.</c:v>
                </c:pt>
                <c:pt idx="6">
                  <c:v>Index spotrebiteľských cien (CPI)</c:v>
                </c:pt>
              </c:strCache>
            </c:strRef>
          </c:cat>
          <c:val>
            <c:numRef>
              <c:f>'Graf 1'!$C$3:$C$9</c:f>
              <c:numCache>
                <c:formatCode>0.0</c:formatCode>
                <c:ptCount val="7"/>
                <c:pt idx="0">
                  <c:v>4.2</c:v>
                </c:pt>
                <c:pt idx="1">
                  <c:v>2.4</c:v>
                </c:pt>
                <c:pt idx="2">
                  <c:v>4.0999999999999996</c:v>
                </c:pt>
                <c:pt idx="3">
                  <c:v>16.7</c:v>
                </c:pt>
                <c:pt idx="4">
                  <c:v>3.1</c:v>
                </c:pt>
                <c:pt idx="5">
                  <c:v>3.9</c:v>
                </c:pt>
                <c:pt idx="6">
                  <c:v>4.2</c:v>
                </c:pt>
              </c:numCache>
            </c:numRef>
          </c:val>
          <c:extLst>
            <c:ext xmlns:c16="http://schemas.microsoft.com/office/drawing/2014/chart" uri="{C3380CC4-5D6E-409C-BE32-E72D297353CC}">
              <c16:uniqueId val="{00000000-688F-4003-B2FA-4915558BA2D0}"/>
            </c:ext>
          </c:extLst>
        </c:ser>
        <c:ser>
          <c:idx val="1"/>
          <c:order val="1"/>
          <c:tx>
            <c:strRef>
              <c:f>'Graf 1'!$D$2</c:f>
              <c:strCache>
                <c:ptCount val="1"/>
                <c:pt idx="0">
                  <c:v>Skutočnosť</c:v>
                </c:pt>
              </c:strCache>
            </c:strRef>
          </c:tx>
          <c:spPr>
            <a:solidFill>
              <a:schemeClr val="accent2"/>
            </a:solidFill>
            <a:ln>
              <a:noFill/>
            </a:ln>
            <a:effectLst/>
          </c:spPr>
          <c:invertIfNegative val="0"/>
          <c:cat>
            <c:strRef>
              <c:f>'Graf 1'!$B$3:$B$9</c:f>
              <c:strCache>
                <c:ptCount val="7"/>
                <c:pt idx="0">
                  <c:v>HDP, s.c. (YoY zmena)</c:v>
                </c:pt>
                <c:pt idx="1">
                  <c:v>Súkromná spotreba, s.c.</c:v>
                </c:pt>
                <c:pt idx="2">
                  <c:v>Vládna spotreba, s.c.</c:v>
                </c:pt>
                <c:pt idx="3">
                  <c:v>Fixné investície, s.c.</c:v>
                </c:pt>
                <c:pt idx="4">
                  <c:v>Export tovarov a služieb, s.c.</c:v>
                </c:pt>
                <c:pt idx="5">
                  <c:v>Import tovarov a služieb, s.c.</c:v>
                </c:pt>
                <c:pt idx="6">
                  <c:v>Index spotrebiteľských cien (CPI)</c:v>
                </c:pt>
              </c:strCache>
            </c:strRef>
          </c:cat>
          <c:val>
            <c:numRef>
              <c:f>'Graf 1'!$D$3:$D$9</c:f>
              <c:numCache>
                <c:formatCode>0.0</c:formatCode>
                <c:ptCount val="7"/>
                <c:pt idx="0">
                  <c:v>1.7</c:v>
                </c:pt>
                <c:pt idx="1">
                  <c:v>4.5</c:v>
                </c:pt>
                <c:pt idx="2">
                  <c:v>-2.5</c:v>
                </c:pt>
                <c:pt idx="3">
                  <c:v>6.6</c:v>
                </c:pt>
                <c:pt idx="4">
                  <c:v>0.3</c:v>
                </c:pt>
                <c:pt idx="5">
                  <c:v>1.1000000000000001</c:v>
                </c:pt>
                <c:pt idx="6">
                  <c:v>12.8</c:v>
                </c:pt>
              </c:numCache>
            </c:numRef>
          </c:val>
          <c:extLst>
            <c:ext xmlns:c16="http://schemas.microsoft.com/office/drawing/2014/chart" uri="{C3380CC4-5D6E-409C-BE32-E72D297353CC}">
              <c16:uniqueId val="{00000001-688F-4003-B2FA-4915558BA2D0}"/>
            </c:ext>
          </c:extLst>
        </c:ser>
        <c:dLbls>
          <c:showLegendKey val="0"/>
          <c:showVal val="0"/>
          <c:showCatName val="0"/>
          <c:showSerName val="0"/>
          <c:showPercent val="0"/>
          <c:showBubbleSize val="0"/>
        </c:dLbls>
        <c:gapWidth val="100"/>
        <c:axId val="93986047"/>
        <c:axId val="93968991"/>
      </c:barChart>
      <c:catAx>
        <c:axId val="93986047"/>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93968991"/>
        <c:crosses val="autoZero"/>
        <c:auto val="1"/>
        <c:lblAlgn val="ctr"/>
        <c:lblOffset val="100"/>
        <c:noMultiLvlLbl val="0"/>
      </c:catAx>
      <c:valAx>
        <c:axId val="93968991"/>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93986047"/>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1"/>
          <c:order val="0"/>
          <c:tx>
            <c:v>RADY</c:v>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Pt>
            <c:idx val="1"/>
            <c:marker>
              <c:symbol val="circle"/>
              <c:size val="5"/>
              <c:spPr>
                <a:solidFill>
                  <a:schemeClr val="accent1">
                    <a:shade val="76000"/>
                  </a:schemeClr>
                </a:solidFill>
                <a:ln w="9525">
                  <a:solidFill>
                    <a:schemeClr val="accent1">
                      <a:shade val="76000"/>
                    </a:schemeClr>
                  </a:solidFill>
                </a:ln>
                <a:effectLst/>
              </c:spPr>
            </c:marker>
            <c:bubble3D val="0"/>
            <c:extLst>
              <c:ext xmlns:c16="http://schemas.microsoft.com/office/drawing/2014/chart" uri="{C3380CC4-5D6E-409C-BE32-E72D297353CC}">
                <c16:uniqueId val="{00000000-D7F0-403B-B6BB-B5407E41A76E}"/>
              </c:ext>
            </c:extLst>
          </c:dPt>
          <c:dPt>
            <c:idx val="3"/>
            <c:marker>
              <c:symbol val="circle"/>
              <c:size val="5"/>
              <c:spPr>
                <a:solidFill>
                  <a:schemeClr val="accent1">
                    <a:shade val="76000"/>
                  </a:schemeClr>
                </a:solidFill>
                <a:ln w="9525">
                  <a:solidFill>
                    <a:schemeClr val="accent1">
                      <a:shade val="76000"/>
                    </a:schemeClr>
                  </a:solidFill>
                </a:ln>
                <a:effectLst/>
              </c:spPr>
            </c:marker>
            <c:bubble3D val="0"/>
            <c:extLst>
              <c:ext xmlns:c16="http://schemas.microsoft.com/office/drawing/2014/chart" uri="{C3380CC4-5D6E-409C-BE32-E72D297353CC}">
                <c16:uniqueId val="{00000001-D7F0-403B-B6BB-B5407E41A76E}"/>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 RO'!$C$2:$M$2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'Graf RO'!$C$3:$M$3</c:f>
              <c:numCache>
                <c:formatCode>#,##0</c:formatCode>
                <c:ptCount val="11"/>
                <c:pt idx="0">
                  <c:v>1672</c:v>
                </c:pt>
                <c:pt idx="1">
                  <c:v>2303</c:v>
                </c:pt>
                <c:pt idx="2">
                  <c:v>2447</c:v>
                </c:pt>
                <c:pt idx="3">
                  <c:v>3442</c:v>
                </c:pt>
                <c:pt idx="4">
                  <c:v>2024</c:v>
                </c:pt>
                <c:pt idx="5">
                  <c:v>1787</c:v>
                </c:pt>
                <c:pt idx="6">
                  <c:v>2754</c:v>
                </c:pt>
                <c:pt idx="7">
                  <c:v>3022</c:v>
                </c:pt>
                <c:pt idx="8">
                  <c:v>3410</c:v>
                </c:pt>
                <c:pt idx="9">
                  <c:v>3676</c:v>
                </c:pt>
                <c:pt idx="10">
                  <c:v>3935</c:v>
                </c:pt>
              </c:numCache>
            </c:numRef>
          </c:val>
          <c:smooth val="0"/>
          <c:extLst>
            <c:ext xmlns:c16="http://schemas.microsoft.com/office/drawing/2014/chart" uri="{C3380CC4-5D6E-409C-BE32-E72D297353CC}">
              <c16:uniqueId val="{00000002-D7F0-403B-B6BB-B5407E41A76E}"/>
            </c:ext>
          </c:extLst>
        </c:ser>
        <c:dLbls>
          <c:showLegendKey val="0"/>
          <c:showVal val="0"/>
          <c:showCatName val="0"/>
          <c:showSerName val="0"/>
          <c:showPercent val="0"/>
          <c:showBubbleSize val="0"/>
        </c:dLbls>
        <c:marker val="1"/>
        <c:smooth val="0"/>
        <c:axId val="2063405183"/>
        <c:axId val="2063413503"/>
      </c:lineChart>
      <c:catAx>
        <c:axId val="20634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063413503"/>
        <c:crosses val="autoZero"/>
        <c:auto val="1"/>
        <c:lblAlgn val="ctr"/>
        <c:lblOffset val="100"/>
        <c:noMultiLvlLbl val="0"/>
      </c:catAx>
      <c:valAx>
        <c:axId val="20634135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063405183"/>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SP_2!$B$1</c:f>
              <c:strCache>
                <c:ptCount val="1"/>
                <c:pt idx="0">
                  <c:v>Zdravotnícke zariadenia v správe MZ SR (S) a rezortné nemocnice MO SR a MV SR (R)</c:v>
                </c:pt>
              </c:strCache>
            </c:strRef>
          </c:tx>
          <c:spPr>
            <a:solidFill>
              <a:schemeClr val="accent1"/>
            </a:solidFill>
            <a:ln>
              <a:noFill/>
            </a:ln>
            <a:effectLst/>
          </c:spPr>
          <c:invertIfNegative val="0"/>
          <c:cat>
            <c:numRef>
              <c:f>SP_2!$A$2:$A$208</c:f>
              <c:numCache>
                <c:formatCode>[$-41B]mmmm\ yyyy;@</c:formatCode>
                <c:ptCount val="207"/>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numCache>
            </c:numRef>
          </c:cat>
          <c:val>
            <c:numRef>
              <c:f>SP_2!$B$2:$B$208</c:f>
              <c:numCache>
                <c:formatCode>#,##0.00</c:formatCode>
                <c:ptCount val="207"/>
                <c:pt idx="0">
                  <c:v>5763200.4900000002</c:v>
                </c:pt>
                <c:pt idx="1">
                  <c:v>4924748.3499999996</c:v>
                </c:pt>
                <c:pt idx="2">
                  <c:v>5172389.3899999997</c:v>
                </c:pt>
                <c:pt idx="3">
                  <c:v>5483235.54</c:v>
                </c:pt>
                <c:pt idx="4">
                  <c:v>5721721.1200000001</c:v>
                </c:pt>
                <c:pt idx="5">
                  <c:v>6415368.21</c:v>
                </c:pt>
                <c:pt idx="6">
                  <c:v>6927114.5899999999</c:v>
                </c:pt>
                <c:pt idx="7">
                  <c:v>9455507.7400000002</c:v>
                </c:pt>
                <c:pt idx="8">
                  <c:v>10536704.65</c:v>
                </c:pt>
                <c:pt idx="9">
                  <c:v>12882358.02</c:v>
                </c:pt>
                <c:pt idx="10">
                  <c:v>14664235.85</c:v>
                </c:pt>
                <c:pt idx="11">
                  <c:v>16362489.939999999</c:v>
                </c:pt>
                <c:pt idx="12">
                  <c:v>16412347.060000001</c:v>
                </c:pt>
                <c:pt idx="13">
                  <c:v>16219020.07</c:v>
                </c:pt>
                <c:pt idx="14">
                  <c:v>17653145.010000002</c:v>
                </c:pt>
                <c:pt idx="15">
                  <c:v>19644606.640000001</c:v>
                </c:pt>
                <c:pt idx="16">
                  <c:v>21249856.27</c:v>
                </c:pt>
                <c:pt idx="17">
                  <c:v>22595884.510000002</c:v>
                </c:pt>
                <c:pt idx="18">
                  <c:v>24703685.649999999</c:v>
                </c:pt>
                <c:pt idx="19">
                  <c:v>26396317.699999999</c:v>
                </c:pt>
                <c:pt idx="20">
                  <c:v>26319543.140000001</c:v>
                </c:pt>
                <c:pt idx="21">
                  <c:v>28129643.670000002</c:v>
                </c:pt>
                <c:pt idx="22">
                  <c:v>29128270.370000001</c:v>
                </c:pt>
                <c:pt idx="23">
                  <c:v>29384395.57</c:v>
                </c:pt>
                <c:pt idx="24">
                  <c:v>22692386.5</c:v>
                </c:pt>
                <c:pt idx="25">
                  <c:v>24632505.699999999</c:v>
                </c:pt>
                <c:pt idx="26">
                  <c:v>26604170.079999998</c:v>
                </c:pt>
                <c:pt idx="27">
                  <c:v>26183212.57</c:v>
                </c:pt>
                <c:pt idx="28">
                  <c:v>26574158.260000002</c:v>
                </c:pt>
                <c:pt idx="29">
                  <c:v>25526003.120000001</c:v>
                </c:pt>
                <c:pt idx="30">
                  <c:v>25162797.739999998</c:v>
                </c:pt>
                <c:pt idx="31">
                  <c:v>25090544.84</c:v>
                </c:pt>
                <c:pt idx="32">
                  <c:v>25246287.09</c:v>
                </c:pt>
                <c:pt idx="33">
                  <c:v>25191248.75</c:v>
                </c:pt>
                <c:pt idx="34">
                  <c:v>25637249.02</c:v>
                </c:pt>
                <c:pt idx="35">
                  <c:v>25568053.27</c:v>
                </c:pt>
                <c:pt idx="36">
                  <c:v>25792218.949999999</c:v>
                </c:pt>
                <c:pt idx="37">
                  <c:v>25744095.5</c:v>
                </c:pt>
                <c:pt idx="38">
                  <c:v>26541263.27</c:v>
                </c:pt>
                <c:pt idx="39">
                  <c:v>26739011.27</c:v>
                </c:pt>
                <c:pt idx="40">
                  <c:v>28210743.920000002</c:v>
                </c:pt>
                <c:pt idx="41">
                  <c:v>26875647.539999999</c:v>
                </c:pt>
                <c:pt idx="42">
                  <c:v>27550504.010000002</c:v>
                </c:pt>
                <c:pt idx="43">
                  <c:v>28633824.260000002</c:v>
                </c:pt>
                <c:pt idx="44">
                  <c:v>29004942.59</c:v>
                </c:pt>
                <c:pt idx="45">
                  <c:v>30046828.170000002</c:v>
                </c:pt>
                <c:pt idx="46">
                  <c:v>32215374.16</c:v>
                </c:pt>
                <c:pt idx="47">
                  <c:v>9180041.1300000008</c:v>
                </c:pt>
                <c:pt idx="48">
                  <c:v>7635839.7800000003</c:v>
                </c:pt>
                <c:pt idx="49">
                  <c:v>7643236</c:v>
                </c:pt>
                <c:pt idx="50">
                  <c:v>9198473.3300000001</c:v>
                </c:pt>
                <c:pt idx="51">
                  <c:v>9350856.3000000007</c:v>
                </c:pt>
                <c:pt idx="52">
                  <c:v>10906230.619999999</c:v>
                </c:pt>
                <c:pt idx="53">
                  <c:v>12677002.359999999</c:v>
                </c:pt>
                <c:pt idx="54">
                  <c:v>13874061.32</c:v>
                </c:pt>
                <c:pt idx="55">
                  <c:v>16420216.789999999</c:v>
                </c:pt>
                <c:pt idx="56">
                  <c:v>19510555.920000002</c:v>
                </c:pt>
                <c:pt idx="57">
                  <c:v>22421871.120000001</c:v>
                </c:pt>
                <c:pt idx="58">
                  <c:v>24503216.890000001</c:v>
                </c:pt>
                <c:pt idx="59">
                  <c:v>28142379.690000001</c:v>
                </c:pt>
                <c:pt idx="60">
                  <c:v>31367112.190000001</c:v>
                </c:pt>
                <c:pt idx="61">
                  <c:v>34105017.869999997</c:v>
                </c:pt>
                <c:pt idx="62">
                  <c:v>37216774.850000001</c:v>
                </c:pt>
                <c:pt idx="63">
                  <c:v>40022093.43</c:v>
                </c:pt>
                <c:pt idx="64">
                  <c:v>43071618.939999998</c:v>
                </c:pt>
                <c:pt idx="65">
                  <c:v>46902245.649999999</c:v>
                </c:pt>
                <c:pt idx="66">
                  <c:v>50162515.189999998</c:v>
                </c:pt>
                <c:pt idx="67">
                  <c:v>53804293.75</c:v>
                </c:pt>
                <c:pt idx="68">
                  <c:v>58524575.299999997</c:v>
                </c:pt>
                <c:pt idx="69" formatCode="General">
                  <c:v>0</c:v>
                </c:pt>
                <c:pt idx="70">
                  <c:v>2205865.36</c:v>
                </c:pt>
                <c:pt idx="71">
                  <c:v>2522049.42</c:v>
                </c:pt>
                <c:pt idx="72">
                  <c:v>7022411.9000000004</c:v>
                </c:pt>
                <c:pt idx="73">
                  <c:v>9620448.1400000006</c:v>
                </c:pt>
                <c:pt idx="74">
                  <c:v>11588565.35</c:v>
                </c:pt>
                <c:pt idx="75">
                  <c:v>14585861.560000001</c:v>
                </c:pt>
                <c:pt idx="76">
                  <c:v>17355576.050000001</c:v>
                </c:pt>
                <c:pt idx="77">
                  <c:v>19614443.050000001</c:v>
                </c:pt>
                <c:pt idx="78">
                  <c:v>23278205.91</c:v>
                </c:pt>
                <c:pt idx="79">
                  <c:v>25608160.789999999</c:v>
                </c:pt>
                <c:pt idx="80">
                  <c:v>27272337.050000001</c:v>
                </c:pt>
                <c:pt idx="81">
                  <c:v>30417614.710000001</c:v>
                </c:pt>
                <c:pt idx="82">
                  <c:v>33202513.93</c:v>
                </c:pt>
                <c:pt idx="83">
                  <c:v>25847741.68</c:v>
                </c:pt>
                <c:pt idx="84">
                  <c:v>28446644.940000001</c:v>
                </c:pt>
                <c:pt idx="85">
                  <c:v>31006232.449999999</c:v>
                </c:pt>
                <c:pt idx="86">
                  <c:v>31425021.559999999</c:v>
                </c:pt>
                <c:pt idx="87">
                  <c:v>35972883.740000002</c:v>
                </c:pt>
                <c:pt idx="88">
                  <c:v>38394250.630000003</c:v>
                </c:pt>
                <c:pt idx="89">
                  <c:v>38596782.670000002</c:v>
                </c:pt>
                <c:pt idx="90">
                  <c:v>43025251.850000001</c:v>
                </c:pt>
                <c:pt idx="91">
                  <c:v>43365121.43</c:v>
                </c:pt>
                <c:pt idx="92">
                  <c:v>47958465.310000002</c:v>
                </c:pt>
                <c:pt idx="93">
                  <c:v>50444412.810000002</c:v>
                </c:pt>
                <c:pt idx="94">
                  <c:v>51051568.259999998</c:v>
                </c:pt>
                <c:pt idx="95">
                  <c:v>55386701.240000002</c:v>
                </c:pt>
                <c:pt idx="96">
                  <c:v>58085019.5</c:v>
                </c:pt>
                <c:pt idx="97">
                  <c:v>60644735.619999997</c:v>
                </c:pt>
                <c:pt idx="98">
                  <c:v>62814679.380000003</c:v>
                </c:pt>
                <c:pt idx="99">
                  <c:v>63204822.079999998</c:v>
                </c:pt>
                <c:pt idx="100">
                  <c:v>64930793.479999997</c:v>
                </c:pt>
                <c:pt idx="101">
                  <c:v>67331513.459999993</c:v>
                </c:pt>
                <c:pt idx="102">
                  <c:v>69623725.010000005</c:v>
                </c:pt>
                <c:pt idx="103">
                  <c:v>70188988.230000004</c:v>
                </c:pt>
                <c:pt idx="104">
                  <c:v>74424588.799999997</c:v>
                </c:pt>
                <c:pt idx="105">
                  <c:v>76773954.340000004</c:v>
                </c:pt>
                <c:pt idx="106">
                  <c:v>77399714.689999998</c:v>
                </c:pt>
                <c:pt idx="107">
                  <c:v>81854082.939999998</c:v>
                </c:pt>
                <c:pt idx="108">
                  <c:v>84128011.230000004</c:v>
                </c:pt>
                <c:pt idx="109">
                  <c:v>84921496.010000005</c:v>
                </c:pt>
                <c:pt idx="110">
                  <c:v>90038242.079999998</c:v>
                </c:pt>
                <c:pt idx="111">
                  <c:v>92342530.579999998</c:v>
                </c:pt>
                <c:pt idx="112">
                  <c:v>92010518.480000004</c:v>
                </c:pt>
                <c:pt idx="113">
                  <c:v>96590660.730000004</c:v>
                </c:pt>
                <c:pt idx="114">
                  <c:v>98892978.939999998</c:v>
                </c:pt>
                <c:pt idx="115">
                  <c:v>101272944.47</c:v>
                </c:pt>
                <c:pt idx="116">
                  <c:v>103923914.15000001</c:v>
                </c:pt>
                <c:pt idx="117">
                  <c:v>106475601.59</c:v>
                </c:pt>
                <c:pt idx="118">
                  <c:v>109064743.17</c:v>
                </c:pt>
                <c:pt idx="119">
                  <c:v>112740879.93000001</c:v>
                </c:pt>
                <c:pt idx="120">
                  <c:v>113214005.52</c:v>
                </c:pt>
                <c:pt idx="121">
                  <c:v>118013458.58</c:v>
                </c:pt>
                <c:pt idx="122">
                  <c:v>121594257.51000001</c:v>
                </c:pt>
                <c:pt idx="123">
                  <c:v>122206233.8</c:v>
                </c:pt>
                <c:pt idx="124">
                  <c:v>126735395.20999999</c:v>
                </c:pt>
                <c:pt idx="125">
                  <c:v>129433957.20999999</c:v>
                </c:pt>
                <c:pt idx="126">
                  <c:v>130017402.73999999</c:v>
                </c:pt>
                <c:pt idx="127">
                  <c:v>134602453.12</c:v>
                </c:pt>
                <c:pt idx="128">
                  <c:v>136398142.78999999</c:v>
                </c:pt>
                <c:pt idx="129">
                  <c:v>140916795.19</c:v>
                </c:pt>
                <c:pt idx="130">
                  <c:v>145684405.37</c:v>
                </c:pt>
                <c:pt idx="131">
                  <c:v>147523360.34999999</c:v>
                </c:pt>
                <c:pt idx="132">
                  <c:v>153187114.11000001</c:v>
                </c:pt>
                <c:pt idx="133">
                  <c:v>157587312.38</c:v>
                </c:pt>
                <c:pt idx="134">
                  <c:v>161685583.66999999</c:v>
                </c:pt>
                <c:pt idx="135">
                  <c:v>161693997.30000001</c:v>
                </c:pt>
                <c:pt idx="136">
                  <c:v>169147479.41999999</c:v>
                </c:pt>
                <c:pt idx="137">
                  <c:v>173373092.91</c:v>
                </c:pt>
                <c:pt idx="138">
                  <c:v>178534966.16999999</c:v>
                </c:pt>
                <c:pt idx="139">
                  <c:v>182935061.44</c:v>
                </c:pt>
                <c:pt idx="140">
                  <c:v>186135392.62</c:v>
                </c:pt>
                <c:pt idx="141">
                  <c:v>192927276.87</c:v>
                </c:pt>
                <c:pt idx="142">
                  <c:v>198146068.66999999</c:v>
                </c:pt>
                <c:pt idx="143">
                  <c:v>200100324.28</c:v>
                </c:pt>
                <c:pt idx="144">
                  <c:v>209978468.06999999</c:v>
                </c:pt>
                <c:pt idx="145">
                  <c:v>215908058.09999999</c:v>
                </c:pt>
                <c:pt idx="146">
                  <c:v>217712086.74000001</c:v>
                </c:pt>
                <c:pt idx="147">
                  <c:v>226448853.68000001</c:v>
                </c:pt>
                <c:pt idx="148">
                  <c:v>232206928.74000001</c:v>
                </c:pt>
                <c:pt idx="149">
                  <c:v>234212217.16</c:v>
                </c:pt>
                <c:pt idx="150">
                  <c:v>98302803.810000002</c:v>
                </c:pt>
                <c:pt idx="151">
                  <c:v>105126440.08</c:v>
                </c:pt>
                <c:pt idx="152">
                  <c:v>106359526.92</c:v>
                </c:pt>
                <c:pt idx="153">
                  <c:v>118429589.06999999</c:v>
                </c:pt>
                <c:pt idx="154">
                  <c:v>125064683.81999999</c:v>
                </c:pt>
                <c:pt idx="155">
                  <c:v>132572093.34999999</c:v>
                </c:pt>
                <c:pt idx="156">
                  <c:v>139455838.25</c:v>
                </c:pt>
                <c:pt idx="157">
                  <c:v>146670551.05000001</c:v>
                </c:pt>
                <c:pt idx="158">
                  <c:v>148687320.22</c:v>
                </c:pt>
                <c:pt idx="159">
                  <c:v>160801514.50999999</c:v>
                </c:pt>
                <c:pt idx="160">
                  <c:v>167877705.13</c:v>
                </c:pt>
                <c:pt idx="161">
                  <c:v>168911688.63</c:v>
                </c:pt>
                <c:pt idx="162">
                  <c:v>181768245.30000001</c:v>
                </c:pt>
                <c:pt idx="163">
                  <c:v>187370775.19</c:v>
                </c:pt>
                <c:pt idx="164">
                  <c:v>196814623.03</c:v>
                </c:pt>
                <c:pt idx="165">
                  <c:v>204283645.34999999</c:v>
                </c:pt>
                <c:pt idx="166">
                  <c:v>206453877.61000001</c:v>
                </c:pt>
                <c:pt idx="167">
                  <c:v>219637560.63999999</c:v>
                </c:pt>
                <c:pt idx="168">
                  <c:v>119350612.29000001</c:v>
                </c:pt>
                <c:pt idx="169">
                  <c:v>120023780.69</c:v>
                </c:pt>
                <c:pt idx="170">
                  <c:v>132366181.95</c:v>
                </c:pt>
                <c:pt idx="171">
                  <c:v>138988019.28</c:v>
                </c:pt>
                <c:pt idx="172">
                  <c:v>140320839.09999999</c:v>
                </c:pt>
                <c:pt idx="173">
                  <c:v>154770005.71000001</c:v>
                </c:pt>
                <c:pt idx="174">
                  <c:v>162429340.52000001</c:v>
                </c:pt>
                <c:pt idx="175">
                  <c:v>170315076.69</c:v>
                </c:pt>
                <c:pt idx="176">
                  <c:v>178357960.88</c:v>
                </c:pt>
                <c:pt idx="177">
                  <c:v>184401152.88</c:v>
                </c:pt>
                <c:pt idx="178">
                  <c:v>194436278.15000001</c:v>
                </c:pt>
                <c:pt idx="179">
                  <c:v>202038168.34</c:v>
                </c:pt>
                <c:pt idx="180">
                  <c:v>204065927.97999999</c:v>
                </c:pt>
                <c:pt idx="181">
                  <c:v>211840287.68000001</c:v>
                </c:pt>
                <c:pt idx="182">
                  <c:v>227710478.19</c:v>
                </c:pt>
                <c:pt idx="183">
                  <c:v>231811280.84999999</c:v>
                </c:pt>
                <c:pt idx="184">
                  <c:v>242339485.74000001</c:v>
                </c:pt>
                <c:pt idx="185">
                  <c:v>254881574.5</c:v>
                </c:pt>
                <c:pt idx="186">
                  <c:v>255451443.78</c:v>
                </c:pt>
                <c:pt idx="187">
                  <c:v>262171988.56999999</c:v>
                </c:pt>
                <c:pt idx="188">
                  <c:v>267973428.18000001</c:v>
                </c:pt>
                <c:pt idx="189">
                  <c:v>267724871.90000001</c:v>
                </c:pt>
                <c:pt idx="190">
                  <c:v>275885606.69999999</c:v>
                </c:pt>
                <c:pt idx="191">
                  <c:v>288598502.31999999</c:v>
                </c:pt>
                <c:pt idx="192">
                  <c:v>292947689.31</c:v>
                </c:pt>
                <c:pt idx="193">
                  <c:v>304761484.37</c:v>
                </c:pt>
                <c:pt idx="194">
                  <c:v>308945797.63999999</c:v>
                </c:pt>
                <c:pt idx="195">
                  <c:v>312208288.24000001</c:v>
                </c:pt>
                <c:pt idx="196">
                  <c:v>327153553.97000003</c:v>
                </c:pt>
                <c:pt idx="197">
                  <c:v>334070623.83999997</c:v>
                </c:pt>
                <c:pt idx="198">
                  <c:v>334517742.88999999</c:v>
                </c:pt>
                <c:pt idx="199">
                  <c:v>162882925.66</c:v>
                </c:pt>
                <c:pt idx="200">
                  <c:v>174059743.40000001</c:v>
                </c:pt>
                <c:pt idx="201">
                  <c:v>183396759.55000001</c:v>
                </c:pt>
                <c:pt idx="202">
                  <c:v>189587035.62</c:v>
                </c:pt>
                <c:pt idx="203">
                  <c:v>195554967.41999999</c:v>
                </c:pt>
                <c:pt idx="204">
                  <c:v>207691155.72999999</c:v>
                </c:pt>
                <c:pt idx="205">
                  <c:v>234269725.56999999</c:v>
                </c:pt>
                <c:pt idx="206">
                  <c:v>245398578.61000004</c:v>
                </c:pt>
              </c:numCache>
            </c:numRef>
          </c:val>
          <c:extLst>
            <c:ext xmlns:c16="http://schemas.microsoft.com/office/drawing/2014/chart" uri="{C3380CC4-5D6E-409C-BE32-E72D297353CC}">
              <c16:uniqueId val="{00000000-7049-4BCB-B3D9-2AAE8F50EDCA}"/>
            </c:ext>
          </c:extLst>
        </c:ser>
        <c:ser>
          <c:idx val="1"/>
          <c:order val="1"/>
          <c:tx>
            <c:strRef>
              <c:f>SP_2!$C$1</c:f>
              <c:strCache>
                <c:ptCount val="1"/>
                <c:pt idx="0">
                  <c:v>Zdravotnícke zariadenia po prevode na VÚC, obce, mestá + n.o. (V)</c:v>
                </c:pt>
              </c:strCache>
            </c:strRef>
          </c:tx>
          <c:spPr>
            <a:solidFill>
              <a:schemeClr val="accent2"/>
            </a:solidFill>
            <a:ln>
              <a:noFill/>
            </a:ln>
            <a:effectLst/>
          </c:spPr>
          <c:invertIfNegative val="0"/>
          <c:cat>
            <c:numRef>
              <c:f>SP_2!$A$2:$A$208</c:f>
              <c:numCache>
                <c:formatCode>[$-41B]mmmm\ yyyy;@</c:formatCode>
                <c:ptCount val="207"/>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numCache>
            </c:numRef>
          </c:cat>
          <c:val>
            <c:numRef>
              <c:f>SP_2!$C$2:$C$208</c:f>
              <c:numCache>
                <c:formatCode>#,##0.00</c:formatCode>
                <c:ptCount val="207"/>
                <c:pt idx="0">
                  <c:v>17932916.100000001</c:v>
                </c:pt>
                <c:pt idx="1">
                  <c:v>17732684.899999999</c:v>
                </c:pt>
                <c:pt idx="2">
                  <c:v>17339082.07</c:v>
                </c:pt>
                <c:pt idx="3">
                  <c:v>16589566.59</c:v>
                </c:pt>
                <c:pt idx="4">
                  <c:v>16339715.91</c:v>
                </c:pt>
                <c:pt idx="5">
                  <c:v>16445997.67</c:v>
                </c:pt>
                <c:pt idx="6">
                  <c:v>16116045.77</c:v>
                </c:pt>
                <c:pt idx="7">
                  <c:v>15881508.619999999</c:v>
                </c:pt>
                <c:pt idx="8">
                  <c:v>15677125.4</c:v>
                </c:pt>
                <c:pt idx="9">
                  <c:v>15660617.59</c:v>
                </c:pt>
                <c:pt idx="10">
                  <c:v>15852401.619999999</c:v>
                </c:pt>
                <c:pt idx="11">
                  <c:v>15175726.35</c:v>
                </c:pt>
                <c:pt idx="12">
                  <c:v>14388166.67</c:v>
                </c:pt>
                <c:pt idx="13">
                  <c:v>14492549.92</c:v>
                </c:pt>
                <c:pt idx="14">
                  <c:v>14053947.880000001</c:v>
                </c:pt>
                <c:pt idx="15">
                  <c:v>13695262.57</c:v>
                </c:pt>
                <c:pt idx="16">
                  <c:v>13580388.25</c:v>
                </c:pt>
                <c:pt idx="17">
                  <c:v>13435471.529999999</c:v>
                </c:pt>
                <c:pt idx="18">
                  <c:v>13253356.75</c:v>
                </c:pt>
                <c:pt idx="19">
                  <c:v>13094627.93</c:v>
                </c:pt>
                <c:pt idx="20">
                  <c:v>13220627.9</c:v>
                </c:pt>
                <c:pt idx="21">
                  <c:v>13325736.279999999</c:v>
                </c:pt>
                <c:pt idx="22">
                  <c:v>13085692.16</c:v>
                </c:pt>
                <c:pt idx="23">
                  <c:v>12643713.52</c:v>
                </c:pt>
                <c:pt idx="24">
                  <c:v>10044622.85</c:v>
                </c:pt>
                <c:pt idx="25">
                  <c:v>10135207.859999999</c:v>
                </c:pt>
                <c:pt idx="26">
                  <c:v>10454007.140000001</c:v>
                </c:pt>
                <c:pt idx="27">
                  <c:v>10662916.83</c:v>
                </c:pt>
                <c:pt idx="28">
                  <c:v>10918337.970000001</c:v>
                </c:pt>
                <c:pt idx="29">
                  <c:v>11145585.34</c:v>
                </c:pt>
                <c:pt idx="30">
                  <c:v>11365805.029999999</c:v>
                </c:pt>
                <c:pt idx="31">
                  <c:v>11475580.42</c:v>
                </c:pt>
                <c:pt idx="32">
                  <c:v>11842260.51</c:v>
                </c:pt>
                <c:pt idx="33">
                  <c:v>12356007.189999999</c:v>
                </c:pt>
                <c:pt idx="34">
                  <c:v>12320106.869999999</c:v>
                </c:pt>
                <c:pt idx="35">
                  <c:v>12435809.529999999</c:v>
                </c:pt>
                <c:pt idx="36">
                  <c:v>13052755.109999999</c:v>
                </c:pt>
                <c:pt idx="37">
                  <c:v>13000770.560000001</c:v>
                </c:pt>
                <c:pt idx="38">
                  <c:v>13628918.1</c:v>
                </c:pt>
                <c:pt idx="39">
                  <c:v>14148004.140000001</c:v>
                </c:pt>
                <c:pt idx="40">
                  <c:v>14091180.35</c:v>
                </c:pt>
                <c:pt idx="41">
                  <c:v>14837710.02</c:v>
                </c:pt>
                <c:pt idx="42">
                  <c:v>14843664.220000001</c:v>
                </c:pt>
                <c:pt idx="43">
                  <c:v>15317610.310000001</c:v>
                </c:pt>
                <c:pt idx="44">
                  <c:v>15509105.810000001</c:v>
                </c:pt>
                <c:pt idx="45">
                  <c:v>16029582.41</c:v>
                </c:pt>
                <c:pt idx="46">
                  <c:v>16269746.32</c:v>
                </c:pt>
                <c:pt idx="47">
                  <c:v>8951403.2200000007</c:v>
                </c:pt>
                <c:pt idx="48">
                  <c:v>9326118.3000000007</c:v>
                </c:pt>
                <c:pt idx="49">
                  <c:v>9123922.8800000008</c:v>
                </c:pt>
                <c:pt idx="50">
                  <c:v>10129508.720000001</c:v>
                </c:pt>
                <c:pt idx="51">
                  <c:v>9705980.1600000001</c:v>
                </c:pt>
                <c:pt idx="52">
                  <c:v>10134619.58</c:v>
                </c:pt>
                <c:pt idx="53">
                  <c:v>10605377.359999999</c:v>
                </c:pt>
                <c:pt idx="54">
                  <c:v>10558308.449999999</c:v>
                </c:pt>
                <c:pt idx="55">
                  <c:v>11334883.99</c:v>
                </c:pt>
                <c:pt idx="56">
                  <c:v>11847678.109999999</c:v>
                </c:pt>
                <c:pt idx="57">
                  <c:v>11561066.84</c:v>
                </c:pt>
                <c:pt idx="58">
                  <c:v>12862487.15</c:v>
                </c:pt>
                <c:pt idx="59">
                  <c:v>13610845.859999999</c:v>
                </c:pt>
                <c:pt idx="60">
                  <c:v>13773549.66</c:v>
                </c:pt>
                <c:pt idx="61">
                  <c:v>14317342.130000001</c:v>
                </c:pt>
                <c:pt idx="62">
                  <c:v>14530534.279999999</c:v>
                </c:pt>
                <c:pt idx="63">
                  <c:v>14506324.220000001</c:v>
                </c:pt>
                <c:pt idx="64">
                  <c:v>15292576.66</c:v>
                </c:pt>
                <c:pt idx="65">
                  <c:v>15468865.119999999</c:v>
                </c:pt>
                <c:pt idx="66">
                  <c:v>15284436.880000001</c:v>
                </c:pt>
                <c:pt idx="67">
                  <c:v>15994479.789999999</c:v>
                </c:pt>
                <c:pt idx="68">
                  <c:v>16134369.23</c:v>
                </c:pt>
                <c:pt idx="69">
                  <c:v>16576841.779999999</c:v>
                </c:pt>
                <c:pt idx="70">
                  <c:v>16722768.48</c:v>
                </c:pt>
                <c:pt idx="71">
                  <c:v>16288778.529999999</c:v>
                </c:pt>
                <c:pt idx="72">
                  <c:v>16790598.120000001</c:v>
                </c:pt>
                <c:pt idx="73">
                  <c:v>17210856.010000002</c:v>
                </c:pt>
                <c:pt idx="74">
                  <c:v>17347588.640000001</c:v>
                </c:pt>
                <c:pt idx="75">
                  <c:v>18298871.039999999</c:v>
                </c:pt>
                <c:pt idx="76">
                  <c:v>18947135.27</c:v>
                </c:pt>
                <c:pt idx="77">
                  <c:v>18889281.219999999</c:v>
                </c:pt>
                <c:pt idx="78">
                  <c:v>20130682.920000002</c:v>
                </c:pt>
                <c:pt idx="79">
                  <c:v>20704600.52</c:v>
                </c:pt>
                <c:pt idx="80">
                  <c:v>20665023.98</c:v>
                </c:pt>
                <c:pt idx="81">
                  <c:v>21691106.640000001</c:v>
                </c:pt>
                <c:pt idx="82">
                  <c:v>22348457.84</c:v>
                </c:pt>
                <c:pt idx="83">
                  <c:v>22863194.809999999</c:v>
                </c:pt>
                <c:pt idx="84">
                  <c:v>23436297.09</c:v>
                </c:pt>
                <c:pt idx="85">
                  <c:v>24123191.399999999</c:v>
                </c:pt>
                <c:pt idx="86">
                  <c:v>24168915.52</c:v>
                </c:pt>
                <c:pt idx="87">
                  <c:v>25586657.59</c:v>
                </c:pt>
                <c:pt idx="88">
                  <c:v>26169717.739999998</c:v>
                </c:pt>
                <c:pt idx="89">
                  <c:v>25544452.57</c:v>
                </c:pt>
                <c:pt idx="90">
                  <c:v>27041202.690000001</c:v>
                </c:pt>
                <c:pt idx="91">
                  <c:v>27309696.170000002</c:v>
                </c:pt>
                <c:pt idx="92">
                  <c:v>28653223.370000001</c:v>
                </c:pt>
                <c:pt idx="93">
                  <c:v>29486332.82</c:v>
                </c:pt>
                <c:pt idx="94">
                  <c:v>29799067.879999999</c:v>
                </c:pt>
                <c:pt idx="95">
                  <c:v>30941701.120000001</c:v>
                </c:pt>
                <c:pt idx="96">
                  <c:v>31615641.32</c:v>
                </c:pt>
                <c:pt idx="97">
                  <c:v>32208660.920000002</c:v>
                </c:pt>
                <c:pt idx="98">
                  <c:v>32852183.280000001</c:v>
                </c:pt>
                <c:pt idx="99">
                  <c:v>33432684.77</c:v>
                </c:pt>
                <c:pt idx="100">
                  <c:v>33719278.57</c:v>
                </c:pt>
                <c:pt idx="101">
                  <c:v>34694563.18</c:v>
                </c:pt>
                <c:pt idx="102">
                  <c:v>35214644.380000003</c:v>
                </c:pt>
                <c:pt idx="103">
                  <c:v>35493791.859999999</c:v>
                </c:pt>
                <c:pt idx="104">
                  <c:v>36453161.689999998</c:v>
                </c:pt>
                <c:pt idx="105">
                  <c:v>37184094.990000002</c:v>
                </c:pt>
                <c:pt idx="106">
                  <c:v>37585252.890000001</c:v>
                </c:pt>
                <c:pt idx="107">
                  <c:v>38430140.530000001</c:v>
                </c:pt>
                <c:pt idx="108">
                  <c:v>38814440.909999996</c:v>
                </c:pt>
                <c:pt idx="109">
                  <c:v>39650926.140000001</c:v>
                </c:pt>
                <c:pt idx="110">
                  <c:v>40645145.630000003</c:v>
                </c:pt>
                <c:pt idx="111">
                  <c:v>41062278.68</c:v>
                </c:pt>
                <c:pt idx="112">
                  <c:v>40975106.159999996</c:v>
                </c:pt>
                <c:pt idx="113">
                  <c:v>41518708.729999997</c:v>
                </c:pt>
                <c:pt idx="114">
                  <c:v>38405468.18</c:v>
                </c:pt>
                <c:pt idx="115">
                  <c:v>38874206.32</c:v>
                </c:pt>
                <c:pt idx="116">
                  <c:v>38998742.18</c:v>
                </c:pt>
                <c:pt idx="117">
                  <c:v>39288398.770000003</c:v>
                </c:pt>
                <c:pt idx="118">
                  <c:v>40318738.369999997</c:v>
                </c:pt>
                <c:pt idx="119">
                  <c:v>40853068.170000002</c:v>
                </c:pt>
                <c:pt idx="120">
                  <c:v>41088337.479999997</c:v>
                </c:pt>
                <c:pt idx="121">
                  <c:v>41988021.350000001</c:v>
                </c:pt>
                <c:pt idx="122">
                  <c:v>42608364.409999996</c:v>
                </c:pt>
                <c:pt idx="123">
                  <c:v>42975994.119999997</c:v>
                </c:pt>
                <c:pt idx="124">
                  <c:v>43735521.439999998</c:v>
                </c:pt>
                <c:pt idx="125">
                  <c:v>44185755.93</c:v>
                </c:pt>
                <c:pt idx="126">
                  <c:v>44562842.140000001</c:v>
                </c:pt>
                <c:pt idx="127">
                  <c:v>45250983.270000003</c:v>
                </c:pt>
                <c:pt idx="128">
                  <c:v>45848130.25</c:v>
                </c:pt>
                <c:pt idx="129">
                  <c:v>46426262.960000001</c:v>
                </c:pt>
                <c:pt idx="130">
                  <c:v>47024459.240000002</c:v>
                </c:pt>
                <c:pt idx="131">
                  <c:v>47176400.979999997</c:v>
                </c:pt>
                <c:pt idx="132">
                  <c:v>48394267.600000001</c:v>
                </c:pt>
                <c:pt idx="133">
                  <c:v>49395557.159999996</c:v>
                </c:pt>
                <c:pt idx="134">
                  <c:v>50149536.25</c:v>
                </c:pt>
                <c:pt idx="135">
                  <c:v>50689731.060000002</c:v>
                </c:pt>
                <c:pt idx="136">
                  <c:v>51507814.659999996</c:v>
                </c:pt>
                <c:pt idx="137">
                  <c:v>52078365.979999997</c:v>
                </c:pt>
                <c:pt idx="138">
                  <c:v>52677980.020000003</c:v>
                </c:pt>
                <c:pt idx="139">
                  <c:v>53358343.840000004</c:v>
                </c:pt>
                <c:pt idx="140">
                  <c:v>53826313.219999999</c:v>
                </c:pt>
                <c:pt idx="141">
                  <c:v>54665525.920000002</c:v>
                </c:pt>
                <c:pt idx="142">
                  <c:v>55324110.189999998</c:v>
                </c:pt>
                <c:pt idx="143">
                  <c:v>55774800.909999996</c:v>
                </c:pt>
                <c:pt idx="144">
                  <c:v>56615697.590000004</c:v>
                </c:pt>
                <c:pt idx="145">
                  <c:v>57349570.82</c:v>
                </c:pt>
                <c:pt idx="146">
                  <c:v>57833177.909999996</c:v>
                </c:pt>
                <c:pt idx="147">
                  <c:v>58503717.590000004</c:v>
                </c:pt>
                <c:pt idx="148">
                  <c:v>59102481.520000003</c:v>
                </c:pt>
                <c:pt idx="149">
                  <c:v>59588836.789999999</c:v>
                </c:pt>
                <c:pt idx="150">
                  <c:v>13592351.810000001</c:v>
                </c:pt>
                <c:pt idx="151">
                  <c:v>14073646.18</c:v>
                </c:pt>
                <c:pt idx="152">
                  <c:v>14472668.369999999</c:v>
                </c:pt>
                <c:pt idx="153">
                  <c:v>14907570.59</c:v>
                </c:pt>
                <c:pt idx="154">
                  <c:v>15317582.800000001</c:v>
                </c:pt>
                <c:pt idx="155">
                  <c:v>15949631.109999999</c:v>
                </c:pt>
                <c:pt idx="156">
                  <c:v>16543717.02</c:v>
                </c:pt>
                <c:pt idx="157">
                  <c:v>17111767.079999998</c:v>
                </c:pt>
                <c:pt idx="158">
                  <c:v>17597766.289999999</c:v>
                </c:pt>
                <c:pt idx="159">
                  <c:v>18340565.870000001</c:v>
                </c:pt>
                <c:pt idx="160">
                  <c:v>18769190.399999999</c:v>
                </c:pt>
                <c:pt idx="161">
                  <c:v>19107011.670000002</c:v>
                </c:pt>
                <c:pt idx="162">
                  <c:v>19755739.879999999</c:v>
                </c:pt>
                <c:pt idx="163">
                  <c:v>20084780.170000002</c:v>
                </c:pt>
                <c:pt idx="164">
                  <c:v>21010884.350000001</c:v>
                </c:pt>
                <c:pt idx="165">
                  <c:v>21628025.690000001</c:v>
                </c:pt>
                <c:pt idx="166">
                  <c:v>22246988.859999999</c:v>
                </c:pt>
                <c:pt idx="167">
                  <c:v>22916688.84</c:v>
                </c:pt>
                <c:pt idx="168">
                  <c:v>9764632.8900000006</c:v>
                </c:pt>
                <c:pt idx="169">
                  <c:v>10375065.66</c:v>
                </c:pt>
                <c:pt idx="170">
                  <c:v>11566857.02</c:v>
                </c:pt>
                <c:pt idx="171">
                  <c:v>12532777.140000001</c:v>
                </c:pt>
                <c:pt idx="172">
                  <c:v>12960097.32</c:v>
                </c:pt>
                <c:pt idx="173">
                  <c:v>13898882.789999999</c:v>
                </c:pt>
                <c:pt idx="174">
                  <c:v>14568999.02</c:v>
                </c:pt>
                <c:pt idx="175">
                  <c:v>15143360.529999999</c:v>
                </c:pt>
                <c:pt idx="176">
                  <c:v>15818889.74</c:v>
                </c:pt>
                <c:pt idx="177">
                  <c:v>16365104.07</c:v>
                </c:pt>
                <c:pt idx="178">
                  <c:v>17132139.449999999</c:v>
                </c:pt>
                <c:pt idx="179">
                  <c:v>17824150.039999999</c:v>
                </c:pt>
                <c:pt idx="180">
                  <c:v>18378169.289999999</c:v>
                </c:pt>
                <c:pt idx="181">
                  <c:v>18821404.789999999</c:v>
                </c:pt>
                <c:pt idx="182">
                  <c:v>20381717.66</c:v>
                </c:pt>
                <c:pt idx="183">
                  <c:v>21347601.510000002</c:v>
                </c:pt>
                <c:pt idx="184">
                  <c:v>22303238.899999999</c:v>
                </c:pt>
                <c:pt idx="185">
                  <c:v>23177953.789999999</c:v>
                </c:pt>
                <c:pt idx="186">
                  <c:v>23834651.66</c:v>
                </c:pt>
                <c:pt idx="187">
                  <c:v>24533341.530000001</c:v>
                </c:pt>
                <c:pt idx="188">
                  <c:v>25319547.34</c:v>
                </c:pt>
                <c:pt idx="189">
                  <c:v>26110837.120000001</c:v>
                </c:pt>
                <c:pt idx="190">
                  <c:v>26887009.18</c:v>
                </c:pt>
                <c:pt idx="191">
                  <c:v>27751673.010000002</c:v>
                </c:pt>
                <c:pt idx="192">
                  <c:v>28583230.059999999</c:v>
                </c:pt>
                <c:pt idx="193">
                  <c:v>29416069.829999998</c:v>
                </c:pt>
                <c:pt idx="194">
                  <c:v>30349579.739999998</c:v>
                </c:pt>
                <c:pt idx="195">
                  <c:v>30966140.77</c:v>
                </c:pt>
                <c:pt idx="196">
                  <c:v>31990984.949999999</c:v>
                </c:pt>
                <c:pt idx="197">
                  <c:v>32805338.300000001</c:v>
                </c:pt>
                <c:pt idx="198">
                  <c:v>33279446.530000001</c:v>
                </c:pt>
                <c:pt idx="199">
                  <c:v>18868688.52</c:v>
                </c:pt>
                <c:pt idx="200">
                  <c:v>19584383.57</c:v>
                </c:pt>
                <c:pt idx="201">
                  <c:v>20388416.489999998</c:v>
                </c:pt>
                <c:pt idx="202">
                  <c:v>21216604.640000001</c:v>
                </c:pt>
                <c:pt idx="203">
                  <c:v>21854945.109999999</c:v>
                </c:pt>
                <c:pt idx="204">
                  <c:v>22666733.800000001</c:v>
                </c:pt>
                <c:pt idx="205">
                  <c:v>23593159.149999999</c:v>
                </c:pt>
                <c:pt idx="206">
                  <c:v>24366675.060000002</c:v>
                </c:pt>
              </c:numCache>
            </c:numRef>
          </c:val>
          <c:extLst>
            <c:ext xmlns:c16="http://schemas.microsoft.com/office/drawing/2014/chart" uri="{C3380CC4-5D6E-409C-BE32-E72D297353CC}">
              <c16:uniqueId val="{00000001-7049-4BCB-B3D9-2AAE8F50EDCA}"/>
            </c:ext>
          </c:extLst>
        </c:ser>
        <c:dLbls>
          <c:showLegendKey val="0"/>
          <c:showVal val="0"/>
          <c:showCatName val="0"/>
          <c:showSerName val="0"/>
          <c:showPercent val="0"/>
          <c:showBubbleSize val="0"/>
        </c:dLbls>
        <c:gapWidth val="100"/>
        <c:overlap val="100"/>
        <c:axId val="1058532528"/>
        <c:axId val="1058526704"/>
      </c:barChart>
      <c:dateAx>
        <c:axId val="1058532528"/>
        <c:scaling>
          <c:orientation val="minMax"/>
        </c:scaling>
        <c:delete val="0"/>
        <c:axPos val="b"/>
        <c:numFmt formatCode="yy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58526704"/>
        <c:crosses val="autoZero"/>
        <c:auto val="1"/>
        <c:lblOffset val="100"/>
        <c:baseTimeUnit val="months"/>
      </c:dateAx>
      <c:valAx>
        <c:axId val="1058526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58532528"/>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no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(2)'!$B$25</c:f>
              <c:strCache>
                <c:ptCount val="1"/>
                <c:pt idx="0">
                  <c:v>Rozpočet</c:v>
                </c:pt>
              </c:strCache>
            </c:strRef>
          </c:tx>
          <c:spPr>
            <a:solidFill>
              <a:schemeClr val="accent1"/>
            </a:solidFill>
            <a:ln>
              <a:noFill/>
            </a:ln>
            <a:effectLst/>
          </c:spPr>
          <c:invertIfNegative val="0"/>
          <c:cat>
            <c:strRef>
              <c:f>'Sheet1 (2)'!$A$26:$A$29</c:f>
              <c:strCache>
                <c:ptCount val="4"/>
                <c:pt idx="0">
                  <c:v>Hospodárska mobilizácia</c:v>
                </c:pt>
                <c:pt idx="1">
                  <c:v>Prevencia a ochrana zdravia</c:v>
                </c:pt>
                <c:pt idx="2">
                  <c:v>Zdravotná starostlivosť</c:v>
                </c:pt>
                <c:pt idx="3">
                  <c:v>Tvorba a implementácia politík</c:v>
                </c:pt>
              </c:strCache>
            </c:strRef>
          </c:cat>
          <c:val>
            <c:numRef>
              <c:f>'Sheet1 (2)'!$B$26:$B$29</c:f>
              <c:numCache>
                <c:formatCode>0.0</c:formatCode>
                <c:ptCount val="4"/>
                <c:pt idx="0">
                  <c:v>1.5</c:v>
                </c:pt>
                <c:pt idx="1">
                  <c:v>65.644842999999995</c:v>
                </c:pt>
                <c:pt idx="2">
                  <c:v>1346.0561729999999</c:v>
                </c:pt>
                <c:pt idx="3">
                  <c:v>188.36514700000001</c:v>
                </c:pt>
              </c:numCache>
            </c:numRef>
          </c:val>
          <c:extLst>
            <c:ext xmlns:c16="http://schemas.microsoft.com/office/drawing/2014/chart" uri="{C3380CC4-5D6E-409C-BE32-E72D297353CC}">
              <c16:uniqueId val="{00000000-89D3-43E6-909B-0CC1096641B3}"/>
            </c:ext>
          </c:extLst>
        </c:ser>
        <c:ser>
          <c:idx val="2"/>
          <c:order val="1"/>
          <c:tx>
            <c:strRef>
              <c:f>'Sheet1 (2)'!$D$25</c:f>
              <c:strCache>
                <c:ptCount val="1"/>
                <c:pt idx="0">
                  <c:v>Skutočnosť</c:v>
                </c:pt>
              </c:strCache>
            </c:strRef>
          </c:tx>
          <c:spPr>
            <a:solidFill>
              <a:schemeClr val="accent3"/>
            </a:solidFill>
            <a:ln>
              <a:noFill/>
            </a:ln>
            <a:effectLst/>
          </c:spPr>
          <c:invertIfNegative val="0"/>
          <c:cat>
            <c:strRef>
              <c:f>'Sheet1 (2)'!$A$26:$A$29</c:f>
              <c:strCache>
                <c:ptCount val="4"/>
                <c:pt idx="0">
                  <c:v>Hospodárska mobilizácia</c:v>
                </c:pt>
                <c:pt idx="1">
                  <c:v>Prevencia a ochrana zdravia</c:v>
                </c:pt>
                <c:pt idx="2">
                  <c:v>Zdravotná starostlivosť</c:v>
                </c:pt>
                <c:pt idx="3">
                  <c:v>Tvorba a implementácia politík</c:v>
                </c:pt>
              </c:strCache>
            </c:strRef>
          </c:cat>
          <c:val>
            <c:numRef>
              <c:f>'Sheet1 (2)'!$D$26:$D$29</c:f>
              <c:numCache>
                <c:formatCode>0.0</c:formatCode>
                <c:ptCount val="4"/>
                <c:pt idx="0">
                  <c:v>92.301352480000006</c:v>
                </c:pt>
                <c:pt idx="1">
                  <c:v>70.828058909999996</c:v>
                </c:pt>
                <c:pt idx="2">
                  <c:v>1344.5343341199998</c:v>
                </c:pt>
                <c:pt idx="3">
                  <c:v>705.83502648000001</c:v>
                </c:pt>
              </c:numCache>
            </c:numRef>
          </c:val>
          <c:extLst>
            <c:ext xmlns:c16="http://schemas.microsoft.com/office/drawing/2014/chart" uri="{C3380CC4-5D6E-409C-BE32-E72D297353CC}">
              <c16:uniqueId val="{00000001-89D3-43E6-909B-0CC1096641B3}"/>
            </c:ext>
          </c:extLst>
        </c:ser>
        <c:dLbls>
          <c:showLegendKey val="0"/>
          <c:showVal val="0"/>
          <c:showCatName val="0"/>
          <c:showSerName val="0"/>
          <c:showPercent val="0"/>
          <c:showBubbleSize val="0"/>
        </c:dLbls>
        <c:gapWidth val="100"/>
        <c:axId val="2128966624"/>
        <c:axId val="2128968704"/>
      </c:barChart>
      <c:lineChart>
        <c:grouping val="standard"/>
        <c:varyColors val="0"/>
        <c:ser>
          <c:idx val="3"/>
          <c:order val="2"/>
          <c:tx>
            <c:strRef>
              <c:f>'Sheet1 (2)'!$E$25</c:f>
              <c:strCache>
                <c:ptCount val="1"/>
                <c:pt idx="0">
                  <c:v>% čerpania (pravá os)</c:v>
                </c:pt>
              </c:strCache>
            </c:strRef>
          </c:tx>
          <c:spPr>
            <a:ln w="28575" cap="rnd">
              <a:noFill/>
              <a:round/>
            </a:ln>
            <a:effectLst/>
          </c:spPr>
          <c:marker>
            <c:symbol val="diamond"/>
            <c:size val="5"/>
            <c:spPr>
              <a:solidFill>
                <a:schemeClr val="accent6"/>
              </a:solidFill>
              <a:ln w="9525">
                <a:solidFill>
                  <a:schemeClr val="accent6"/>
                </a:solidFill>
              </a:ln>
              <a:effectLst/>
            </c:spPr>
          </c:marker>
          <c:cat>
            <c:strRef>
              <c:f>'Sheet1 (2)'!$A$26:$A$29</c:f>
              <c:strCache>
                <c:ptCount val="4"/>
                <c:pt idx="0">
                  <c:v>Hospodárska mobilizácia</c:v>
                </c:pt>
                <c:pt idx="1">
                  <c:v>Prevencia a ochrana zdravia</c:v>
                </c:pt>
                <c:pt idx="2">
                  <c:v>Zdravotná starostlivosť</c:v>
                </c:pt>
                <c:pt idx="3">
                  <c:v>Tvorba a implementácia politík</c:v>
                </c:pt>
              </c:strCache>
            </c:strRef>
          </c:cat>
          <c:val>
            <c:numRef>
              <c:f>'Sheet1 (2)'!$E$26:$E$29</c:f>
              <c:numCache>
                <c:formatCode>0.0</c:formatCode>
                <c:ptCount val="4"/>
                <c:pt idx="1">
                  <c:v>107.89584630433194</c:v>
                </c:pt>
                <c:pt idx="2">
                  <c:v>99.886940908520302</c:v>
                </c:pt>
                <c:pt idx="3">
                  <c:v>374.71636219411653</c:v>
                </c:pt>
              </c:numCache>
            </c:numRef>
          </c:val>
          <c:smooth val="0"/>
          <c:extLst>
            <c:ext xmlns:c16="http://schemas.microsoft.com/office/drawing/2014/chart" uri="{C3380CC4-5D6E-409C-BE32-E72D297353CC}">
              <c16:uniqueId val="{00000002-89D3-43E6-909B-0CC1096641B3}"/>
            </c:ext>
          </c:extLst>
        </c:ser>
        <c:dLbls>
          <c:showLegendKey val="0"/>
          <c:showVal val="0"/>
          <c:showCatName val="0"/>
          <c:showSerName val="0"/>
          <c:showPercent val="0"/>
          <c:showBubbleSize val="0"/>
        </c:dLbls>
        <c:marker val="1"/>
        <c:smooth val="0"/>
        <c:axId val="2137781440"/>
        <c:axId val="2137781856"/>
      </c:lineChart>
      <c:catAx>
        <c:axId val="212896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128968704"/>
        <c:crosses val="autoZero"/>
        <c:auto val="1"/>
        <c:lblAlgn val="ctr"/>
        <c:lblOffset val="100"/>
        <c:noMultiLvlLbl val="0"/>
      </c:catAx>
      <c:valAx>
        <c:axId val="2128968704"/>
        <c:scaling>
          <c:orientation val="minMax"/>
          <c:max val="14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128966624"/>
        <c:crosses val="autoZero"/>
        <c:crossBetween val="between"/>
      </c:valAx>
      <c:valAx>
        <c:axId val="2137781856"/>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137781440"/>
        <c:crosses val="max"/>
        <c:crossBetween val="between"/>
      </c:valAx>
      <c:catAx>
        <c:axId val="2137781440"/>
        <c:scaling>
          <c:orientation val="minMax"/>
        </c:scaling>
        <c:delete val="1"/>
        <c:axPos val="b"/>
        <c:numFmt formatCode="General" sourceLinked="1"/>
        <c:majorTickMark val="out"/>
        <c:minorTickMark val="none"/>
        <c:tickLblPos val="nextTo"/>
        <c:crossAx val="2137781856"/>
        <c:crossesAt val="1"/>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vývoj!$B$34</c:f>
              <c:strCache>
                <c:ptCount val="1"/>
                <c:pt idx="0">
                  <c:v>Zdravotná starostlivosť</c:v>
                </c:pt>
              </c:strCache>
            </c:strRef>
          </c:tx>
          <c:spPr>
            <a:solidFill>
              <a:schemeClr val="accent1"/>
            </a:solidFill>
            <a:ln>
              <a:noFill/>
            </a:ln>
            <a:effectLst/>
          </c:spPr>
          <c:cat>
            <c:strRef>
              <c:f>vývoj!$C$33:$G$33</c:f>
              <c:strCache>
                <c:ptCount val="5"/>
                <c:pt idx="0">
                  <c:v>2018</c:v>
                </c:pt>
                <c:pt idx="1">
                  <c:v>2019</c:v>
                </c:pt>
                <c:pt idx="2">
                  <c:v>2020</c:v>
                </c:pt>
                <c:pt idx="3">
                  <c:v>2021</c:v>
                </c:pt>
                <c:pt idx="4">
                  <c:v>2022</c:v>
                </c:pt>
              </c:strCache>
            </c:strRef>
          </c:cat>
          <c:val>
            <c:numRef>
              <c:f>vývoj!$C$34:$G$34</c:f>
              <c:numCache>
                <c:formatCode>#\ ##0.0</c:formatCode>
                <c:ptCount val="5"/>
                <c:pt idx="0">
                  <c:v>1279.93552757</c:v>
                </c:pt>
                <c:pt idx="1">
                  <c:v>1373.8730136700001</c:v>
                </c:pt>
                <c:pt idx="2">
                  <c:v>1259.5003690799999</c:v>
                </c:pt>
                <c:pt idx="3">
                  <c:v>1377.9197956400001</c:v>
                </c:pt>
                <c:pt idx="4">
                  <c:v>1344.5343341199998</c:v>
                </c:pt>
              </c:numCache>
            </c:numRef>
          </c:val>
          <c:extLst>
            <c:ext xmlns:c16="http://schemas.microsoft.com/office/drawing/2014/chart" uri="{C3380CC4-5D6E-409C-BE32-E72D297353CC}">
              <c16:uniqueId val="{00000000-F512-4635-9779-169B90A119E2}"/>
            </c:ext>
          </c:extLst>
        </c:ser>
        <c:ser>
          <c:idx val="1"/>
          <c:order val="1"/>
          <c:tx>
            <c:strRef>
              <c:f>vývoj!$B$35</c:f>
              <c:strCache>
                <c:ptCount val="1"/>
                <c:pt idx="0">
                  <c:v>Tvorba a implementácia politík</c:v>
                </c:pt>
              </c:strCache>
            </c:strRef>
          </c:tx>
          <c:spPr>
            <a:solidFill>
              <a:schemeClr val="accent2"/>
            </a:solidFill>
            <a:ln>
              <a:noFill/>
            </a:ln>
            <a:effectLst/>
          </c:spPr>
          <c:cat>
            <c:strRef>
              <c:f>vývoj!$C$33:$G$33</c:f>
              <c:strCache>
                <c:ptCount val="5"/>
                <c:pt idx="0">
                  <c:v>2018</c:v>
                </c:pt>
                <c:pt idx="1">
                  <c:v>2019</c:v>
                </c:pt>
                <c:pt idx="2">
                  <c:v>2020</c:v>
                </c:pt>
                <c:pt idx="3">
                  <c:v>2021</c:v>
                </c:pt>
                <c:pt idx="4">
                  <c:v>2022</c:v>
                </c:pt>
              </c:strCache>
            </c:strRef>
          </c:cat>
          <c:val>
            <c:numRef>
              <c:f>vývoj!$C$35:$G$35</c:f>
              <c:numCache>
                <c:formatCode>#\ ##0.0</c:formatCode>
                <c:ptCount val="5"/>
                <c:pt idx="0">
                  <c:v>50.698965020000003</c:v>
                </c:pt>
                <c:pt idx="1">
                  <c:v>61.307108249999999</c:v>
                </c:pt>
                <c:pt idx="2">
                  <c:v>142.02508908000001</c:v>
                </c:pt>
                <c:pt idx="3">
                  <c:v>587.99978279999993</c:v>
                </c:pt>
                <c:pt idx="4">
                  <c:v>705.83502648000001</c:v>
                </c:pt>
              </c:numCache>
            </c:numRef>
          </c:val>
          <c:extLst>
            <c:ext xmlns:c16="http://schemas.microsoft.com/office/drawing/2014/chart" uri="{C3380CC4-5D6E-409C-BE32-E72D297353CC}">
              <c16:uniqueId val="{00000001-F512-4635-9779-169B90A119E2}"/>
            </c:ext>
          </c:extLst>
        </c:ser>
        <c:ser>
          <c:idx val="2"/>
          <c:order val="2"/>
          <c:tx>
            <c:strRef>
              <c:f>vývoj!$B$36</c:f>
              <c:strCache>
                <c:ptCount val="1"/>
                <c:pt idx="0">
                  <c:v>Prevencia a ochrana zdravia</c:v>
                </c:pt>
              </c:strCache>
            </c:strRef>
          </c:tx>
          <c:spPr>
            <a:solidFill>
              <a:schemeClr val="accent3"/>
            </a:solidFill>
            <a:ln>
              <a:noFill/>
            </a:ln>
            <a:effectLst/>
          </c:spPr>
          <c:cat>
            <c:strRef>
              <c:f>vývoj!$C$33:$G$33</c:f>
              <c:strCache>
                <c:ptCount val="5"/>
                <c:pt idx="0">
                  <c:v>2018</c:v>
                </c:pt>
                <c:pt idx="1">
                  <c:v>2019</c:v>
                </c:pt>
                <c:pt idx="2">
                  <c:v>2020</c:v>
                </c:pt>
                <c:pt idx="3">
                  <c:v>2021</c:v>
                </c:pt>
                <c:pt idx="4">
                  <c:v>2022</c:v>
                </c:pt>
              </c:strCache>
            </c:strRef>
          </c:cat>
          <c:val>
            <c:numRef>
              <c:f>vývoj!$C$36:$G$36</c:f>
              <c:numCache>
                <c:formatCode>#\ ##0.0</c:formatCode>
                <c:ptCount val="5"/>
                <c:pt idx="0">
                  <c:v>34.998352240000003</c:v>
                </c:pt>
                <c:pt idx="1">
                  <c:v>40.058605149999998</c:v>
                </c:pt>
                <c:pt idx="2">
                  <c:v>54.661342829999995</c:v>
                </c:pt>
                <c:pt idx="3">
                  <c:v>108.43793074</c:v>
                </c:pt>
                <c:pt idx="4">
                  <c:v>70.828058909999996</c:v>
                </c:pt>
              </c:numCache>
            </c:numRef>
          </c:val>
          <c:extLst>
            <c:ext xmlns:c16="http://schemas.microsoft.com/office/drawing/2014/chart" uri="{C3380CC4-5D6E-409C-BE32-E72D297353CC}">
              <c16:uniqueId val="{00000002-F512-4635-9779-169B90A119E2}"/>
            </c:ext>
          </c:extLst>
        </c:ser>
        <c:ser>
          <c:idx val="3"/>
          <c:order val="3"/>
          <c:tx>
            <c:strRef>
              <c:f>vývoj!$B$37</c:f>
              <c:strCache>
                <c:ptCount val="1"/>
                <c:pt idx="0">
                  <c:v>Hospodárska mobilizácia</c:v>
                </c:pt>
              </c:strCache>
            </c:strRef>
          </c:tx>
          <c:spPr>
            <a:solidFill>
              <a:schemeClr val="accent4"/>
            </a:solidFill>
            <a:ln>
              <a:noFill/>
            </a:ln>
            <a:effectLst/>
          </c:spPr>
          <c:cat>
            <c:strRef>
              <c:f>vývoj!$C$33:$G$33</c:f>
              <c:strCache>
                <c:ptCount val="5"/>
                <c:pt idx="0">
                  <c:v>2018</c:v>
                </c:pt>
                <c:pt idx="1">
                  <c:v>2019</c:v>
                </c:pt>
                <c:pt idx="2">
                  <c:v>2020</c:v>
                </c:pt>
                <c:pt idx="3">
                  <c:v>2021</c:v>
                </c:pt>
                <c:pt idx="4">
                  <c:v>2022</c:v>
                </c:pt>
              </c:strCache>
            </c:strRef>
          </c:cat>
          <c:val>
            <c:numRef>
              <c:f>vývoj!$C$37:$G$37</c:f>
              <c:numCache>
                <c:formatCode>#\ ##0.0</c:formatCode>
                <c:ptCount val="5"/>
                <c:pt idx="0">
                  <c:v>1.55</c:v>
                </c:pt>
                <c:pt idx="1">
                  <c:v>1.44512855</c:v>
                </c:pt>
                <c:pt idx="2">
                  <c:v>22.713180530000002</c:v>
                </c:pt>
                <c:pt idx="3">
                  <c:v>205.74038211000001</c:v>
                </c:pt>
                <c:pt idx="4">
                  <c:v>92.301352480000006</c:v>
                </c:pt>
              </c:numCache>
            </c:numRef>
          </c:val>
          <c:extLst>
            <c:ext xmlns:c16="http://schemas.microsoft.com/office/drawing/2014/chart" uri="{C3380CC4-5D6E-409C-BE32-E72D297353CC}">
              <c16:uniqueId val="{00000003-F512-4635-9779-169B90A119E2}"/>
            </c:ext>
          </c:extLst>
        </c:ser>
        <c:ser>
          <c:idx val="4"/>
          <c:order val="4"/>
          <c:tx>
            <c:strRef>
              <c:f>vývoj!$B$38</c:f>
              <c:strCache>
                <c:ptCount val="1"/>
                <c:pt idx="0">
                  <c:v>Ostatné</c:v>
                </c:pt>
              </c:strCache>
            </c:strRef>
          </c:tx>
          <c:spPr>
            <a:solidFill>
              <a:schemeClr val="accent5"/>
            </a:solidFill>
            <a:ln>
              <a:noFill/>
            </a:ln>
            <a:effectLst/>
          </c:spPr>
          <c:cat>
            <c:strRef>
              <c:f>vývoj!$C$33:$G$33</c:f>
              <c:strCache>
                <c:ptCount val="5"/>
                <c:pt idx="0">
                  <c:v>2018</c:v>
                </c:pt>
                <c:pt idx="1">
                  <c:v>2019</c:v>
                </c:pt>
                <c:pt idx="2">
                  <c:v>2020</c:v>
                </c:pt>
                <c:pt idx="3">
                  <c:v>2021</c:v>
                </c:pt>
                <c:pt idx="4">
                  <c:v>2022</c:v>
                </c:pt>
              </c:strCache>
            </c:strRef>
          </c:cat>
          <c:val>
            <c:numRef>
              <c:f>vývoj!$C$38:$G$38</c:f>
              <c:numCache>
                <c:formatCode>#\ ##0.0</c:formatCode>
                <c:ptCount val="5"/>
                <c:pt idx="0">
                  <c:v>4.3154368600000907</c:v>
                </c:pt>
                <c:pt idx="1">
                  <c:v>3.3857513400000698</c:v>
                </c:pt>
                <c:pt idx="2">
                  <c:v>12.862434099999973</c:v>
                </c:pt>
                <c:pt idx="3">
                  <c:v>11.088305389999732</c:v>
                </c:pt>
                <c:pt idx="4">
                  <c:v>15.367948000000069</c:v>
                </c:pt>
              </c:numCache>
            </c:numRef>
          </c:val>
          <c:extLst>
            <c:ext xmlns:c16="http://schemas.microsoft.com/office/drawing/2014/chart" uri="{C3380CC4-5D6E-409C-BE32-E72D297353CC}">
              <c16:uniqueId val="{00000004-F512-4635-9779-169B90A119E2}"/>
            </c:ext>
          </c:extLst>
        </c:ser>
        <c:dLbls>
          <c:showLegendKey val="0"/>
          <c:showVal val="0"/>
          <c:showCatName val="0"/>
          <c:showSerName val="0"/>
          <c:showPercent val="0"/>
          <c:showBubbleSize val="0"/>
        </c:dLbls>
        <c:axId val="2137782688"/>
        <c:axId val="2137779776"/>
      </c:areaChart>
      <c:catAx>
        <c:axId val="2137782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137779776"/>
        <c:crosses val="autoZero"/>
        <c:auto val="1"/>
        <c:lblAlgn val="ctr"/>
        <c:lblOffset val="100"/>
        <c:noMultiLvlLbl val="0"/>
      </c:catAx>
      <c:valAx>
        <c:axId val="213777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1377826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zero"/>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55929180727409078"/>
        </c:manualLayout>
      </c:layout>
      <c:barChart>
        <c:barDir val="col"/>
        <c:grouping val="clustered"/>
        <c:varyColors val="0"/>
        <c:ser>
          <c:idx val="0"/>
          <c:order val="0"/>
          <c:tx>
            <c:strRef>
              <c:f>'zdrav 3'!$C$50</c:f>
              <c:strCache>
                <c:ptCount val="1"/>
                <c:pt idx="0">
                  <c:v>priemerná mesačná nadúmrtnosť (%)</c:v>
                </c:pt>
              </c:strCache>
            </c:strRef>
          </c:tx>
          <c:spPr>
            <a:solidFill>
              <a:srgbClr val="9CB9EC"/>
            </a:solidFill>
            <a:ln>
              <a:noFill/>
            </a:ln>
            <a:effectLst/>
          </c:spPr>
          <c:invertIfNegative val="0"/>
          <c:dPt>
            <c:idx val="6"/>
            <c:invertIfNegative val="0"/>
            <c:bubble3D val="0"/>
            <c:spPr>
              <a:solidFill>
                <a:srgbClr val="F55647"/>
              </a:solidFill>
              <a:ln>
                <a:noFill/>
              </a:ln>
              <a:effectLst/>
            </c:spPr>
            <c:extLst>
              <c:ext xmlns:c16="http://schemas.microsoft.com/office/drawing/2014/chart" uri="{C3380CC4-5D6E-409C-BE32-E72D297353CC}">
                <c16:uniqueId val="{00000001-E1A4-4332-A1BE-6F084D5ABF03}"/>
              </c:ext>
            </c:extLst>
          </c:dPt>
          <c:dPt>
            <c:idx val="15"/>
            <c:invertIfNegative val="0"/>
            <c:bubble3D val="0"/>
            <c:spPr>
              <a:solidFill>
                <a:srgbClr val="9CB9EC"/>
              </a:solidFill>
              <a:ln>
                <a:noFill/>
              </a:ln>
              <a:effectLst/>
            </c:spPr>
            <c:extLst>
              <c:ext xmlns:c16="http://schemas.microsoft.com/office/drawing/2014/chart" uri="{C3380CC4-5D6E-409C-BE32-E72D297353CC}">
                <c16:uniqueId val="{00000003-E1A4-4332-A1BE-6F084D5ABF03}"/>
              </c:ext>
            </c:extLst>
          </c:dPt>
          <c:dLbls>
            <c:dLbl>
              <c:idx val="6"/>
              <c:layout>
                <c:manualLayout>
                  <c:x val="0"/>
                  <c:y val="-2.3809523809523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A4-4332-A1BE-6F084D5ABF03}"/>
                </c:ext>
              </c:extLst>
            </c:dLbl>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'zdrav 3'!$B$51:$B$77</c:f>
              <c:strCache>
                <c:ptCount val="27"/>
                <c:pt idx="0">
                  <c:v>Cyprus</c:v>
                </c:pt>
                <c:pt idx="1">
                  <c:v>Malta</c:v>
                </c:pt>
                <c:pt idx="2">
                  <c:v>Fínsko</c:v>
                </c:pt>
                <c:pt idx="3">
                  <c:v>Grécko</c:v>
                </c:pt>
                <c:pt idx="4">
                  <c:v>Rakúsko</c:v>
                </c:pt>
                <c:pt idx="5">
                  <c:v>Nemecko</c:v>
                </c:pt>
                <c:pt idx="6">
                  <c:v>Slovensko</c:v>
                </c:pt>
                <c:pt idx="7">
                  <c:v>Estónsko</c:v>
                </c:pt>
                <c:pt idx="8">
                  <c:v>Írsko</c:v>
                </c:pt>
                <c:pt idx="9">
                  <c:v>Portugalsko</c:v>
                </c:pt>
                <c:pt idx="10">
                  <c:v>Holandsko</c:v>
                </c:pt>
                <c:pt idx="11">
                  <c:v>Španielsko</c:v>
                </c:pt>
                <c:pt idx="12">
                  <c:v>Slovinsko</c:v>
                </c:pt>
                <c:pt idx="13">
                  <c:v>Francúzko</c:v>
                </c:pt>
                <c:pt idx="14">
                  <c:v>Poľsko</c:v>
                </c:pt>
                <c:pt idx="15">
                  <c:v>Dánsko</c:v>
                </c:pt>
                <c:pt idx="16">
                  <c:v>Taliansko</c:v>
                </c:pt>
                <c:pt idx="17">
                  <c:v>Bulharsko</c:v>
                </c:pt>
                <c:pt idx="18">
                  <c:v>Chorvátsko</c:v>
                </c:pt>
                <c:pt idx="19">
                  <c:v>Česká republika</c:v>
                </c:pt>
                <c:pt idx="20">
                  <c:v>Litva</c:v>
                </c:pt>
                <c:pt idx="21">
                  <c:v>Belgicko</c:v>
                </c:pt>
                <c:pt idx="22">
                  <c:v>Lotyšsko</c:v>
                </c:pt>
                <c:pt idx="23">
                  <c:v>Luxembursko</c:v>
                </c:pt>
                <c:pt idx="24">
                  <c:v>Maďarsko</c:v>
                </c:pt>
                <c:pt idx="25">
                  <c:v>Švédsko</c:v>
                </c:pt>
                <c:pt idx="26">
                  <c:v>Rumunsko</c:v>
                </c:pt>
              </c:strCache>
            </c:strRef>
          </c:cat>
          <c:val>
            <c:numRef>
              <c:f>'zdrav 3'!$C$51:$C$77</c:f>
              <c:numCache>
                <c:formatCode>0.0</c:formatCode>
                <c:ptCount val="27"/>
                <c:pt idx="0">
                  <c:v>26.433333333333334</c:v>
                </c:pt>
                <c:pt idx="1">
                  <c:v>17.899999999999999</c:v>
                </c:pt>
                <c:pt idx="2">
                  <c:v>17.083333333333336</c:v>
                </c:pt>
                <c:pt idx="3">
                  <c:v>15.524999999999999</c:v>
                </c:pt>
                <c:pt idx="4">
                  <c:v>15.500000000000002</c:v>
                </c:pt>
                <c:pt idx="5">
                  <c:v>14.158333333333333</c:v>
                </c:pt>
                <c:pt idx="6">
                  <c:v>13.616666666666669</c:v>
                </c:pt>
                <c:pt idx="7">
                  <c:v>13.149999999999999</c:v>
                </c:pt>
                <c:pt idx="8">
                  <c:v>12.641666666666667</c:v>
                </c:pt>
                <c:pt idx="9">
                  <c:v>12.5</c:v>
                </c:pt>
                <c:pt idx="10">
                  <c:v>12.466666666666667</c:v>
                </c:pt>
                <c:pt idx="11">
                  <c:v>11.5</c:v>
                </c:pt>
                <c:pt idx="12">
                  <c:v>11.475000000000001</c:v>
                </c:pt>
                <c:pt idx="13">
                  <c:v>11.299999999999999</c:v>
                </c:pt>
                <c:pt idx="14">
                  <c:v>11.058333333333332</c:v>
                </c:pt>
                <c:pt idx="15">
                  <c:v>10.416666666666664</c:v>
                </c:pt>
                <c:pt idx="16">
                  <c:v>10.333333333333334</c:v>
                </c:pt>
                <c:pt idx="17">
                  <c:v>9.1416666666666657</c:v>
                </c:pt>
                <c:pt idx="18">
                  <c:v>8.8333333333333339</c:v>
                </c:pt>
                <c:pt idx="19">
                  <c:v>8.15</c:v>
                </c:pt>
                <c:pt idx="20">
                  <c:v>7.4249999999999998</c:v>
                </c:pt>
                <c:pt idx="21">
                  <c:v>6.8999999999999995</c:v>
                </c:pt>
                <c:pt idx="22">
                  <c:v>6.5083333333333337</c:v>
                </c:pt>
                <c:pt idx="23">
                  <c:v>6.25</c:v>
                </c:pt>
                <c:pt idx="24">
                  <c:v>5.2416666666666663</c:v>
                </c:pt>
                <c:pt idx="25">
                  <c:v>4.0916666666666668</c:v>
                </c:pt>
                <c:pt idx="26">
                  <c:v>3.3583333333333338</c:v>
                </c:pt>
              </c:numCache>
            </c:numRef>
          </c:val>
          <c:extLst>
            <c:ext xmlns:c16="http://schemas.microsoft.com/office/drawing/2014/chart" uri="{C3380CC4-5D6E-409C-BE32-E72D297353CC}">
              <c16:uniqueId val="{00000004-E1A4-4332-A1BE-6F084D5ABF03}"/>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tx>
            <c:strRef>
              <c:f>'zdrav 3'!$D$50</c:f>
              <c:strCache>
                <c:ptCount val="1"/>
                <c:pt idx="0">
                  <c:v>priemer krajín EÚ 27</c:v>
                </c:pt>
              </c:strCache>
            </c:strRef>
          </c:tx>
          <c:spPr>
            <a:ln w="25400" cap="rnd">
              <a:solidFill>
                <a:srgbClr val="314364"/>
              </a:solidFill>
              <a:prstDash val="sysDash"/>
              <a:round/>
            </a:ln>
            <a:effectLst/>
          </c:spPr>
          <c:marker>
            <c:symbol val="none"/>
          </c:marker>
          <c:cat>
            <c:strRef>
              <c:f>'zdrav 3'!$B$51:$B$77</c:f>
              <c:strCache>
                <c:ptCount val="27"/>
                <c:pt idx="0">
                  <c:v>Cyprus</c:v>
                </c:pt>
                <c:pt idx="1">
                  <c:v>Malta</c:v>
                </c:pt>
                <c:pt idx="2">
                  <c:v>Fínsko</c:v>
                </c:pt>
                <c:pt idx="3">
                  <c:v>Grécko</c:v>
                </c:pt>
                <c:pt idx="4">
                  <c:v>Rakúsko</c:v>
                </c:pt>
                <c:pt idx="5">
                  <c:v>Nemecko</c:v>
                </c:pt>
                <c:pt idx="6">
                  <c:v>Slovensko</c:v>
                </c:pt>
                <c:pt idx="7">
                  <c:v>Estónsko</c:v>
                </c:pt>
                <c:pt idx="8">
                  <c:v>Írsko</c:v>
                </c:pt>
                <c:pt idx="9">
                  <c:v>Portugalsko</c:v>
                </c:pt>
                <c:pt idx="10">
                  <c:v>Holandsko</c:v>
                </c:pt>
                <c:pt idx="11">
                  <c:v>Španielsko</c:v>
                </c:pt>
                <c:pt idx="12">
                  <c:v>Slovinsko</c:v>
                </c:pt>
                <c:pt idx="13">
                  <c:v>Francúzko</c:v>
                </c:pt>
                <c:pt idx="14">
                  <c:v>Poľsko</c:v>
                </c:pt>
                <c:pt idx="15">
                  <c:v>Dánsko</c:v>
                </c:pt>
                <c:pt idx="16">
                  <c:v>Taliansko</c:v>
                </c:pt>
                <c:pt idx="17">
                  <c:v>Bulharsko</c:v>
                </c:pt>
                <c:pt idx="18">
                  <c:v>Chorvátsko</c:v>
                </c:pt>
                <c:pt idx="19">
                  <c:v>Česká republika</c:v>
                </c:pt>
                <c:pt idx="20">
                  <c:v>Litva</c:v>
                </c:pt>
                <c:pt idx="21">
                  <c:v>Belgicko</c:v>
                </c:pt>
                <c:pt idx="22">
                  <c:v>Lotyšsko</c:v>
                </c:pt>
                <c:pt idx="23">
                  <c:v>Luxembursko</c:v>
                </c:pt>
                <c:pt idx="24">
                  <c:v>Maďarsko</c:v>
                </c:pt>
                <c:pt idx="25">
                  <c:v>Švédsko</c:v>
                </c:pt>
                <c:pt idx="26">
                  <c:v>Rumunsko</c:v>
                </c:pt>
              </c:strCache>
            </c:strRef>
          </c:cat>
          <c:val>
            <c:numRef>
              <c:f>'zdrav 3'!$D$51:$D$77</c:f>
              <c:numCache>
                <c:formatCode>0.0</c:formatCode>
                <c:ptCount val="27"/>
                <c:pt idx="0">
                  <c:v>11.220679012345681</c:v>
                </c:pt>
                <c:pt idx="1">
                  <c:v>11.220679012345681</c:v>
                </c:pt>
                <c:pt idx="2">
                  <c:v>11.220679012345681</c:v>
                </c:pt>
                <c:pt idx="3">
                  <c:v>11.220679012345681</c:v>
                </c:pt>
                <c:pt idx="4">
                  <c:v>11.220679012345681</c:v>
                </c:pt>
                <c:pt idx="5">
                  <c:v>11.220679012345681</c:v>
                </c:pt>
                <c:pt idx="6">
                  <c:v>11.220679012345681</c:v>
                </c:pt>
                <c:pt idx="7">
                  <c:v>11.220679012345681</c:v>
                </c:pt>
                <c:pt idx="8">
                  <c:v>11.220679012345681</c:v>
                </c:pt>
                <c:pt idx="9">
                  <c:v>11.220679012345681</c:v>
                </c:pt>
                <c:pt idx="10">
                  <c:v>11.220679012345681</c:v>
                </c:pt>
                <c:pt idx="11">
                  <c:v>11.220679012345681</c:v>
                </c:pt>
                <c:pt idx="12">
                  <c:v>11.220679012345681</c:v>
                </c:pt>
                <c:pt idx="13">
                  <c:v>11.220679012345681</c:v>
                </c:pt>
                <c:pt idx="14">
                  <c:v>11.220679012345681</c:v>
                </c:pt>
                <c:pt idx="15">
                  <c:v>11.220679012345681</c:v>
                </c:pt>
                <c:pt idx="16">
                  <c:v>11.220679012345681</c:v>
                </c:pt>
                <c:pt idx="17">
                  <c:v>11.220679012345681</c:v>
                </c:pt>
                <c:pt idx="18">
                  <c:v>11.220679012345681</c:v>
                </c:pt>
                <c:pt idx="19">
                  <c:v>11.220679012345681</c:v>
                </c:pt>
                <c:pt idx="20">
                  <c:v>11.220679012345681</c:v>
                </c:pt>
                <c:pt idx="21">
                  <c:v>11.220679012345681</c:v>
                </c:pt>
                <c:pt idx="22">
                  <c:v>11.220679012345681</c:v>
                </c:pt>
                <c:pt idx="23">
                  <c:v>11.220679012345681</c:v>
                </c:pt>
                <c:pt idx="24">
                  <c:v>11.220679012345681</c:v>
                </c:pt>
                <c:pt idx="25">
                  <c:v>11.220679012345681</c:v>
                </c:pt>
                <c:pt idx="26">
                  <c:v>11.220679012345681</c:v>
                </c:pt>
              </c:numCache>
            </c:numRef>
          </c:val>
          <c:smooth val="0"/>
          <c:extLst>
            <c:ext xmlns:c16="http://schemas.microsoft.com/office/drawing/2014/chart" uri="{C3380CC4-5D6E-409C-BE32-E72D297353CC}">
              <c16:uniqueId val="{00000005-E1A4-4332-A1BE-6F084D5ABF03}"/>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valAx>
      <c:spPr>
        <a:noFill/>
        <a:ln>
          <a:noFill/>
        </a:ln>
        <a:effectLst/>
      </c:spPr>
    </c:plotArea>
    <c:legend>
      <c:legendPos val="r"/>
      <c:layout>
        <c:manualLayout>
          <c:xMode val="edge"/>
          <c:yMode val="edge"/>
          <c:x val="0.59644103635839085"/>
          <c:y val="5.0569407990667822E-2"/>
          <c:w val="0.37855896364160924"/>
          <c:h val="0.191189070116235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064493820330172E-2"/>
          <c:y val="0.13029642481130535"/>
          <c:w val="0.47255357195783398"/>
          <c:h val="0.7092753236353930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E3-48F3-A8DD-9429E9F383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E3-48F3-A8DD-9429E9F383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E3-48F3-A8DD-9429E9F383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FE3-48F3-A8DD-9429E9F383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FE3-48F3-A8DD-9429E9F38310}"/>
              </c:ext>
            </c:extLst>
          </c:dPt>
          <c:dLbls>
            <c:dLbl>
              <c:idx val="0"/>
              <c:layout>
                <c:manualLayout>
                  <c:x val="-0.10037641154328733"/>
                  <c:y val="-0.143126177024482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E3-48F3-A8DD-9429E9F38310}"/>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Covid!$C$90:$C$94</c:f>
              <c:strCache>
                <c:ptCount val="5"/>
                <c:pt idx="0">
                  <c:v>vakcíny </c:v>
                </c:pt>
                <c:pt idx="1">
                  <c:v>lieky</c:v>
                </c:pt>
                <c:pt idx="2">
                  <c:v>hosp. mobilizácia</c:v>
                </c:pt>
                <c:pt idx="3">
                  <c:v>testy</c:v>
                </c:pt>
                <c:pt idx="4">
                  <c:v>iné</c:v>
                </c:pt>
              </c:strCache>
            </c:strRef>
          </c:cat>
          <c:val>
            <c:numRef>
              <c:f>Covid!$D$90:$D$94</c:f>
              <c:numCache>
                <c:formatCode>#\ ##0.0</c:formatCode>
                <c:ptCount val="5"/>
                <c:pt idx="0">
                  <c:v>143.24889518000001</c:v>
                </c:pt>
                <c:pt idx="1">
                  <c:v>105.63887840000001</c:v>
                </c:pt>
                <c:pt idx="2">
                  <c:v>79.76528338</c:v>
                </c:pt>
                <c:pt idx="3">
                  <c:v>74.8</c:v>
                </c:pt>
                <c:pt idx="4">
                  <c:v>14.619495379999998</c:v>
                </c:pt>
              </c:numCache>
            </c:numRef>
          </c:val>
          <c:extLst>
            <c:ext xmlns:c16="http://schemas.microsoft.com/office/drawing/2014/chart" uri="{C3380CC4-5D6E-409C-BE32-E72D297353CC}">
              <c16:uniqueId val="{0000000A-4FE3-48F3-A8DD-9429E9F38310}"/>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60957685809976392"/>
          <c:y val="8.191704850453016E-2"/>
          <c:w val="0.39042314190023619"/>
          <c:h val="0.83616530984474402"/>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5400" cap="rnd">
              <a:solidFill>
                <a:schemeClr val="accent1"/>
              </a:solidFill>
              <a:round/>
            </a:ln>
            <a:effectLst/>
          </c:spPr>
          <c:marker>
            <c:symbol val="none"/>
          </c:marker>
          <c:cat>
            <c:numRef>
              <c:f>Hárok1!$A$6:$A$35</c:f>
              <c:numCache>
                <c:formatCode>[$-41B]mmm\-yy;@</c:formatCode>
                <c:ptCount val="30"/>
                <c:pt idx="0">
                  <c:v>44166</c:v>
                </c:pt>
                <c:pt idx="1">
                  <c:v>44197</c:v>
                </c:pt>
                <c:pt idx="2">
                  <c:v>44228</c:v>
                </c:pt>
                <c:pt idx="3">
                  <c:v>44256</c:v>
                </c:pt>
                <c:pt idx="4">
                  <c:v>44287</c:v>
                </c:pt>
                <c:pt idx="5">
                  <c:v>44317</c:v>
                </c:pt>
                <c:pt idx="6">
                  <c:v>44348</c:v>
                </c:pt>
                <c:pt idx="7">
                  <c:v>44378</c:v>
                </c:pt>
                <c:pt idx="8">
                  <c:v>44409</c:v>
                </c:pt>
                <c:pt idx="9">
                  <c:v>44440</c:v>
                </c:pt>
                <c:pt idx="10">
                  <c:v>44470</c:v>
                </c:pt>
                <c:pt idx="11">
                  <c:v>44501</c:v>
                </c:pt>
                <c:pt idx="12">
                  <c:v>44531</c:v>
                </c:pt>
                <c:pt idx="13">
                  <c:v>44562</c:v>
                </c:pt>
                <c:pt idx="14">
                  <c:v>44593</c:v>
                </c:pt>
                <c:pt idx="15">
                  <c:v>44621</c:v>
                </c:pt>
                <c:pt idx="16">
                  <c:v>44652</c:v>
                </c:pt>
                <c:pt idx="17">
                  <c:v>44682</c:v>
                </c:pt>
                <c:pt idx="18">
                  <c:v>44713</c:v>
                </c:pt>
                <c:pt idx="19">
                  <c:v>44743</c:v>
                </c:pt>
                <c:pt idx="20">
                  <c:v>44774</c:v>
                </c:pt>
                <c:pt idx="21">
                  <c:v>44805</c:v>
                </c:pt>
                <c:pt idx="22">
                  <c:v>44835</c:v>
                </c:pt>
                <c:pt idx="23">
                  <c:v>44866</c:v>
                </c:pt>
                <c:pt idx="24">
                  <c:v>44896</c:v>
                </c:pt>
                <c:pt idx="25">
                  <c:v>44927</c:v>
                </c:pt>
                <c:pt idx="26">
                  <c:v>44958</c:v>
                </c:pt>
                <c:pt idx="27">
                  <c:v>44986</c:v>
                </c:pt>
                <c:pt idx="28">
                  <c:v>45017</c:v>
                </c:pt>
                <c:pt idx="29">
                  <c:v>45047</c:v>
                </c:pt>
              </c:numCache>
            </c:numRef>
          </c:cat>
          <c:val>
            <c:numRef>
              <c:f>Hárok1!$B$6:$B$35</c:f>
              <c:numCache>
                <c:formatCode>#,##0</c:formatCode>
                <c:ptCount val="30"/>
                <c:pt idx="0">
                  <c:v>4544</c:v>
                </c:pt>
                <c:pt idx="1">
                  <c:v>144807</c:v>
                </c:pt>
                <c:pt idx="2">
                  <c:v>301018</c:v>
                </c:pt>
                <c:pt idx="3">
                  <c:v>574546</c:v>
                </c:pt>
                <c:pt idx="4">
                  <c:v>612981</c:v>
                </c:pt>
                <c:pt idx="5">
                  <c:v>1184024</c:v>
                </c:pt>
                <c:pt idx="6">
                  <c:v>963664</c:v>
                </c:pt>
                <c:pt idx="7">
                  <c:v>516765</c:v>
                </c:pt>
                <c:pt idx="8">
                  <c:v>334884</c:v>
                </c:pt>
                <c:pt idx="9">
                  <c:v>142979</c:v>
                </c:pt>
                <c:pt idx="10">
                  <c:v>157699</c:v>
                </c:pt>
                <c:pt idx="11">
                  <c:v>708840</c:v>
                </c:pt>
                <c:pt idx="12">
                  <c:v>716909</c:v>
                </c:pt>
                <c:pt idx="13">
                  <c:v>642155</c:v>
                </c:pt>
                <c:pt idx="14">
                  <c:v>77103</c:v>
                </c:pt>
                <c:pt idx="15">
                  <c:v>22982</c:v>
                </c:pt>
                <c:pt idx="16">
                  <c:v>11023</c:v>
                </c:pt>
                <c:pt idx="17">
                  <c:v>7423</c:v>
                </c:pt>
                <c:pt idx="18">
                  <c:v>3527</c:v>
                </c:pt>
                <c:pt idx="19">
                  <c:v>8199</c:v>
                </c:pt>
                <c:pt idx="20">
                  <c:v>15644</c:v>
                </c:pt>
                <c:pt idx="21">
                  <c:v>12877</c:v>
                </c:pt>
                <c:pt idx="22">
                  <c:v>30211</c:v>
                </c:pt>
                <c:pt idx="23">
                  <c:v>15371</c:v>
                </c:pt>
                <c:pt idx="24">
                  <c:v>5565</c:v>
                </c:pt>
                <c:pt idx="25">
                  <c:v>3914</c:v>
                </c:pt>
                <c:pt idx="26">
                  <c:v>1209</c:v>
                </c:pt>
                <c:pt idx="27">
                  <c:v>646</c:v>
                </c:pt>
                <c:pt idx="28">
                  <c:v>283</c:v>
                </c:pt>
                <c:pt idx="29">
                  <c:v>35</c:v>
                </c:pt>
              </c:numCache>
            </c:numRef>
          </c:val>
          <c:smooth val="0"/>
          <c:extLst>
            <c:ext xmlns:c16="http://schemas.microsoft.com/office/drawing/2014/chart" uri="{C3380CC4-5D6E-409C-BE32-E72D297353CC}">
              <c16:uniqueId val="{00000000-4BD4-449A-937E-E7551966E4EE}"/>
            </c:ext>
          </c:extLst>
        </c:ser>
        <c:dLbls>
          <c:showLegendKey val="0"/>
          <c:showVal val="0"/>
          <c:showCatName val="0"/>
          <c:showSerName val="0"/>
          <c:showPercent val="0"/>
          <c:showBubbleSize val="0"/>
        </c:dLbls>
        <c:smooth val="0"/>
        <c:axId val="1340283920"/>
        <c:axId val="1340281008"/>
      </c:lineChart>
      <c:dateAx>
        <c:axId val="1340283920"/>
        <c:scaling>
          <c:orientation val="minMax"/>
        </c:scaling>
        <c:delete val="0"/>
        <c:axPos val="b"/>
        <c:numFmt formatCode="[$-41B]mmmmm\-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40281008"/>
        <c:crosses val="autoZero"/>
        <c:auto val="1"/>
        <c:lblOffset val="100"/>
        <c:baseTimeUnit val="months"/>
      </c:dateAx>
      <c:valAx>
        <c:axId val="13402810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40283920"/>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Hárok2!$A$3</c:f>
              <c:strCache>
                <c:ptCount val="1"/>
                <c:pt idx="0">
                  <c:v>EÚ 27</c:v>
                </c:pt>
              </c:strCache>
            </c:strRef>
          </c:tx>
          <c:spPr>
            <a:ln w="25400" cap="rnd">
              <a:solidFill>
                <a:schemeClr val="accent1"/>
              </a:solidFill>
              <a:round/>
            </a:ln>
            <a:effectLst/>
          </c:spPr>
          <c:marker>
            <c:symbol val="circle"/>
            <c:size val="5"/>
            <c:spPr>
              <a:solidFill>
                <a:schemeClr val="accent1"/>
              </a:solidFill>
              <a:ln w="12700">
                <a:solidFill>
                  <a:schemeClr val="bg1"/>
                </a:solid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E7-49F2-B151-128F6DDF9B59}"/>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E7-49F2-B151-128F6DDF9B5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Hárok2!$B$2:$J$2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Hárok2!$B$3:$J$3</c:f>
              <c:numCache>
                <c:formatCode>General</c:formatCode>
                <c:ptCount val="9"/>
                <c:pt idx="2" formatCode="#\ ##0.0">
                  <c:v>2104.5300000000002</c:v>
                </c:pt>
                <c:pt idx="3" formatCode="#\ ##0.0">
                  <c:v>2166.56</c:v>
                </c:pt>
                <c:pt idx="4" formatCode="#\ ##0.0">
                  <c:v>2226.7800000000002</c:v>
                </c:pt>
                <c:pt idx="5" formatCode="#\ ##0.0">
                  <c:v>2301.1799999999998</c:v>
                </c:pt>
                <c:pt idx="6" formatCode="#\ ##0.0">
                  <c:v>2377.5300000000002</c:v>
                </c:pt>
                <c:pt idx="7" formatCode="#\ ##0.0">
                  <c:v>2475.73</c:v>
                </c:pt>
                <c:pt idx="8" formatCode="#\ ##0.0">
                  <c:v>2655.08</c:v>
                </c:pt>
              </c:numCache>
            </c:numRef>
          </c:val>
          <c:smooth val="0"/>
          <c:extLst>
            <c:ext xmlns:c16="http://schemas.microsoft.com/office/drawing/2014/chart" uri="{C3380CC4-5D6E-409C-BE32-E72D297353CC}">
              <c16:uniqueId val="{00000002-87E7-49F2-B151-128F6DDF9B59}"/>
            </c:ext>
          </c:extLst>
        </c:ser>
        <c:ser>
          <c:idx val="1"/>
          <c:order val="1"/>
          <c:tx>
            <c:strRef>
              <c:f>Hárok2!$A$4</c:f>
              <c:strCache>
                <c:ptCount val="1"/>
                <c:pt idx="0">
                  <c:v>SR</c:v>
                </c:pt>
              </c:strCache>
            </c:strRef>
          </c:tx>
          <c:spPr>
            <a:ln w="25400" cap="rnd">
              <a:solidFill>
                <a:schemeClr val="accent2"/>
              </a:solidFill>
              <a:round/>
            </a:ln>
            <a:effectLst/>
          </c:spPr>
          <c:marker>
            <c:symbol val="circle"/>
            <c:size val="5"/>
            <c:spPr>
              <a:solidFill>
                <a:schemeClr val="accent2"/>
              </a:solidFill>
              <a:ln w="12700">
                <a:solidFill>
                  <a:schemeClr val="bg1"/>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E7-49F2-B151-128F6DDF9B59}"/>
                </c:ext>
              </c:extLst>
            </c:dLbl>
            <c:dLbl>
              <c:idx val="8"/>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E7-49F2-B151-128F6DDF9B5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Hárok2!$B$2:$J$2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Hárok2!$B$4:$J$4</c:f>
              <c:numCache>
                <c:formatCode>#\ ##0.0</c:formatCode>
                <c:ptCount val="9"/>
                <c:pt idx="0">
                  <c:v>1131.47</c:v>
                </c:pt>
                <c:pt idx="1">
                  <c:v>1171.99</c:v>
                </c:pt>
                <c:pt idx="2">
                  <c:v>1179.5999999999999</c:v>
                </c:pt>
                <c:pt idx="3">
                  <c:v>1202.0899999999999</c:v>
                </c:pt>
                <c:pt idx="4">
                  <c:v>1159.75</c:v>
                </c:pt>
                <c:pt idx="5">
                  <c:v>1111.3399999999999</c:v>
                </c:pt>
                <c:pt idx="6">
                  <c:v>1122.9000000000001</c:v>
                </c:pt>
                <c:pt idx="7">
                  <c:v>1195.68</c:v>
                </c:pt>
                <c:pt idx="8">
                  <c:v>1187.8399999999999</c:v>
                </c:pt>
              </c:numCache>
            </c:numRef>
          </c:val>
          <c:smooth val="0"/>
          <c:extLst>
            <c:ext xmlns:c16="http://schemas.microsoft.com/office/drawing/2014/chart" uri="{C3380CC4-5D6E-409C-BE32-E72D297353CC}">
              <c16:uniqueId val="{00000005-87E7-49F2-B151-128F6DDF9B59}"/>
            </c:ext>
          </c:extLst>
        </c:ser>
        <c:ser>
          <c:idx val="2"/>
          <c:order val="2"/>
          <c:tx>
            <c:strRef>
              <c:f>Hárok2!$A$5</c:f>
              <c:strCache>
                <c:ptCount val="1"/>
                <c:pt idx="0">
                  <c:v>ČR</c:v>
                </c:pt>
              </c:strCache>
            </c:strRef>
          </c:tx>
          <c:spPr>
            <a:ln w="25400" cap="rnd">
              <a:solidFill>
                <a:schemeClr val="accent3"/>
              </a:solidFill>
              <a:round/>
            </a:ln>
            <a:effectLst/>
          </c:spPr>
          <c:marker>
            <c:symbol val="circle"/>
            <c:size val="5"/>
            <c:spPr>
              <a:solidFill>
                <a:schemeClr val="accent3"/>
              </a:solidFill>
              <a:ln w="12700">
                <a:solidFill>
                  <a:schemeClr val="bg1"/>
                </a:solidFill>
              </a:ln>
              <a:effectLst/>
            </c:spPr>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7E7-49F2-B151-128F6DDF9B59}"/>
                </c:ext>
              </c:extLst>
            </c:dLbl>
            <c:dLbl>
              <c:idx val="8"/>
              <c:layout>
                <c:manualLayout>
                  <c:x val="-3.9481804639284954E-2"/>
                  <c:y val="8.0990841810009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7E7-49F2-B151-128F6DDF9B5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3"/>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Hárok2!$B$2:$J$2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Hárok2!$B$5:$J$5</c:f>
              <c:numCache>
                <c:formatCode>#\ ##0.0</c:formatCode>
                <c:ptCount val="9"/>
                <c:pt idx="1">
                  <c:v>1501.33</c:v>
                </c:pt>
                <c:pt idx="2">
                  <c:v>1551.14</c:v>
                </c:pt>
                <c:pt idx="3">
                  <c:v>1535.13</c:v>
                </c:pt>
                <c:pt idx="4">
                  <c:v>1549.31</c:v>
                </c:pt>
                <c:pt idx="5">
                  <c:v>1764.44</c:v>
                </c:pt>
                <c:pt idx="6">
                  <c:v>1852.21</c:v>
                </c:pt>
                <c:pt idx="7">
                  <c:v>1969.89</c:v>
                </c:pt>
                <c:pt idx="8">
                  <c:v>2322.5500000000002</c:v>
                </c:pt>
              </c:numCache>
            </c:numRef>
          </c:val>
          <c:smooth val="0"/>
          <c:extLst>
            <c:ext xmlns:c16="http://schemas.microsoft.com/office/drawing/2014/chart" uri="{C3380CC4-5D6E-409C-BE32-E72D297353CC}">
              <c16:uniqueId val="{00000008-87E7-49F2-B151-128F6DDF9B59}"/>
            </c:ext>
          </c:extLst>
        </c:ser>
        <c:ser>
          <c:idx val="3"/>
          <c:order val="3"/>
          <c:tx>
            <c:strRef>
              <c:f>Hárok2!$A$6</c:f>
              <c:strCache>
                <c:ptCount val="1"/>
                <c:pt idx="0">
                  <c:v>Poľsko</c:v>
                </c:pt>
              </c:strCache>
            </c:strRef>
          </c:tx>
          <c:spPr>
            <a:ln w="25400" cap="rnd">
              <a:solidFill>
                <a:schemeClr val="accent4"/>
              </a:solidFill>
              <a:round/>
            </a:ln>
            <a:effectLst/>
          </c:spPr>
          <c:marker>
            <c:symbol val="circle"/>
            <c:size val="5"/>
            <c:spPr>
              <a:solidFill>
                <a:schemeClr val="accent4"/>
              </a:solidFill>
              <a:ln w="12700">
                <a:solidFill>
                  <a:schemeClr val="bg1"/>
                </a:solidFill>
              </a:ln>
              <a:effectLst/>
            </c:spPr>
          </c:marker>
          <c:cat>
            <c:numRef>
              <c:f>Hárok2!$B$2:$J$2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Hárok2!$B$6:$J$6</c:f>
              <c:numCache>
                <c:formatCode>#\ ##0.0</c:formatCode>
                <c:ptCount val="9"/>
                <c:pt idx="1">
                  <c:v>865.73</c:v>
                </c:pt>
                <c:pt idx="2">
                  <c:v>871.95</c:v>
                </c:pt>
                <c:pt idx="3">
                  <c:v>923.89</c:v>
                </c:pt>
                <c:pt idx="4">
                  <c:v>962.95</c:v>
                </c:pt>
                <c:pt idx="5">
                  <c:v>1006.33</c:v>
                </c:pt>
                <c:pt idx="6">
                  <c:v>1050.55</c:v>
                </c:pt>
                <c:pt idx="7">
                  <c:v>1134.99</c:v>
                </c:pt>
                <c:pt idx="8">
                  <c:v>1150.0899999999999</c:v>
                </c:pt>
              </c:numCache>
            </c:numRef>
          </c:val>
          <c:smooth val="0"/>
          <c:extLst>
            <c:ext xmlns:c16="http://schemas.microsoft.com/office/drawing/2014/chart" uri="{C3380CC4-5D6E-409C-BE32-E72D297353CC}">
              <c16:uniqueId val="{00000009-87E7-49F2-B151-128F6DDF9B59}"/>
            </c:ext>
          </c:extLst>
        </c:ser>
        <c:ser>
          <c:idx val="4"/>
          <c:order val="4"/>
          <c:tx>
            <c:strRef>
              <c:f>Hárok2!$A$7</c:f>
              <c:strCache>
                <c:ptCount val="1"/>
                <c:pt idx="0">
                  <c:v>Maďarsko</c:v>
                </c:pt>
              </c:strCache>
            </c:strRef>
          </c:tx>
          <c:spPr>
            <a:ln w="25400" cap="rnd">
              <a:solidFill>
                <a:schemeClr val="accent5"/>
              </a:solidFill>
              <a:round/>
            </a:ln>
            <a:effectLst/>
          </c:spPr>
          <c:marker>
            <c:symbol val="circle"/>
            <c:size val="5"/>
            <c:spPr>
              <a:solidFill>
                <a:schemeClr val="accent5"/>
              </a:solidFill>
              <a:ln w="12700">
                <a:solidFill>
                  <a:schemeClr val="bg1"/>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7E7-49F2-B151-128F6DDF9B59}"/>
                </c:ext>
              </c:extLst>
            </c:dLbl>
            <c:dLbl>
              <c:idx val="8"/>
              <c:layout>
                <c:manualLayout>
                  <c:x val="-3.9481804639284954E-2"/>
                  <c:y val="-7.3837765987406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7E7-49F2-B151-128F6DDF9B5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5"/>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Hárok2!$B$2:$J$2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Hárok2!$B$7:$J$7</c:f>
              <c:numCache>
                <c:formatCode>#\ ##0.0</c:formatCode>
                <c:ptCount val="9"/>
                <c:pt idx="0">
                  <c:v>865.02</c:v>
                </c:pt>
                <c:pt idx="1">
                  <c:v>889.99</c:v>
                </c:pt>
                <c:pt idx="2">
                  <c:v>914.43</c:v>
                </c:pt>
                <c:pt idx="3">
                  <c:v>944.13</c:v>
                </c:pt>
                <c:pt idx="4">
                  <c:v>963.27</c:v>
                </c:pt>
                <c:pt idx="5">
                  <c:v>968.67</c:v>
                </c:pt>
                <c:pt idx="6">
                  <c:v>1021.29</c:v>
                </c:pt>
                <c:pt idx="7">
                  <c:v>1018.38</c:v>
                </c:pt>
                <c:pt idx="8">
                  <c:v>1194.33</c:v>
                </c:pt>
              </c:numCache>
            </c:numRef>
          </c:val>
          <c:smooth val="0"/>
          <c:extLst>
            <c:ext xmlns:c16="http://schemas.microsoft.com/office/drawing/2014/chart" uri="{C3380CC4-5D6E-409C-BE32-E72D297353CC}">
              <c16:uniqueId val="{0000000C-87E7-49F2-B151-128F6DDF9B59}"/>
            </c:ext>
          </c:extLst>
        </c:ser>
        <c:dLbls>
          <c:showLegendKey val="0"/>
          <c:showVal val="0"/>
          <c:showCatName val="0"/>
          <c:showSerName val="0"/>
          <c:showPercent val="0"/>
          <c:showBubbleSize val="0"/>
        </c:dLbls>
        <c:marker val="1"/>
        <c:smooth val="0"/>
        <c:axId val="429158672"/>
        <c:axId val="429150352"/>
      </c:lineChart>
      <c:catAx>
        <c:axId val="42915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29150352"/>
        <c:crosses val="autoZero"/>
        <c:auto val="1"/>
        <c:lblAlgn val="ctr"/>
        <c:lblOffset val="100"/>
        <c:noMultiLvlLbl val="0"/>
      </c:catAx>
      <c:valAx>
        <c:axId val="42915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42915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'Záväzky FUN2'!$A$3</c:f>
              <c:strCache>
                <c:ptCount val="1"/>
                <c:pt idx="0">
                  <c:v>Záväzky v lehote splatnosti</c:v>
                </c:pt>
              </c:strCache>
            </c:strRef>
          </c:tx>
          <c:spPr>
            <a:ln w="25400" cap="rnd">
              <a:solidFill>
                <a:schemeClr val="accent1"/>
              </a:solidFill>
              <a:round/>
            </a:ln>
            <a:effectLst/>
          </c:spPr>
          <c:marker>
            <c:symbol val="circle"/>
            <c:size val="5"/>
            <c:spPr>
              <a:solidFill>
                <a:schemeClr val="accent1"/>
              </a:solidFill>
              <a:ln w="12700">
                <a:solidFill>
                  <a:schemeClr val="bg1"/>
                </a:solidFill>
              </a:ln>
              <a:effectLst/>
            </c:spPr>
          </c:marker>
          <c:dLbls>
            <c:dLbl>
              <c:idx val="0"/>
              <c:layout>
                <c:manualLayout>
                  <c:x val="-4.2100374167672261E-2"/>
                  <c:y val="4.8573928258967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9A-458F-A22C-101614AABC14}"/>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9A-458F-A22C-101614AABC1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'Záväzky FUN2'!$B$2:$K$2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'Záväzky FUN2'!$B$3:$K$3</c:f>
              <c:numCache>
                <c:formatCode>#\ ##0.0</c:formatCode>
                <c:ptCount val="10"/>
                <c:pt idx="0">
                  <c:v>128.98500000000001</c:v>
                </c:pt>
                <c:pt idx="1">
                  <c:v>118.191</c:v>
                </c:pt>
                <c:pt idx="2">
                  <c:v>120.205</c:v>
                </c:pt>
                <c:pt idx="3">
                  <c:v>123.32899999999999</c:v>
                </c:pt>
                <c:pt idx="4">
                  <c:v>127.621</c:v>
                </c:pt>
                <c:pt idx="5">
                  <c:v>156.16800000000001</c:v>
                </c:pt>
                <c:pt idx="6">
                  <c:v>206.20400000000001</c:v>
                </c:pt>
                <c:pt idx="7">
                  <c:v>241.7</c:v>
                </c:pt>
                <c:pt idx="8">
                  <c:v>306.10000000000002</c:v>
                </c:pt>
                <c:pt idx="9">
                  <c:v>317.60000000000002</c:v>
                </c:pt>
              </c:numCache>
            </c:numRef>
          </c:val>
          <c:smooth val="0"/>
          <c:extLst>
            <c:ext xmlns:c16="http://schemas.microsoft.com/office/drawing/2014/chart" uri="{C3380CC4-5D6E-409C-BE32-E72D297353CC}">
              <c16:uniqueId val="{00000002-169A-458F-A22C-101614AABC14}"/>
            </c:ext>
          </c:extLst>
        </c:ser>
        <c:ser>
          <c:idx val="1"/>
          <c:order val="1"/>
          <c:tx>
            <c:strRef>
              <c:f>'Záväzky FUN2'!$A$4</c:f>
              <c:strCache>
                <c:ptCount val="1"/>
                <c:pt idx="0">
                  <c:v>Záväzky po lehote splatnosti</c:v>
                </c:pt>
              </c:strCache>
            </c:strRef>
          </c:tx>
          <c:spPr>
            <a:ln w="25400" cap="rnd">
              <a:solidFill>
                <a:schemeClr val="accent2"/>
              </a:solidFill>
              <a:round/>
            </a:ln>
            <a:effectLst/>
          </c:spPr>
          <c:marker>
            <c:symbol val="circle"/>
            <c:size val="5"/>
            <c:spPr>
              <a:solidFill>
                <a:schemeClr val="accent2"/>
              </a:solidFill>
              <a:ln w="12700">
                <a:solidFill>
                  <a:schemeClr val="bg1"/>
                </a:solidFill>
              </a:ln>
              <a:effectLst/>
            </c:spPr>
          </c:marker>
          <c:dLbls>
            <c:dLbl>
              <c:idx val="0"/>
              <c:layout>
                <c:manualLayout>
                  <c:x val="-7.5176449140108861E-2"/>
                  <c:y val="-8.772933234092006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9A-458F-A22C-101614AABC14}"/>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9A-458F-A22C-101614AABC1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'Záväzky FUN2'!$B$2:$K$2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'Záväzky FUN2'!$B$4:$K$4</c:f>
              <c:numCache>
                <c:formatCode>#\ ##0.0</c:formatCode>
                <c:ptCount val="10"/>
                <c:pt idx="0">
                  <c:v>236.82499999999999</c:v>
                </c:pt>
                <c:pt idx="1">
                  <c:v>317.85599999999999</c:v>
                </c:pt>
                <c:pt idx="2">
                  <c:v>426.923</c:v>
                </c:pt>
                <c:pt idx="3">
                  <c:v>527.16499999999996</c:v>
                </c:pt>
                <c:pt idx="4">
                  <c:v>646.38900000000001</c:v>
                </c:pt>
                <c:pt idx="5">
                  <c:v>656.34799999999996</c:v>
                </c:pt>
                <c:pt idx="6">
                  <c:v>529.77</c:v>
                </c:pt>
                <c:pt idx="7">
                  <c:v>593.20000000000005</c:v>
                </c:pt>
                <c:pt idx="8">
                  <c:v>694.6</c:v>
                </c:pt>
                <c:pt idx="9">
                  <c:v>690.3</c:v>
                </c:pt>
              </c:numCache>
            </c:numRef>
          </c:val>
          <c:smooth val="0"/>
          <c:extLst>
            <c:ext xmlns:c16="http://schemas.microsoft.com/office/drawing/2014/chart" uri="{C3380CC4-5D6E-409C-BE32-E72D297353CC}">
              <c16:uniqueId val="{00000005-169A-458F-A22C-101614AABC14}"/>
            </c:ext>
          </c:extLst>
        </c:ser>
        <c:ser>
          <c:idx val="2"/>
          <c:order val="2"/>
          <c:tx>
            <c:strRef>
              <c:f>'Záväzky FUN2'!$A$5</c:f>
              <c:strCache>
                <c:ptCount val="1"/>
                <c:pt idx="0">
                  <c:v>Celkové záväzky</c:v>
                </c:pt>
              </c:strCache>
            </c:strRef>
          </c:tx>
          <c:spPr>
            <a:ln w="25400" cap="rnd">
              <a:solidFill>
                <a:schemeClr val="accent3"/>
              </a:solidFill>
              <a:round/>
            </a:ln>
            <a:effectLst/>
          </c:spPr>
          <c:marker>
            <c:symbol val="circle"/>
            <c:size val="5"/>
            <c:spPr>
              <a:solidFill>
                <a:schemeClr val="accent3"/>
              </a:solidFill>
              <a:ln w="12700">
                <a:solidFill>
                  <a:schemeClr val="bg1"/>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9A-458F-A22C-101614AABC14}"/>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9A-458F-A22C-101614AABC1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3"/>
                    </a:solidFill>
                    <a:latin typeface="Segoe UI" panose="020B0502040204020203" pitchFamily="34" charset="0"/>
                    <a:ea typeface="+mn-ea"/>
                    <a:cs typeface="Segoe UI" panose="020B0502040204020203" pitchFamily="34" charset="0"/>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'Záväzky FUN2'!$B$2:$K$2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'Záväzky FUN2'!$B$5:$K$5</c:f>
              <c:numCache>
                <c:formatCode>#\ ##0.0</c:formatCode>
                <c:ptCount val="10"/>
                <c:pt idx="0">
                  <c:v>365.81</c:v>
                </c:pt>
                <c:pt idx="1">
                  <c:v>436.04700000000003</c:v>
                </c:pt>
                <c:pt idx="2">
                  <c:v>547.12800000000004</c:v>
                </c:pt>
                <c:pt idx="3">
                  <c:v>650.49400000000003</c:v>
                </c:pt>
                <c:pt idx="4">
                  <c:v>774.00900000000001</c:v>
                </c:pt>
                <c:pt idx="5">
                  <c:v>812.51599999999996</c:v>
                </c:pt>
                <c:pt idx="6">
                  <c:v>735.97400000000005</c:v>
                </c:pt>
                <c:pt idx="7">
                  <c:v>834.9</c:v>
                </c:pt>
                <c:pt idx="8">
                  <c:v>1000.7</c:v>
                </c:pt>
                <c:pt idx="9">
                  <c:v>1007.9</c:v>
                </c:pt>
              </c:numCache>
            </c:numRef>
          </c:val>
          <c:smooth val="0"/>
          <c:extLst>
            <c:ext xmlns:c16="http://schemas.microsoft.com/office/drawing/2014/chart" uri="{C3380CC4-5D6E-409C-BE32-E72D297353CC}">
              <c16:uniqueId val="{00000008-169A-458F-A22C-101614AABC14}"/>
            </c:ext>
          </c:extLst>
        </c:ser>
        <c:dLbls>
          <c:dLblPos val="t"/>
          <c:showLegendKey val="0"/>
          <c:showVal val="1"/>
          <c:showCatName val="0"/>
          <c:showSerName val="0"/>
          <c:showPercent val="0"/>
          <c:showBubbleSize val="0"/>
        </c:dLbls>
        <c:marker val="1"/>
        <c:smooth val="0"/>
        <c:axId val="1501474528"/>
        <c:axId val="1501482432"/>
      </c:lineChart>
      <c:catAx>
        <c:axId val="15014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501482432"/>
        <c:crosses val="autoZero"/>
        <c:auto val="1"/>
        <c:lblAlgn val="ctr"/>
        <c:lblOffset val="100"/>
        <c:noMultiLvlLbl val="0"/>
      </c:catAx>
      <c:valAx>
        <c:axId val="1501482432"/>
        <c:scaling>
          <c:orientation val="minMax"/>
          <c:max val="11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50147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Rozpočet</c:v>
          </c:tx>
          <c:spPr>
            <a:solidFill>
              <a:schemeClr val="accent1"/>
            </a:solidFill>
            <a:ln>
              <a:noFill/>
            </a:ln>
            <a:effectLst/>
          </c:spPr>
          <c:invertIfNegative val="0"/>
          <c:cat>
            <c:strRef>
              <c:f>Hárok1!$H$3:$H$7</c:f>
              <c:strCache>
                <c:ptCount val="5"/>
                <c:pt idx="0">
                  <c:v>NP rozvoja športu v SR</c:v>
                </c:pt>
                <c:pt idx="1">
                  <c:v>VŠ vzdelávanie a veda, sociálna podpora študentov VŠ</c:v>
                </c:pt>
                <c:pt idx="2">
                  <c:v>NP výchovy, vzdelávania a mládeže</c:v>
                </c:pt>
                <c:pt idx="3">
                  <c:v>NP rozvoja vedy a techniky</c:v>
                </c:pt>
                <c:pt idx="4">
                  <c:v>OP Integrovaná infraštruktúra</c:v>
                </c:pt>
              </c:strCache>
            </c:strRef>
          </c:cat>
          <c:val>
            <c:numRef>
              <c:f>Hárok1!$I$3:$I$7</c:f>
              <c:numCache>
                <c:formatCode>#\ ##0.0</c:formatCode>
                <c:ptCount val="5"/>
                <c:pt idx="0">
                  <c:v>78.873029000000002</c:v>
                </c:pt>
                <c:pt idx="1">
                  <c:v>600.11803099999997</c:v>
                </c:pt>
                <c:pt idx="2">
                  <c:v>2479.2990359999999</c:v>
                </c:pt>
                <c:pt idx="3">
                  <c:v>57.235940999999997</c:v>
                </c:pt>
                <c:pt idx="4">
                  <c:v>180.00957299999999</c:v>
                </c:pt>
              </c:numCache>
            </c:numRef>
          </c:val>
          <c:extLst>
            <c:ext xmlns:c16="http://schemas.microsoft.com/office/drawing/2014/chart" uri="{C3380CC4-5D6E-409C-BE32-E72D297353CC}">
              <c16:uniqueId val="{00000000-3318-4AC5-8398-1D9C3F698C4E}"/>
            </c:ext>
          </c:extLst>
        </c:ser>
        <c:ser>
          <c:idx val="2"/>
          <c:order val="1"/>
          <c:tx>
            <c:v>Skutočnosť</c:v>
          </c:tx>
          <c:spPr>
            <a:solidFill>
              <a:schemeClr val="accent3"/>
            </a:solidFill>
            <a:ln>
              <a:noFill/>
            </a:ln>
            <a:effectLst/>
          </c:spPr>
          <c:invertIfNegative val="0"/>
          <c:cat>
            <c:strRef>
              <c:f>Hárok1!$H$3:$H$7</c:f>
              <c:strCache>
                <c:ptCount val="5"/>
                <c:pt idx="0">
                  <c:v>NP rozvoja športu v SR</c:v>
                </c:pt>
                <c:pt idx="1">
                  <c:v>VŠ vzdelávanie a veda, sociálna podpora študentov VŠ</c:v>
                </c:pt>
                <c:pt idx="2">
                  <c:v>NP výchovy, vzdelávania a mládeže</c:v>
                </c:pt>
                <c:pt idx="3">
                  <c:v>NP rozvoja vedy a techniky</c:v>
                </c:pt>
                <c:pt idx="4">
                  <c:v>OP Integrovaná infraštruktúra</c:v>
                </c:pt>
              </c:strCache>
            </c:strRef>
          </c:cat>
          <c:val>
            <c:numRef>
              <c:f>Hárok1!$K$3:$K$7</c:f>
              <c:numCache>
                <c:formatCode>#\ ##0.0</c:formatCode>
                <c:ptCount val="5"/>
                <c:pt idx="0">
                  <c:v>82.095577569999989</c:v>
                </c:pt>
                <c:pt idx="1">
                  <c:v>611.07304194000005</c:v>
                </c:pt>
                <c:pt idx="2">
                  <c:v>2369.1750718000003</c:v>
                </c:pt>
                <c:pt idx="3">
                  <c:v>52.786363739999999</c:v>
                </c:pt>
                <c:pt idx="4">
                  <c:v>136.23109461000001</c:v>
                </c:pt>
              </c:numCache>
            </c:numRef>
          </c:val>
          <c:extLst>
            <c:ext xmlns:c16="http://schemas.microsoft.com/office/drawing/2014/chart" uri="{C3380CC4-5D6E-409C-BE32-E72D297353CC}">
              <c16:uniqueId val="{00000001-3318-4AC5-8398-1D9C3F698C4E}"/>
            </c:ext>
          </c:extLst>
        </c:ser>
        <c:dLbls>
          <c:showLegendKey val="0"/>
          <c:showVal val="0"/>
          <c:showCatName val="0"/>
          <c:showSerName val="0"/>
          <c:showPercent val="0"/>
          <c:showBubbleSize val="0"/>
        </c:dLbls>
        <c:gapWidth val="219"/>
        <c:axId val="374212063"/>
        <c:axId val="374214559"/>
      </c:barChart>
      <c:scatterChart>
        <c:scatterStyle val="lineMarker"/>
        <c:varyColors val="0"/>
        <c:ser>
          <c:idx val="3"/>
          <c:order val="2"/>
          <c:tx>
            <c:v>% čerpania (pravá os)</c:v>
          </c:tx>
          <c:spPr>
            <a:ln w="25400" cap="rnd">
              <a:noFill/>
              <a:round/>
            </a:ln>
            <a:effectLst/>
          </c:spPr>
          <c:marker>
            <c:symbol val="diamond"/>
            <c:size val="5"/>
            <c:spPr>
              <a:solidFill>
                <a:schemeClr val="accent6"/>
              </a:solidFill>
              <a:ln w="9525">
                <a:solidFill>
                  <a:schemeClr val="accent6"/>
                </a:solidFill>
              </a:ln>
              <a:effectLst/>
            </c:spPr>
          </c:marker>
          <c:xVal>
            <c:strRef>
              <c:f>Hárok1!$H$3:$H$7</c:f>
              <c:strCache>
                <c:ptCount val="5"/>
                <c:pt idx="0">
                  <c:v>NP rozvoja športu v SR</c:v>
                </c:pt>
                <c:pt idx="1">
                  <c:v>VŠ vzdelávanie a veda, sociálna podpora študentov VŠ</c:v>
                </c:pt>
                <c:pt idx="2">
                  <c:v>NP výchovy, vzdelávania a mládeže</c:v>
                </c:pt>
                <c:pt idx="3">
                  <c:v>NP rozvoja vedy a techniky</c:v>
                </c:pt>
                <c:pt idx="4">
                  <c:v>OP Integrovaná infraštruktúra</c:v>
                </c:pt>
              </c:strCache>
            </c:strRef>
          </c:xVal>
          <c:yVal>
            <c:numRef>
              <c:f>Hárok1!$L$3:$L$7</c:f>
              <c:numCache>
                <c:formatCode>0.0</c:formatCode>
                <c:ptCount val="5"/>
                <c:pt idx="0">
                  <c:v>104.08574212358445</c:v>
                </c:pt>
                <c:pt idx="1">
                  <c:v>101.82547605206018</c:v>
                </c:pt>
                <c:pt idx="2">
                  <c:v>95.558262129699813</c:v>
                </c:pt>
                <c:pt idx="3">
                  <c:v>92.225903545466309</c:v>
                </c:pt>
                <c:pt idx="4">
                  <c:v>75.679916539772037</c:v>
                </c:pt>
              </c:numCache>
            </c:numRef>
          </c:yVal>
          <c:smooth val="0"/>
          <c:extLst>
            <c:ext xmlns:c16="http://schemas.microsoft.com/office/drawing/2014/chart" uri="{C3380CC4-5D6E-409C-BE32-E72D297353CC}">
              <c16:uniqueId val="{00000002-3318-4AC5-8398-1D9C3F698C4E}"/>
            </c:ext>
          </c:extLst>
        </c:ser>
        <c:dLbls>
          <c:showLegendKey val="0"/>
          <c:showVal val="0"/>
          <c:showCatName val="0"/>
          <c:showSerName val="0"/>
          <c:showPercent val="0"/>
          <c:showBubbleSize val="0"/>
        </c:dLbls>
        <c:axId val="161430959"/>
        <c:axId val="161434287"/>
      </c:scatterChart>
      <c:catAx>
        <c:axId val="374212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74214559"/>
        <c:crosses val="autoZero"/>
        <c:auto val="1"/>
        <c:lblAlgn val="ctr"/>
        <c:lblOffset val="100"/>
        <c:noMultiLvlLbl val="0"/>
      </c:catAx>
      <c:valAx>
        <c:axId val="374214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74212063"/>
        <c:crosses val="autoZero"/>
        <c:crossBetween val="between"/>
      </c:valAx>
      <c:valAx>
        <c:axId val="161434287"/>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61430959"/>
        <c:crosses val="max"/>
        <c:crossBetween val="midCat"/>
      </c:valAx>
      <c:valAx>
        <c:axId val="161430959"/>
        <c:scaling>
          <c:orientation val="minMax"/>
        </c:scaling>
        <c:delete val="1"/>
        <c:axPos val="t"/>
        <c:majorTickMark val="out"/>
        <c:minorTickMark val="none"/>
        <c:tickLblPos val="nextTo"/>
        <c:crossAx val="161434287"/>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84434466352862914"/>
        </c:manualLayout>
      </c:layout>
      <c:barChart>
        <c:barDir val="col"/>
        <c:grouping val="clustered"/>
        <c:varyColors val="0"/>
        <c:ser>
          <c:idx val="0"/>
          <c:order val="0"/>
          <c:tx>
            <c:strRef>
              <c:f>'Graf 2'!$C$2</c:f>
              <c:strCache>
                <c:ptCount val="1"/>
                <c:pt idx="0">
                  <c:v>2022</c:v>
                </c:pt>
              </c:strCache>
            </c:strRef>
          </c:tx>
          <c:spPr>
            <a:solidFill>
              <a:srgbClr val="9CB9EC"/>
            </a:solidFill>
            <a:ln>
              <a:noFill/>
            </a:ln>
            <a:effectLst/>
          </c:spPr>
          <c:invertIfNegative val="0"/>
          <c:dPt>
            <c:idx val="15"/>
            <c:invertIfNegative val="0"/>
            <c:bubble3D val="0"/>
            <c:spPr>
              <a:solidFill>
                <a:srgbClr val="9CB9EC"/>
              </a:solidFill>
              <a:ln>
                <a:noFill/>
              </a:ln>
              <a:effectLst/>
            </c:spPr>
            <c:extLst>
              <c:ext xmlns:c16="http://schemas.microsoft.com/office/drawing/2014/chart" uri="{C3380CC4-5D6E-409C-BE32-E72D297353CC}">
                <c16:uniqueId val="{00000001-4FDD-4C4E-924B-A90E5F52BFF5}"/>
              </c:ext>
            </c:extLst>
          </c:dPt>
          <c:dPt>
            <c:idx val="24"/>
            <c:invertIfNegative val="0"/>
            <c:bubble3D val="0"/>
            <c:spPr>
              <a:solidFill>
                <a:srgbClr val="F55647"/>
              </a:solidFill>
              <a:ln>
                <a:noFill/>
              </a:ln>
              <a:effectLst/>
            </c:spPr>
            <c:extLst>
              <c:ext xmlns:c16="http://schemas.microsoft.com/office/drawing/2014/chart" uri="{C3380CC4-5D6E-409C-BE32-E72D297353CC}">
                <c16:uniqueId val="{00000003-4FDD-4C4E-924B-A90E5F52BFF5}"/>
              </c:ext>
            </c:extLst>
          </c:dPt>
          <c:dLbls>
            <c:dLbl>
              <c:idx val="24"/>
              <c:layout>
                <c:manualLayout>
                  <c:x val="-8.8076238956353392E-8"/>
                  <c:y val="-6.7214325482042023E-2"/>
                </c:manualLayout>
              </c:layout>
              <c:spPr>
                <a:noFill/>
                <a:ln>
                  <a:solidFill>
                    <a:srgbClr val="F55647"/>
                  </a:solid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15:layout>
                    <c:manualLayout>
                      <c:w val="3.885906040268456E-2"/>
                      <c:h val="9.1234050289168395E-2"/>
                    </c:manualLayout>
                  </c15:layout>
                </c:ext>
                <c:ext xmlns:c16="http://schemas.microsoft.com/office/drawing/2014/chart" uri="{C3380CC4-5D6E-409C-BE32-E72D297353CC}">
                  <c16:uniqueId val="{00000003-4FDD-4C4E-924B-A90E5F52BFF5}"/>
                </c:ext>
              </c:extLst>
            </c:dLbl>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2'!$B$3:$B$29</c:f>
              <c:strCache>
                <c:ptCount val="27"/>
                <c:pt idx="0">
                  <c:v>Írsko</c:v>
                </c:pt>
                <c:pt idx="1">
                  <c:v>Malta</c:v>
                </c:pt>
                <c:pt idx="2">
                  <c:v>Portugalsko</c:v>
                </c:pt>
                <c:pt idx="3">
                  <c:v>Chorvátsko</c:v>
                </c:pt>
                <c:pt idx="4">
                  <c:v>Grécko</c:v>
                </c:pt>
                <c:pt idx="5">
                  <c:v>Cyprus</c:v>
                </c:pt>
                <c:pt idx="6">
                  <c:v>Španielsko</c:v>
                </c:pt>
                <c:pt idx="7">
                  <c:v>Slovinsko</c:v>
                </c:pt>
                <c:pt idx="8">
                  <c:v>Poľsko</c:v>
                </c:pt>
                <c:pt idx="9">
                  <c:v>Rakúsko</c:v>
                </c:pt>
                <c:pt idx="10">
                  <c:v>Rumunsko</c:v>
                </c:pt>
                <c:pt idx="11">
                  <c:v>Maďarsko</c:v>
                </c:pt>
                <c:pt idx="12">
                  <c:v>Holandsko</c:v>
                </c:pt>
                <c:pt idx="13">
                  <c:v>Dánsko</c:v>
                </c:pt>
                <c:pt idx="14">
                  <c:v>Taliansko</c:v>
                </c:pt>
                <c:pt idx="15">
                  <c:v>Bulharsko</c:v>
                </c:pt>
                <c:pt idx="16">
                  <c:v>Belgicko</c:v>
                </c:pt>
                <c:pt idx="17">
                  <c:v>Lotyšsko</c:v>
                </c:pt>
                <c:pt idx="18">
                  <c:v>Francúzsko</c:v>
                </c:pt>
                <c:pt idx="19">
                  <c:v>Švédsko</c:v>
                </c:pt>
                <c:pt idx="20">
                  <c:v>Česko</c:v>
                </c:pt>
                <c:pt idx="21">
                  <c:v>Fínsko</c:v>
                </c:pt>
                <c:pt idx="22">
                  <c:v>Litva</c:v>
                </c:pt>
                <c:pt idx="23">
                  <c:v>Nemecko</c:v>
                </c:pt>
                <c:pt idx="24">
                  <c:v>Slovensko</c:v>
                </c:pt>
                <c:pt idx="25">
                  <c:v>Luxembursko</c:v>
                </c:pt>
                <c:pt idx="26">
                  <c:v>Estónsko</c:v>
                </c:pt>
              </c:strCache>
            </c:strRef>
          </c:cat>
          <c:val>
            <c:numRef>
              <c:f>'Graf 2'!$C$3:$C$29</c:f>
              <c:numCache>
                <c:formatCode>General</c:formatCode>
                <c:ptCount val="27"/>
                <c:pt idx="0">
                  <c:v>12</c:v>
                </c:pt>
                <c:pt idx="1">
                  <c:v>6.9</c:v>
                </c:pt>
                <c:pt idx="2">
                  <c:v>6.7</c:v>
                </c:pt>
                <c:pt idx="3">
                  <c:v>6.2</c:v>
                </c:pt>
                <c:pt idx="4">
                  <c:v>5.9</c:v>
                </c:pt>
                <c:pt idx="5">
                  <c:v>5.6</c:v>
                </c:pt>
                <c:pt idx="6">
                  <c:v>5.5</c:v>
                </c:pt>
                <c:pt idx="7">
                  <c:v>5.4</c:v>
                </c:pt>
                <c:pt idx="8">
                  <c:v>5.0999999999999996</c:v>
                </c:pt>
                <c:pt idx="9">
                  <c:v>5</c:v>
                </c:pt>
                <c:pt idx="10">
                  <c:v>4.7</c:v>
                </c:pt>
                <c:pt idx="11">
                  <c:v>4.5999999999999996</c:v>
                </c:pt>
                <c:pt idx="12">
                  <c:v>4.5</c:v>
                </c:pt>
                <c:pt idx="13">
                  <c:v>3.8</c:v>
                </c:pt>
                <c:pt idx="14">
                  <c:v>3.7</c:v>
                </c:pt>
                <c:pt idx="15">
                  <c:v>3.4</c:v>
                </c:pt>
                <c:pt idx="16">
                  <c:v>3.2</c:v>
                </c:pt>
                <c:pt idx="17">
                  <c:v>2.8</c:v>
                </c:pt>
                <c:pt idx="18">
                  <c:v>2.6</c:v>
                </c:pt>
                <c:pt idx="19">
                  <c:v>2.6</c:v>
                </c:pt>
                <c:pt idx="20">
                  <c:v>2.5</c:v>
                </c:pt>
                <c:pt idx="21">
                  <c:v>2.1</c:v>
                </c:pt>
                <c:pt idx="22">
                  <c:v>1.9</c:v>
                </c:pt>
                <c:pt idx="23">
                  <c:v>1.8</c:v>
                </c:pt>
                <c:pt idx="24">
                  <c:v>1.7</c:v>
                </c:pt>
                <c:pt idx="25">
                  <c:v>1.5</c:v>
                </c:pt>
                <c:pt idx="26">
                  <c:v>-1.3</c:v>
                </c:pt>
              </c:numCache>
            </c:numRef>
          </c:val>
          <c:extLst>
            <c:ext xmlns:c16="http://schemas.microsoft.com/office/drawing/2014/chart" uri="{C3380CC4-5D6E-409C-BE32-E72D297353CC}">
              <c16:uniqueId val="{00000004-4FDD-4C4E-924B-A90E5F52BFF5}"/>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tx>
            <c:strRef>
              <c:f>'Graf 2'!$E$2</c:f>
              <c:strCache>
                <c:ptCount val="1"/>
                <c:pt idx="0">
                  <c:v>Priemer EÚ</c:v>
                </c:pt>
              </c:strCache>
            </c:strRef>
          </c:tx>
          <c:spPr>
            <a:ln w="25400" cap="rnd">
              <a:solidFill>
                <a:srgbClr val="314364"/>
              </a:solidFill>
              <a:prstDash val="sysDash"/>
              <a:round/>
            </a:ln>
            <a:effectLst/>
          </c:spPr>
          <c:marker>
            <c:symbol val="none"/>
          </c:marker>
          <c:cat>
            <c:strRef>
              <c:f>'Graf 2'!$B$3:$B$29</c:f>
              <c:strCache>
                <c:ptCount val="27"/>
                <c:pt idx="0">
                  <c:v>Írsko</c:v>
                </c:pt>
                <c:pt idx="1">
                  <c:v>Malta</c:v>
                </c:pt>
                <c:pt idx="2">
                  <c:v>Portugalsko</c:v>
                </c:pt>
                <c:pt idx="3">
                  <c:v>Chorvátsko</c:v>
                </c:pt>
                <c:pt idx="4">
                  <c:v>Grécko</c:v>
                </c:pt>
                <c:pt idx="5">
                  <c:v>Cyprus</c:v>
                </c:pt>
                <c:pt idx="6">
                  <c:v>Španielsko</c:v>
                </c:pt>
                <c:pt idx="7">
                  <c:v>Slovinsko</c:v>
                </c:pt>
                <c:pt idx="8">
                  <c:v>Poľsko</c:v>
                </c:pt>
                <c:pt idx="9">
                  <c:v>Rakúsko</c:v>
                </c:pt>
                <c:pt idx="10">
                  <c:v>Rumunsko</c:v>
                </c:pt>
                <c:pt idx="11">
                  <c:v>Maďarsko</c:v>
                </c:pt>
                <c:pt idx="12">
                  <c:v>Holandsko</c:v>
                </c:pt>
                <c:pt idx="13">
                  <c:v>Dánsko</c:v>
                </c:pt>
                <c:pt idx="14">
                  <c:v>Taliansko</c:v>
                </c:pt>
                <c:pt idx="15">
                  <c:v>Bulharsko</c:v>
                </c:pt>
                <c:pt idx="16">
                  <c:v>Belgicko</c:v>
                </c:pt>
                <c:pt idx="17">
                  <c:v>Lotyšsko</c:v>
                </c:pt>
                <c:pt idx="18">
                  <c:v>Francúzsko</c:v>
                </c:pt>
                <c:pt idx="19">
                  <c:v>Švédsko</c:v>
                </c:pt>
                <c:pt idx="20">
                  <c:v>Česko</c:v>
                </c:pt>
                <c:pt idx="21">
                  <c:v>Fínsko</c:v>
                </c:pt>
                <c:pt idx="22">
                  <c:v>Litva</c:v>
                </c:pt>
                <c:pt idx="23">
                  <c:v>Nemecko</c:v>
                </c:pt>
                <c:pt idx="24">
                  <c:v>Slovensko</c:v>
                </c:pt>
                <c:pt idx="25">
                  <c:v>Luxembursko</c:v>
                </c:pt>
                <c:pt idx="26">
                  <c:v>Estónsko</c:v>
                </c:pt>
              </c:strCache>
            </c:strRef>
          </c:cat>
          <c:val>
            <c:numRef>
              <c:f>'Graf 2'!$E$3:$E$29</c:f>
              <c:numCache>
                <c:formatCode>#\ ##0.0_ ;\-#\ ##0.0\ </c:formatCode>
                <c:ptCount val="27"/>
                <c:pt idx="0">
                  <c:v>3.5</c:v>
                </c:pt>
                <c:pt idx="1">
                  <c:v>3.5</c:v>
                </c:pt>
                <c:pt idx="2">
                  <c:v>3.5</c:v>
                </c:pt>
                <c:pt idx="3">
                  <c:v>3.5</c:v>
                </c:pt>
                <c:pt idx="4">
                  <c:v>3.5</c:v>
                </c:pt>
                <c:pt idx="5">
                  <c:v>3.5</c:v>
                </c:pt>
                <c:pt idx="6">
                  <c:v>3.5</c:v>
                </c:pt>
                <c:pt idx="7">
                  <c:v>3.5</c:v>
                </c:pt>
                <c:pt idx="8">
                  <c:v>3.5</c:v>
                </c:pt>
                <c:pt idx="9">
                  <c:v>3.5</c:v>
                </c:pt>
                <c:pt idx="10">
                  <c:v>3.5</c:v>
                </c:pt>
                <c:pt idx="11">
                  <c:v>3.5</c:v>
                </c:pt>
                <c:pt idx="12">
                  <c:v>3.5</c:v>
                </c:pt>
                <c:pt idx="13">
                  <c:v>3.5</c:v>
                </c:pt>
                <c:pt idx="14">
                  <c:v>3.5</c:v>
                </c:pt>
                <c:pt idx="15">
                  <c:v>3.5</c:v>
                </c:pt>
                <c:pt idx="16">
                  <c:v>3.5</c:v>
                </c:pt>
                <c:pt idx="17">
                  <c:v>3.5</c:v>
                </c:pt>
                <c:pt idx="18">
                  <c:v>3.5</c:v>
                </c:pt>
                <c:pt idx="19">
                  <c:v>3.5</c:v>
                </c:pt>
                <c:pt idx="20">
                  <c:v>3.5</c:v>
                </c:pt>
                <c:pt idx="21">
                  <c:v>3.5</c:v>
                </c:pt>
                <c:pt idx="22">
                  <c:v>3.5</c:v>
                </c:pt>
                <c:pt idx="23">
                  <c:v>3.5</c:v>
                </c:pt>
                <c:pt idx="24">
                  <c:v>3.5</c:v>
                </c:pt>
                <c:pt idx="25">
                  <c:v>3.5</c:v>
                </c:pt>
                <c:pt idx="26">
                  <c:v>3.5</c:v>
                </c:pt>
              </c:numCache>
            </c:numRef>
          </c:val>
          <c:smooth val="0"/>
          <c:extLst>
            <c:ext xmlns:c16="http://schemas.microsoft.com/office/drawing/2014/chart" uri="{C3380CC4-5D6E-409C-BE32-E72D297353CC}">
              <c16:uniqueId val="{00000005-4FDD-4C4E-924B-A90E5F52BFF5}"/>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Počet!$A$21</c:f>
              <c:strCache>
                <c:ptCount val="1"/>
                <c:pt idx="0">
                  <c:v>Učitelia na plný úväzok</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Počet!$B$20:$E$20</c:f>
              <c:strCache>
                <c:ptCount val="4"/>
                <c:pt idx="0">
                  <c:v>2019/2020</c:v>
                </c:pt>
                <c:pt idx="1">
                  <c:v>2020/2021</c:v>
                </c:pt>
                <c:pt idx="2">
                  <c:v>2021/2022</c:v>
                </c:pt>
                <c:pt idx="3">
                  <c:v>2022/2023</c:v>
                </c:pt>
              </c:strCache>
            </c:strRef>
          </c:cat>
          <c:val>
            <c:numRef>
              <c:f>Počet!$B$21:$E$21</c:f>
              <c:numCache>
                <c:formatCode>General</c:formatCode>
                <c:ptCount val="4"/>
                <c:pt idx="0">
                  <c:v>9383</c:v>
                </c:pt>
                <c:pt idx="1">
                  <c:v>9352</c:v>
                </c:pt>
                <c:pt idx="2">
                  <c:v>9102</c:v>
                </c:pt>
                <c:pt idx="3">
                  <c:v>9093</c:v>
                </c:pt>
              </c:numCache>
            </c:numRef>
          </c:val>
          <c:extLst>
            <c:ext xmlns:c16="http://schemas.microsoft.com/office/drawing/2014/chart" uri="{C3380CC4-5D6E-409C-BE32-E72D297353CC}">
              <c16:uniqueId val="{00000000-EF82-436B-B112-439D0D5F968F}"/>
            </c:ext>
          </c:extLst>
        </c:ser>
        <c:ser>
          <c:idx val="1"/>
          <c:order val="1"/>
          <c:tx>
            <c:strRef>
              <c:f>Počet!$A$22</c:f>
              <c:strCache>
                <c:ptCount val="1"/>
                <c:pt idx="0">
                  <c:v>Učitelia na kratší pracovný čas</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Počet!$B$20:$E$20</c:f>
              <c:strCache>
                <c:ptCount val="4"/>
                <c:pt idx="0">
                  <c:v>2019/2020</c:v>
                </c:pt>
                <c:pt idx="1">
                  <c:v>2020/2021</c:v>
                </c:pt>
                <c:pt idx="2">
                  <c:v>2021/2022</c:v>
                </c:pt>
                <c:pt idx="3">
                  <c:v>2022/2023</c:v>
                </c:pt>
              </c:strCache>
            </c:strRef>
          </c:cat>
          <c:val>
            <c:numRef>
              <c:f>Počet!$B$22:$E$22</c:f>
              <c:numCache>
                <c:formatCode>General</c:formatCode>
                <c:ptCount val="4"/>
                <c:pt idx="0">
                  <c:v>1531</c:v>
                </c:pt>
                <c:pt idx="1">
                  <c:v>1641</c:v>
                </c:pt>
                <c:pt idx="2">
                  <c:v>1673</c:v>
                </c:pt>
                <c:pt idx="3">
                  <c:v>1665</c:v>
                </c:pt>
              </c:numCache>
            </c:numRef>
          </c:val>
          <c:extLst>
            <c:ext xmlns:c16="http://schemas.microsoft.com/office/drawing/2014/chart" uri="{C3380CC4-5D6E-409C-BE32-E72D297353CC}">
              <c16:uniqueId val="{00000001-EF82-436B-B112-439D0D5F968F}"/>
            </c:ext>
          </c:extLst>
        </c:ser>
        <c:dLbls>
          <c:showLegendKey val="0"/>
          <c:showVal val="0"/>
          <c:showCatName val="0"/>
          <c:showSerName val="0"/>
          <c:showPercent val="0"/>
          <c:showBubbleSize val="0"/>
        </c:dLbls>
        <c:gapWidth val="100"/>
        <c:overlap val="100"/>
        <c:axId val="307489007"/>
        <c:axId val="307489423"/>
      </c:barChart>
      <c:catAx>
        <c:axId val="30748900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a:t>Akademický rok</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07489423"/>
        <c:crosses val="autoZero"/>
        <c:auto val="1"/>
        <c:lblAlgn val="ctr"/>
        <c:lblOffset val="100"/>
        <c:noMultiLvlLbl val="0"/>
      </c:catAx>
      <c:valAx>
        <c:axId val="307489423"/>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07489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'Mzdy (všetci zamestanci VŠ)'!$A$3</c:f>
              <c:strCache>
                <c:ptCount val="1"/>
                <c:pt idx="0">
                  <c:v>Priemerný plat v eurách</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Segoe UI" panose="020B0502040204020203" pitchFamily="34" charset="0"/>
                    <a:ea typeface="+mn-ea"/>
                    <a:cs typeface="Segoe UI" panose="020B0502040204020203" pitchFamily="34" charset="0"/>
                  </a:defRPr>
                </a:pPr>
                <a:endParaRPr lang="sk-SK"/>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'Mzdy (všetci zamestanci VŠ)'!$B$2:$E$2</c:f>
              <c:numCache>
                <c:formatCode>General</c:formatCode>
                <c:ptCount val="4"/>
                <c:pt idx="0">
                  <c:v>2019</c:v>
                </c:pt>
                <c:pt idx="1">
                  <c:v>2020</c:v>
                </c:pt>
                <c:pt idx="2">
                  <c:v>2021</c:v>
                </c:pt>
                <c:pt idx="3">
                  <c:v>2022</c:v>
                </c:pt>
              </c:numCache>
            </c:numRef>
          </c:cat>
          <c:val>
            <c:numRef>
              <c:f>'Mzdy (všetci zamestanci VŠ)'!$B$3:$E$3</c:f>
              <c:numCache>
                <c:formatCode>0.0</c:formatCode>
                <c:ptCount val="4"/>
                <c:pt idx="0">
                  <c:v>1736.5941489566187</c:v>
                </c:pt>
                <c:pt idx="1">
                  <c:v>1865.4044786860261</c:v>
                </c:pt>
                <c:pt idx="2">
                  <c:v>1959.6894177679017</c:v>
                </c:pt>
                <c:pt idx="3">
                  <c:v>2036.8129474519008</c:v>
                </c:pt>
              </c:numCache>
            </c:numRef>
          </c:val>
          <c:extLst>
            <c:ext xmlns:c16="http://schemas.microsoft.com/office/drawing/2014/chart" uri="{C3380CC4-5D6E-409C-BE32-E72D297353CC}">
              <c16:uniqueId val="{00000000-83E1-4AC6-A54C-D03132C70099}"/>
            </c:ext>
          </c:extLst>
        </c:ser>
        <c:dLbls>
          <c:showLegendKey val="0"/>
          <c:showVal val="0"/>
          <c:showCatName val="0"/>
          <c:showSerName val="0"/>
          <c:showPercent val="0"/>
          <c:showBubbleSize val="0"/>
        </c:dLbls>
        <c:gapWidth val="100"/>
        <c:axId val="1107844143"/>
        <c:axId val="1107848719"/>
      </c:barChart>
      <c:lineChart>
        <c:grouping val="standard"/>
        <c:varyColors val="0"/>
        <c:ser>
          <c:idx val="1"/>
          <c:order val="1"/>
          <c:tx>
            <c:strRef>
              <c:f>'Mzdy (všetci zamestanci VŠ)'!$A$4</c:f>
              <c:strCache>
                <c:ptCount val="1"/>
                <c:pt idx="0">
                  <c:v>Medziročný nárast priemerného platu v % (pravá os)</c:v>
                </c:pt>
              </c:strCache>
            </c:strRef>
          </c:tx>
          <c:spPr>
            <a:ln w="28575" cap="rnd">
              <a:noFill/>
              <a:round/>
            </a:ln>
            <a:effectLst/>
          </c:spPr>
          <c:marker>
            <c:symbol val="triangle"/>
            <c:size val="8"/>
            <c:spPr>
              <a:solidFill>
                <a:schemeClr val="accent2"/>
              </a:solidFill>
              <a:ln w="9525">
                <a:solidFill>
                  <a:schemeClr val="accent2"/>
                </a:solidFill>
              </a:ln>
              <a:effectLst/>
            </c:spPr>
          </c:marker>
          <c:dPt>
            <c:idx val="2"/>
            <c:marker>
              <c:symbol val="triangle"/>
              <c:size val="8"/>
              <c:spPr>
                <a:solidFill>
                  <a:schemeClr val="accent2"/>
                </a:solidFill>
                <a:ln w="9525">
                  <a:solidFill>
                    <a:schemeClr val="accent2"/>
                  </a:solidFill>
                </a:ln>
                <a:effectLst/>
              </c:spPr>
            </c:marker>
            <c:bubble3D val="0"/>
            <c:spPr>
              <a:ln w="28575" cap="rnd">
                <a:noFill/>
                <a:round/>
              </a:ln>
              <a:effectLst/>
            </c:spPr>
            <c:extLst>
              <c:ext xmlns:c16="http://schemas.microsoft.com/office/drawing/2014/chart" uri="{C3380CC4-5D6E-409C-BE32-E72D297353CC}">
                <c16:uniqueId val="{00000002-83E1-4AC6-A54C-D03132C70099}"/>
              </c:ext>
            </c:extLst>
          </c:dPt>
          <c:dLbls>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'Mzdy (všetci zamestanci VŠ)'!$B$2:$E$2</c:f>
              <c:numCache>
                <c:formatCode>General</c:formatCode>
                <c:ptCount val="4"/>
                <c:pt idx="0">
                  <c:v>2019</c:v>
                </c:pt>
                <c:pt idx="1">
                  <c:v>2020</c:v>
                </c:pt>
                <c:pt idx="2">
                  <c:v>2021</c:v>
                </c:pt>
                <c:pt idx="3">
                  <c:v>2022</c:v>
                </c:pt>
              </c:numCache>
            </c:numRef>
          </c:cat>
          <c:val>
            <c:numRef>
              <c:f>'Mzdy (všetci zamestanci VŠ)'!$B$4:$E$4</c:f>
              <c:numCache>
                <c:formatCode>0.0</c:formatCode>
                <c:ptCount val="4"/>
                <c:pt idx="1">
                  <c:v>7.417411247573261</c:v>
                </c:pt>
                <c:pt idx="2">
                  <c:v>5.0543965214605375</c:v>
                </c:pt>
                <c:pt idx="3">
                  <c:v>3.9354975836856472</c:v>
                </c:pt>
              </c:numCache>
            </c:numRef>
          </c:val>
          <c:smooth val="0"/>
          <c:extLst>
            <c:ext xmlns:c16="http://schemas.microsoft.com/office/drawing/2014/chart" uri="{C3380CC4-5D6E-409C-BE32-E72D297353CC}">
              <c16:uniqueId val="{00000003-83E1-4AC6-A54C-D03132C70099}"/>
            </c:ext>
          </c:extLst>
        </c:ser>
        <c:dLbls>
          <c:showLegendKey val="0"/>
          <c:showVal val="0"/>
          <c:showCatName val="0"/>
          <c:showSerName val="0"/>
          <c:showPercent val="0"/>
          <c:showBubbleSize val="0"/>
        </c:dLbls>
        <c:marker val="1"/>
        <c:smooth val="0"/>
        <c:axId val="1103938559"/>
        <c:axId val="1103942303"/>
      </c:lineChart>
      <c:catAx>
        <c:axId val="1107844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107848719"/>
        <c:crosses val="autoZero"/>
        <c:auto val="1"/>
        <c:lblAlgn val="ctr"/>
        <c:lblOffset val="100"/>
        <c:noMultiLvlLbl val="0"/>
      </c:catAx>
      <c:valAx>
        <c:axId val="1107848719"/>
        <c:scaling>
          <c:orientation val="minMax"/>
          <c:max val="25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107844143"/>
        <c:crosses val="autoZero"/>
        <c:crossBetween val="between"/>
        <c:majorUnit val="500"/>
      </c:valAx>
      <c:valAx>
        <c:axId val="1103942303"/>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103938559"/>
        <c:crosses val="max"/>
        <c:crossBetween val="between"/>
        <c:majorUnit val="2"/>
      </c:valAx>
      <c:catAx>
        <c:axId val="1103938559"/>
        <c:scaling>
          <c:orientation val="minMax"/>
        </c:scaling>
        <c:delete val="1"/>
        <c:axPos val="b"/>
        <c:numFmt formatCode="General" sourceLinked="1"/>
        <c:majorTickMark val="out"/>
        <c:minorTickMark val="none"/>
        <c:tickLblPos val="nextTo"/>
        <c:crossAx val="11039423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'Mzdy (všetci zamestanci VŠ)'!$B$17</c:f>
              <c:strCache>
                <c:ptCount val="1"/>
                <c:pt idx="0">
                  <c:v>2020</c:v>
                </c:pt>
              </c:strCache>
            </c:strRef>
          </c:tx>
          <c:spPr>
            <a:solidFill>
              <a:schemeClr val="accent1"/>
            </a:solidFill>
            <a:ln>
              <a:noFill/>
            </a:ln>
            <a:effectLst/>
          </c:spPr>
          <c:invertIfNegative val="0"/>
          <c:cat>
            <c:strRef>
              <c:f>'Mzdy (všetci zamestanci VŠ)'!$A$18:$A$24</c:f>
              <c:strCache>
                <c:ptCount val="7"/>
                <c:pt idx="0">
                  <c:v>Profesori</c:v>
                </c:pt>
                <c:pt idx="1">
                  <c:v>Docenti</c:v>
                </c:pt>
                <c:pt idx="2">
                  <c:v>Odborní asistenti</c:v>
                </c:pt>
                <c:pt idx="3">
                  <c:v>Asistenti</c:v>
                </c:pt>
                <c:pt idx="4">
                  <c:v>Lektori</c:v>
                </c:pt>
                <c:pt idx="5">
                  <c:v>VaU zamestnanci </c:v>
                </c:pt>
                <c:pt idx="6">
                  <c:v>VaU zamestnanci s VŠ</c:v>
                </c:pt>
              </c:strCache>
            </c:strRef>
          </c:cat>
          <c:val>
            <c:numRef>
              <c:f>'Mzdy (všetci zamestanci VŠ)'!$B$18:$B$24</c:f>
              <c:numCache>
                <c:formatCode>0.0</c:formatCode>
                <c:ptCount val="7"/>
                <c:pt idx="0">
                  <c:v>7.8268996013694014</c:v>
                </c:pt>
                <c:pt idx="1">
                  <c:v>7.093136740066659</c:v>
                </c:pt>
                <c:pt idx="2">
                  <c:v>8.0616515612230408</c:v>
                </c:pt>
                <c:pt idx="3">
                  <c:v>3.9968651137209612</c:v>
                </c:pt>
                <c:pt idx="4">
                  <c:v>6.9996616589007159</c:v>
                </c:pt>
                <c:pt idx="5">
                  <c:v>8.0746989794211057</c:v>
                </c:pt>
                <c:pt idx="6">
                  <c:v>8.0951055249084511</c:v>
                </c:pt>
              </c:numCache>
            </c:numRef>
          </c:val>
          <c:extLst>
            <c:ext xmlns:c16="http://schemas.microsoft.com/office/drawing/2014/chart" uri="{C3380CC4-5D6E-409C-BE32-E72D297353CC}">
              <c16:uniqueId val="{00000000-1C98-4706-98B8-BE6FB1D142FA}"/>
            </c:ext>
          </c:extLst>
        </c:ser>
        <c:ser>
          <c:idx val="1"/>
          <c:order val="1"/>
          <c:tx>
            <c:strRef>
              <c:f>'Mzdy (všetci zamestanci VŠ)'!$C$17</c:f>
              <c:strCache>
                <c:ptCount val="1"/>
                <c:pt idx="0">
                  <c:v>2021</c:v>
                </c:pt>
              </c:strCache>
            </c:strRef>
          </c:tx>
          <c:spPr>
            <a:solidFill>
              <a:schemeClr val="accent2"/>
            </a:solidFill>
            <a:ln>
              <a:noFill/>
            </a:ln>
            <a:effectLst/>
          </c:spPr>
          <c:invertIfNegative val="0"/>
          <c:cat>
            <c:strRef>
              <c:f>'Mzdy (všetci zamestanci VŠ)'!$A$18:$A$24</c:f>
              <c:strCache>
                <c:ptCount val="7"/>
                <c:pt idx="0">
                  <c:v>Profesori</c:v>
                </c:pt>
                <c:pt idx="1">
                  <c:v>Docenti</c:v>
                </c:pt>
                <c:pt idx="2">
                  <c:v>Odborní asistenti</c:v>
                </c:pt>
                <c:pt idx="3">
                  <c:v>Asistenti</c:v>
                </c:pt>
                <c:pt idx="4">
                  <c:v>Lektori</c:v>
                </c:pt>
                <c:pt idx="5">
                  <c:v>VaU zamestnanci </c:v>
                </c:pt>
                <c:pt idx="6">
                  <c:v>VaU zamestnanci s VŠ</c:v>
                </c:pt>
              </c:strCache>
            </c:strRef>
          </c:cat>
          <c:val>
            <c:numRef>
              <c:f>'Mzdy (všetci zamestanci VŠ)'!$C$18:$C$24</c:f>
              <c:numCache>
                <c:formatCode>0.0</c:formatCode>
                <c:ptCount val="7"/>
                <c:pt idx="0">
                  <c:v>4.3553368186941492</c:v>
                </c:pt>
                <c:pt idx="1">
                  <c:v>4.9677355644841885</c:v>
                </c:pt>
                <c:pt idx="2">
                  <c:v>4.3310063260122487</c:v>
                </c:pt>
                <c:pt idx="3">
                  <c:v>2.6896831345094268</c:v>
                </c:pt>
                <c:pt idx="4">
                  <c:v>5.7609136743853879</c:v>
                </c:pt>
                <c:pt idx="5">
                  <c:v>8.3649550478726145</c:v>
                </c:pt>
                <c:pt idx="6">
                  <c:v>7.3803333881849218</c:v>
                </c:pt>
              </c:numCache>
            </c:numRef>
          </c:val>
          <c:extLst>
            <c:ext xmlns:c16="http://schemas.microsoft.com/office/drawing/2014/chart" uri="{C3380CC4-5D6E-409C-BE32-E72D297353CC}">
              <c16:uniqueId val="{00000001-1C98-4706-98B8-BE6FB1D142FA}"/>
            </c:ext>
          </c:extLst>
        </c:ser>
        <c:ser>
          <c:idx val="2"/>
          <c:order val="2"/>
          <c:tx>
            <c:strRef>
              <c:f>'Mzdy (všetci zamestanci VŠ)'!$D$17</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'Mzdy (všetci zamestanci VŠ)'!$A$18:$A$24</c:f>
              <c:strCache>
                <c:ptCount val="7"/>
                <c:pt idx="0">
                  <c:v>Profesori</c:v>
                </c:pt>
                <c:pt idx="1">
                  <c:v>Docenti</c:v>
                </c:pt>
                <c:pt idx="2">
                  <c:v>Odborní asistenti</c:v>
                </c:pt>
                <c:pt idx="3">
                  <c:v>Asistenti</c:v>
                </c:pt>
                <c:pt idx="4">
                  <c:v>Lektori</c:v>
                </c:pt>
                <c:pt idx="5">
                  <c:v>VaU zamestnanci </c:v>
                </c:pt>
                <c:pt idx="6">
                  <c:v>VaU zamestnanci s VŠ</c:v>
                </c:pt>
              </c:strCache>
            </c:strRef>
          </c:cat>
          <c:val>
            <c:numRef>
              <c:f>'Mzdy (všetci zamestanci VŠ)'!$D$18:$D$24</c:f>
              <c:numCache>
                <c:formatCode>0.0</c:formatCode>
                <c:ptCount val="7"/>
                <c:pt idx="0">
                  <c:v>2.0111561728759324</c:v>
                </c:pt>
                <c:pt idx="1">
                  <c:v>0.65332024957766588</c:v>
                </c:pt>
                <c:pt idx="2">
                  <c:v>3.1345007879190034</c:v>
                </c:pt>
                <c:pt idx="3">
                  <c:v>2.2977988616834217</c:v>
                </c:pt>
                <c:pt idx="4">
                  <c:v>9.499714259526872</c:v>
                </c:pt>
                <c:pt idx="5">
                  <c:v>4.79538707846881</c:v>
                </c:pt>
                <c:pt idx="6">
                  <c:v>3.9825140878070489</c:v>
                </c:pt>
              </c:numCache>
            </c:numRef>
          </c:val>
          <c:extLst>
            <c:ext xmlns:c16="http://schemas.microsoft.com/office/drawing/2014/chart" uri="{C3380CC4-5D6E-409C-BE32-E72D297353CC}">
              <c16:uniqueId val="{00000002-1C98-4706-98B8-BE6FB1D142FA}"/>
            </c:ext>
          </c:extLst>
        </c:ser>
        <c:dLbls>
          <c:showLegendKey val="0"/>
          <c:showVal val="0"/>
          <c:showCatName val="0"/>
          <c:showSerName val="0"/>
          <c:showPercent val="0"/>
          <c:showBubbleSize val="0"/>
        </c:dLbls>
        <c:gapWidth val="100"/>
        <c:axId val="1311717055"/>
        <c:axId val="1311723711"/>
      </c:barChart>
      <c:catAx>
        <c:axId val="1311717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11723711"/>
        <c:crosses val="autoZero"/>
        <c:auto val="1"/>
        <c:lblAlgn val="ctr"/>
        <c:lblOffset val="100"/>
        <c:noMultiLvlLbl val="0"/>
      </c:catAx>
      <c:valAx>
        <c:axId val="13117237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a:t>Medziročný nárast priemerného platu v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11717055"/>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Počet!$A$30</c:f>
              <c:strCache>
                <c:ptCount val="1"/>
                <c:pt idx="0">
                  <c:v>Počet</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Počet!$B$27:$E$27</c:f>
              <c:numCache>
                <c:formatCode>General</c:formatCode>
                <c:ptCount val="4"/>
                <c:pt idx="0">
                  <c:v>2019</c:v>
                </c:pt>
                <c:pt idx="1">
                  <c:v>2020</c:v>
                </c:pt>
                <c:pt idx="2">
                  <c:v>2021</c:v>
                </c:pt>
                <c:pt idx="3">
                  <c:v>2022</c:v>
                </c:pt>
              </c:numCache>
            </c:numRef>
          </c:cat>
          <c:val>
            <c:numRef>
              <c:f>Počet!$B$30:$E$30</c:f>
              <c:numCache>
                <c:formatCode>#,##0.00</c:formatCode>
                <c:ptCount val="4"/>
                <c:pt idx="0" formatCode="General">
                  <c:v>9446.1</c:v>
                </c:pt>
                <c:pt idx="1">
                  <c:v>9264.1</c:v>
                </c:pt>
                <c:pt idx="2" formatCode="General">
                  <c:v>8879.4</c:v>
                </c:pt>
                <c:pt idx="3" formatCode="General">
                  <c:v>8780.9</c:v>
                </c:pt>
              </c:numCache>
            </c:numRef>
          </c:val>
          <c:extLst>
            <c:ext xmlns:c16="http://schemas.microsoft.com/office/drawing/2014/chart" uri="{C3380CC4-5D6E-409C-BE32-E72D297353CC}">
              <c16:uniqueId val="{00000000-5A0A-4FE2-8C6C-0186EF27DAC8}"/>
            </c:ext>
          </c:extLst>
        </c:ser>
        <c:dLbls>
          <c:showLegendKey val="0"/>
          <c:showVal val="0"/>
          <c:showCatName val="0"/>
          <c:showSerName val="0"/>
          <c:showPercent val="0"/>
          <c:showBubbleSize val="0"/>
        </c:dLbls>
        <c:gapWidth val="219"/>
        <c:axId val="1806996336"/>
        <c:axId val="1807000912"/>
      </c:barChart>
      <c:lineChart>
        <c:grouping val="stacked"/>
        <c:varyColors val="0"/>
        <c:ser>
          <c:idx val="1"/>
          <c:order val="1"/>
          <c:tx>
            <c:strRef>
              <c:f>Počet!$A$32</c:f>
              <c:strCache>
                <c:ptCount val="1"/>
                <c:pt idx="0">
                  <c:v>Mzdové náklady v mil. eur (pravá os)</c:v>
                </c:pt>
              </c:strCache>
            </c:strRef>
          </c:tx>
          <c:spPr>
            <a:ln w="25400" cap="rnd">
              <a:solidFill>
                <a:schemeClr val="accent2"/>
              </a:solidFill>
              <a:round/>
            </a:ln>
            <a:effectLst/>
          </c:spPr>
          <c:marker>
            <c:symbol val="circle"/>
            <c:size val="5"/>
            <c:spPr>
              <a:solidFill>
                <a:schemeClr val="accent2"/>
              </a:solidFill>
              <a:ln w="12700">
                <a:solidFill>
                  <a:schemeClr val="bg1"/>
                </a:solidFill>
              </a:ln>
              <a:effectLst/>
            </c:spPr>
          </c:marker>
          <c:dLbls>
            <c:numFmt formatCode="#,##0" sourceLinked="0"/>
            <c:spPr>
              <a:noFill/>
              <a:ln>
                <a:noFill/>
              </a:ln>
              <a:effectLst/>
            </c:spPr>
            <c:txPr>
              <a:bodyPr rot="0" spcFirstLastPara="1" vertOverflow="ellipsis" vert="horz" wrap="square" anchor="ctr" anchorCtr="1"/>
              <a:lstStyle/>
              <a:p>
                <a:pPr>
                  <a:defRPr sz="8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Počet!$B$27:$E$27</c:f>
              <c:numCache>
                <c:formatCode>General</c:formatCode>
                <c:ptCount val="4"/>
                <c:pt idx="0">
                  <c:v>2019</c:v>
                </c:pt>
                <c:pt idx="1">
                  <c:v>2020</c:v>
                </c:pt>
                <c:pt idx="2">
                  <c:v>2021</c:v>
                </c:pt>
                <c:pt idx="3">
                  <c:v>2022</c:v>
                </c:pt>
              </c:numCache>
            </c:numRef>
          </c:cat>
          <c:val>
            <c:numRef>
              <c:f>Počet!$B$32:$E$32</c:f>
              <c:numCache>
                <c:formatCode>0</c:formatCode>
                <c:ptCount val="4"/>
                <c:pt idx="0">
                  <c:v>120.217169</c:v>
                </c:pt>
                <c:pt idx="1">
                  <c:v>123.553358</c:v>
                </c:pt>
                <c:pt idx="2">
                  <c:v>126.36728100000001</c:v>
                </c:pt>
                <c:pt idx="3">
                  <c:v>132.39491699999999</c:v>
                </c:pt>
              </c:numCache>
            </c:numRef>
          </c:val>
          <c:smooth val="0"/>
          <c:extLst>
            <c:ext xmlns:c16="http://schemas.microsoft.com/office/drawing/2014/chart" uri="{C3380CC4-5D6E-409C-BE32-E72D297353CC}">
              <c16:uniqueId val="{00000001-5A0A-4FE2-8C6C-0186EF27DAC8}"/>
            </c:ext>
          </c:extLst>
        </c:ser>
        <c:dLbls>
          <c:showLegendKey val="0"/>
          <c:showVal val="0"/>
          <c:showCatName val="0"/>
          <c:showSerName val="0"/>
          <c:showPercent val="0"/>
          <c:showBubbleSize val="0"/>
        </c:dLbls>
        <c:marker val="1"/>
        <c:smooth val="0"/>
        <c:axId val="1807003408"/>
        <c:axId val="1807002992"/>
      </c:lineChart>
      <c:catAx>
        <c:axId val="180699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807000912"/>
        <c:crosses val="autoZero"/>
        <c:auto val="1"/>
        <c:lblAlgn val="ctr"/>
        <c:lblOffset val="100"/>
        <c:noMultiLvlLbl val="0"/>
      </c:catAx>
      <c:valAx>
        <c:axId val="1807000912"/>
        <c:scaling>
          <c:orientation val="minMax"/>
          <c:max val="14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806996336"/>
        <c:crosses val="autoZero"/>
        <c:crossBetween val="between"/>
      </c:valAx>
      <c:valAx>
        <c:axId val="1807002992"/>
        <c:scaling>
          <c:orientation val="minMax"/>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807003408"/>
        <c:crosses val="max"/>
        <c:crossBetween val="between"/>
      </c:valAx>
      <c:catAx>
        <c:axId val="1807003408"/>
        <c:scaling>
          <c:orientation val="minMax"/>
        </c:scaling>
        <c:delete val="1"/>
        <c:axPos val="b"/>
        <c:numFmt formatCode="General" sourceLinked="1"/>
        <c:majorTickMark val="out"/>
        <c:minorTickMark val="none"/>
        <c:tickLblPos val="nextTo"/>
        <c:crossAx val="1807002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Počet!$B$19</c:f>
              <c:strCache>
                <c:ptCount val="1"/>
                <c:pt idx="0">
                  <c:v>2019</c:v>
                </c:pt>
              </c:strCache>
            </c:strRef>
          </c:tx>
          <c:spPr>
            <a:solidFill>
              <a:schemeClr val="accent1"/>
            </a:solidFill>
            <a:ln>
              <a:noFill/>
            </a:ln>
            <a:effectLst/>
          </c:spPr>
          <c:invertIfNegative val="0"/>
          <c:cat>
            <c:strRef>
              <c:f>Počet!$A$20:$A$24</c:f>
              <c:strCache>
                <c:ptCount val="5"/>
                <c:pt idx="0">
                  <c:v>Odborní </c:v>
                </c:pt>
                <c:pt idx="1">
                  <c:v>Administratívni </c:v>
                </c:pt>
                <c:pt idx="2">
                  <c:v>Prevádzkoví</c:v>
                </c:pt>
                <c:pt idx="3">
                  <c:v>Študent. domovy</c:v>
                </c:pt>
                <c:pt idx="4">
                  <c:v>Študent. jedálne</c:v>
                </c:pt>
              </c:strCache>
            </c:strRef>
          </c:cat>
          <c:val>
            <c:numRef>
              <c:f>Počet!$B$20:$B$24</c:f>
              <c:numCache>
                <c:formatCode>0.0</c:formatCode>
                <c:ptCount val="5"/>
                <c:pt idx="0">
                  <c:v>2091.3000000000002</c:v>
                </c:pt>
                <c:pt idx="1">
                  <c:v>3204</c:v>
                </c:pt>
                <c:pt idx="2">
                  <c:v>2478.3000000000002</c:v>
                </c:pt>
                <c:pt idx="3">
                  <c:v>1292.9000000000001</c:v>
                </c:pt>
                <c:pt idx="4">
                  <c:v>379.6</c:v>
                </c:pt>
              </c:numCache>
            </c:numRef>
          </c:val>
          <c:extLst>
            <c:ext xmlns:c16="http://schemas.microsoft.com/office/drawing/2014/chart" uri="{C3380CC4-5D6E-409C-BE32-E72D297353CC}">
              <c16:uniqueId val="{00000000-B32B-4344-93FD-28FE92AD5FCD}"/>
            </c:ext>
          </c:extLst>
        </c:ser>
        <c:ser>
          <c:idx val="1"/>
          <c:order val="1"/>
          <c:tx>
            <c:strRef>
              <c:f>Počet!$C$19</c:f>
              <c:strCache>
                <c:ptCount val="1"/>
                <c:pt idx="0">
                  <c:v>2020</c:v>
                </c:pt>
              </c:strCache>
            </c:strRef>
          </c:tx>
          <c:spPr>
            <a:solidFill>
              <a:schemeClr val="accent2"/>
            </a:solidFill>
            <a:ln>
              <a:noFill/>
            </a:ln>
            <a:effectLst/>
          </c:spPr>
          <c:invertIfNegative val="0"/>
          <c:cat>
            <c:strRef>
              <c:f>Počet!$A$20:$A$24</c:f>
              <c:strCache>
                <c:ptCount val="5"/>
                <c:pt idx="0">
                  <c:v>Odborní </c:v>
                </c:pt>
                <c:pt idx="1">
                  <c:v>Administratívni </c:v>
                </c:pt>
                <c:pt idx="2">
                  <c:v>Prevádzkoví</c:v>
                </c:pt>
                <c:pt idx="3">
                  <c:v>Študent. domovy</c:v>
                </c:pt>
                <c:pt idx="4">
                  <c:v>Študent. jedálne</c:v>
                </c:pt>
              </c:strCache>
            </c:strRef>
          </c:cat>
          <c:val>
            <c:numRef>
              <c:f>Počet!$C$20:$C$24</c:f>
              <c:numCache>
                <c:formatCode>0.0</c:formatCode>
                <c:ptCount val="5"/>
                <c:pt idx="0">
                  <c:v>2063.6</c:v>
                </c:pt>
                <c:pt idx="1">
                  <c:v>3217.7</c:v>
                </c:pt>
                <c:pt idx="2">
                  <c:v>2372.6999999999998</c:v>
                </c:pt>
                <c:pt idx="3">
                  <c:v>1265.9000000000001</c:v>
                </c:pt>
                <c:pt idx="4">
                  <c:v>344.2</c:v>
                </c:pt>
              </c:numCache>
            </c:numRef>
          </c:val>
          <c:extLst>
            <c:ext xmlns:c16="http://schemas.microsoft.com/office/drawing/2014/chart" uri="{C3380CC4-5D6E-409C-BE32-E72D297353CC}">
              <c16:uniqueId val="{00000001-B32B-4344-93FD-28FE92AD5FCD}"/>
            </c:ext>
          </c:extLst>
        </c:ser>
        <c:ser>
          <c:idx val="2"/>
          <c:order val="2"/>
          <c:tx>
            <c:strRef>
              <c:f>Počet!$D$19</c:f>
              <c:strCache>
                <c:ptCount val="1"/>
                <c:pt idx="0">
                  <c:v>2021</c:v>
                </c:pt>
              </c:strCache>
            </c:strRef>
          </c:tx>
          <c:spPr>
            <a:solidFill>
              <a:schemeClr val="accent3"/>
            </a:solidFill>
            <a:ln>
              <a:noFill/>
            </a:ln>
            <a:effectLst/>
          </c:spPr>
          <c:invertIfNegative val="0"/>
          <c:cat>
            <c:strRef>
              <c:f>Počet!$A$20:$A$24</c:f>
              <c:strCache>
                <c:ptCount val="5"/>
                <c:pt idx="0">
                  <c:v>Odborní </c:v>
                </c:pt>
                <c:pt idx="1">
                  <c:v>Administratívni </c:v>
                </c:pt>
                <c:pt idx="2">
                  <c:v>Prevádzkoví</c:v>
                </c:pt>
                <c:pt idx="3">
                  <c:v>Študent. domovy</c:v>
                </c:pt>
                <c:pt idx="4">
                  <c:v>Študent. jedálne</c:v>
                </c:pt>
              </c:strCache>
            </c:strRef>
          </c:cat>
          <c:val>
            <c:numRef>
              <c:f>Počet!$D$20:$D$24</c:f>
              <c:numCache>
                <c:formatCode>0.0</c:formatCode>
                <c:ptCount val="5"/>
                <c:pt idx="0">
                  <c:v>2015.3</c:v>
                </c:pt>
                <c:pt idx="1">
                  <c:v>3179.8</c:v>
                </c:pt>
                <c:pt idx="2">
                  <c:v>2171.5</c:v>
                </c:pt>
                <c:pt idx="3">
                  <c:v>1226.9000000000001</c:v>
                </c:pt>
                <c:pt idx="4">
                  <c:v>285.89999999999998</c:v>
                </c:pt>
              </c:numCache>
            </c:numRef>
          </c:val>
          <c:extLst>
            <c:ext xmlns:c16="http://schemas.microsoft.com/office/drawing/2014/chart" uri="{C3380CC4-5D6E-409C-BE32-E72D297353CC}">
              <c16:uniqueId val="{00000002-B32B-4344-93FD-28FE92AD5FCD}"/>
            </c:ext>
          </c:extLst>
        </c:ser>
        <c:ser>
          <c:idx val="3"/>
          <c:order val="3"/>
          <c:tx>
            <c:strRef>
              <c:f>Počet!$E$19</c:f>
              <c:strCache>
                <c:ptCount val="1"/>
                <c:pt idx="0">
                  <c:v>2022</c:v>
                </c:pt>
              </c:strCache>
            </c:strRef>
          </c:tx>
          <c:spPr>
            <a:solidFill>
              <a:schemeClr val="accent4"/>
            </a:solidFill>
            <a:ln>
              <a:noFill/>
            </a:ln>
            <a:effectLst/>
          </c:spPr>
          <c:invertIfNegative val="0"/>
          <c:cat>
            <c:strRef>
              <c:f>Počet!$A$20:$A$24</c:f>
              <c:strCache>
                <c:ptCount val="5"/>
                <c:pt idx="0">
                  <c:v>Odborní </c:v>
                </c:pt>
                <c:pt idx="1">
                  <c:v>Administratívni </c:v>
                </c:pt>
                <c:pt idx="2">
                  <c:v>Prevádzkoví</c:v>
                </c:pt>
                <c:pt idx="3">
                  <c:v>Študent. domovy</c:v>
                </c:pt>
                <c:pt idx="4">
                  <c:v>Študent. jedálne</c:v>
                </c:pt>
              </c:strCache>
            </c:strRef>
          </c:cat>
          <c:val>
            <c:numRef>
              <c:f>Počet!$E$20:$E$24</c:f>
              <c:numCache>
                <c:formatCode>General</c:formatCode>
                <c:ptCount val="5"/>
                <c:pt idx="0">
                  <c:v>2004</c:v>
                </c:pt>
                <c:pt idx="1">
                  <c:v>3154.6</c:v>
                </c:pt>
                <c:pt idx="2">
                  <c:v>2139.8000000000002</c:v>
                </c:pt>
                <c:pt idx="3">
                  <c:v>1210.9000000000001</c:v>
                </c:pt>
                <c:pt idx="4">
                  <c:v>271.60000000000002</c:v>
                </c:pt>
              </c:numCache>
            </c:numRef>
          </c:val>
          <c:extLst>
            <c:ext xmlns:c16="http://schemas.microsoft.com/office/drawing/2014/chart" uri="{C3380CC4-5D6E-409C-BE32-E72D297353CC}">
              <c16:uniqueId val="{00000003-B32B-4344-93FD-28FE92AD5FCD}"/>
            </c:ext>
          </c:extLst>
        </c:ser>
        <c:dLbls>
          <c:showLegendKey val="0"/>
          <c:showVal val="0"/>
          <c:showCatName val="0"/>
          <c:showSerName val="0"/>
          <c:showPercent val="0"/>
          <c:showBubbleSize val="0"/>
        </c:dLbls>
        <c:gapWidth val="100"/>
        <c:axId val="1311715807"/>
        <c:axId val="1311727455"/>
      </c:barChart>
      <c:catAx>
        <c:axId val="1311715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11727455"/>
        <c:crosses val="autoZero"/>
        <c:auto val="1"/>
        <c:lblAlgn val="ctr"/>
        <c:lblOffset val="100"/>
        <c:noMultiLvlLbl val="0"/>
      </c:catAx>
      <c:valAx>
        <c:axId val="13117274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11715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'školstvo 7'!$C$2</c:f>
              <c:strCache>
                <c:ptCount val="1"/>
                <c:pt idx="0">
                  <c:v>Priemerný plat v roku 2022 v eurách</c:v>
                </c:pt>
              </c:strCache>
            </c:strRef>
          </c:tx>
          <c:spPr>
            <a:solidFill>
              <a:schemeClr val="accent1"/>
            </a:solidFill>
            <a:ln>
              <a:noFill/>
            </a:ln>
            <a:effectLst/>
          </c:spPr>
          <c:invertIfNegative val="0"/>
          <c:cat>
            <c:strRef>
              <c:f>'školstvo 7'!$B$3:$B$7</c:f>
              <c:strCache>
                <c:ptCount val="5"/>
                <c:pt idx="0">
                  <c:v>Prevádzkoví  zamestnanci</c:v>
                </c:pt>
                <c:pt idx="1">
                  <c:v>Zamestnanci študentských jedální</c:v>
                </c:pt>
                <c:pt idx="2">
                  <c:v>Zamestnanci študentských domovov</c:v>
                </c:pt>
                <c:pt idx="3">
                  <c:v>Odborní  zamestnanci</c:v>
                </c:pt>
                <c:pt idx="4">
                  <c:v>Administratívni  zamestnanci</c:v>
                </c:pt>
              </c:strCache>
            </c:strRef>
          </c:cat>
          <c:val>
            <c:numRef>
              <c:f>'školstvo 7'!$C$3:$C$7</c:f>
              <c:numCache>
                <c:formatCode>#\ ##0.0</c:formatCode>
                <c:ptCount val="5"/>
                <c:pt idx="0">
                  <c:v>927.01728354674879</c:v>
                </c:pt>
                <c:pt idx="1">
                  <c:v>928.86874079528707</c:v>
                </c:pt>
                <c:pt idx="2">
                  <c:v>1066.9436644919756</c:v>
                </c:pt>
                <c:pt idx="3">
                  <c:v>1309.3077178975384</c:v>
                </c:pt>
                <c:pt idx="4">
                  <c:v>1545.2792747099475</c:v>
                </c:pt>
              </c:numCache>
            </c:numRef>
          </c:val>
          <c:extLst>
            <c:ext xmlns:c16="http://schemas.microsoft.com/office/drawing/2014/chart" uri="{C3380CC4-5D6E-409C-BE32-E72D297353CC}">
              <c16:uniqueId val="{00000000-4D30-4C29-8B7A-B7036D85E293}"/>
            </c:ext>
          </c:extLst>
        </c:ser>
        <c:dLbls>
          <c:showLegendKey val="0"/>
          <c:showVal val="0"/>
          <c:showCatName val="0"/>
          <c:showSerName val="0"/>
          <c:showPercent val="0"/>
          <c:showBubbleSize val="0"/>
        </c:dLbls>
        <c:gapWidth val="100"/>
        <c:axId val="669109584"/>
        <c:axId val="669110416"/>
      </c:barChart>
      <c:catAx>
        <c:axId val="669109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69110416"/>
        <c:crosses val="autoZero"/>
        <c:auto val="1"/>
        <c:lblAlgn val="ctr"/>
        <c:lblOffset val="100"/>
        <c:noMultiLvlLbl val="0"/>
      </c:catAx>
      <c:valAx>
        <c:axId val="669110416"/>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r>
                  <a:rPr lang="sk-SK" sz="800"/>
                  <a:t>Priemerný plat v roku 2022 v eurách</a:t>
                </a:r>
              </a:p>
            </c:rich>
          </c:tx>
          <c:layout>
            <c:manualLayout>
              <c:xMode val="edge"/>
              <c:yMode val="edge"/>
              <c:x val="0.39638368246968025"/>
              <c:y val="0.8757810515621032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69109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'práca 1'!$D$3</c:f>
              <c:strCache>
                <c:ptCount val="1"/>
                <c:pt idx="0">
                  <c:v>Rozpočet</c:v>
                </c:pt>
              </c:strCache>
            </c:strRef>
          </c:tx>
          <c:spPr>
            <a:solidFill>
              <a:schemeClr val="bg2"/>
            </a:solidFill>
            <a:ln>
              <a:noFill/>
            </a:ln>
            <a:effectLst/>
          </c:spPr>
          <c:invertIfNegative val="0"/>
          <c:cat>
            <c:strRef>
              <c:f>'práca 1'!$B$4:$B$6</c:f>
              <c:strCache>
                <c:ptCount val="3"/>
                <c:pt idx="0">
                  <c:v>07C Sociálna inklúzia</c:v>
                </c:pt>
                <c:pt idx="1">
                  <c:v>07E Tvorba a implementácia politík</c:v>
                </c:pt>
                <c:pt idx="2">
                  <c:v>06G Ľudské zdroje</c:v>
                </c:pt>
              </c:strCache>
            </c:strRef>
          </c:cat>
          <c:val>
            <c:numRef>
              <c:f>'práca 1'!$D$4:$D$6</c:f>
              <c:numCache>
                <c:formatCode>#\ ##0.0</c:formatCode>
                <c:ptCount val="3"/>
                <c:pt idx="0">
                  <c:v>2966367448</c:v>
                </c:pt>
                <c:pt idx="1">
                  <c:v>184341554</c:v>
                </c:pt>
                <c:pt idx="2">
                  <c:v>278052932</c:v>
                </c:pt>
              </c:numCache>
            </c:numRef>
          </c:val>
          <c:extLst>
            <c:ext xmlns:c16="http://schemas.microsoft.com/office/drawing/2014/chart" uri="{C3380CC4-5D6E-409C-BE32-E72D297353CC}">
              <c16:uniqueId val="{00000000-C6ED-470B-A8A3-7C13D71FEC3E}"/>
            </c:ext>
          </c:extLst>
        </c:ser>
        <c:ser>
          <c:idx val="2"/>
          <c:order val="1"/>
          <c:tx>
            <c:strRef>
              <c:f>'práca 1'!$E$3</c:f>
              <c:strCache>
                <c:ptCount val="1"/>
                <c:pt idx="0">
                  <c:v>Novelizovaný rozpočet</c:v>
                </c:pt>
              </c:strCache>
            </c:strRef>
          </c:tx>
          <c:spPr>
            <a:solidFill>
              <a:schemeClr val="tx2"/>
            </a:solidFill>
            <a:ln>
              <a:noFill/>
            </a:ln>
            <a:effectLst/>
          </c:spPr>
          <c:invertIfNegative val="0"/>
          <c:cat>
            <c:strRef>
              <c:f>'práca 1'!$B$4:$B$6</c:f>
              <c:strCache>
                <c:ptCount val="3"/>
                <c:pt idx="0">
                  <c:v>07C Sociálna inklúzia</c:v>
                </c:pt>
                <c:pt idx="1">
                  <c:v>07E Tvorba a implementácia politík</c:v>
                </c:pt>
                <c:pt idx="2">
                  <c:v>06G Ľudské zdroje</c:v>
                </c:pt>
              </c:strCache>
            </c:strRef>
          </c:cat>
          <c:val>
            <c:numRef>
              <c:f>'práca 1'!$E$4:$E$6</c:f>
              <c:numCache>
                <c:formatCode>#,##0</c:formatCode>
                <c:ptCount val="3"/>
                <c:pt idx="0">
                  <c:v>3173986789</c:v>
                </c:pt>
                <c:pt idx="1">
                  <c:v>374379213</c:v>
                </c:pt>
                <c:pt idx="2">
                  <c:v>278052932</c:v>
                </c:pt>
              </c:numCache>
            </c:numRef>
          </c:val>
          <c:extLst>
            <c:ext xmlns:c16="http://schemas.microsoft.com/office/drawing/2014/chart" uri="{C3380CC4-5D6E-409C-BE32-E72D297353CC}">
              <c16:uniqueId val="{00000001-C6ED-470B-A8A3-7C13D71FEC3E}"/>
            </c:ext>
          </c:extLst>
        </c:ser>
        <c:ser>
          <c:idx val="4"/>
          <c:order val="2"/>
          <c:tx>
            <c:strRef>
              <c:f>'práca 1'!$G$3</c:f>
              <c:strCache>
                <c:ptCount val="1"/>
                <c:pt idx="0">
                  <c:v>Skutočnosť</c:v>
                </c:pt>
              </c:strCache>
            </c:strRef>
          </c:tx>
          <c:spPr>
            <a:solidFill>
              <a:schemeClr val="accent4"/>
            </a:solidFill>
            <a:ln>
              <a:noFill/>
            </a:ln>
            <a:effectLst/>
          </c:spPr>
          <c:invertIfNegative val="0"/>
          <c:cat>
            <c:strRef>
              <c:f>'práca 1'!$B$4:$B$6</c:f>
              <c:strCache>
                <c:ptCount val="3"/>
                <c:pt idx="0">
                  <c:v>07C Sociálna inklúzia</c:v>
                </c:pt>
                <c:pt idx="1">
                  <c:v>07E Tvorba a implementácia politík</c:v>
                </c:pt>
                <c:pt idx="2">
                  <c:v>06G Ľudské zdroje</c:v>
                </c:pt>
              </c:strCache>
            </c:strRef>
          </c:cat>
          <c:val>
            <c:numRef>
              <c:f>'práca 1'!$G$4:$G$6</c:f>
              <c:numCache>
                <c:formatCode>#,##0</c:formatCode>
                <c:ptCount val="3"/>
                <c:pt idx="0">
                  <c:v>3322644554.8699999</c:v>
                </c:pt>
                <c:pt idx="1">
                  <c:v>223928847</c:v>
                </c:pt>
                <c:pt idx="2">
                  <c:v>563984499</c:v>
                </c:pt>
              </c:numCache>
            </c:numRef>
          </c:val>
          <c:extLst>
            <c:ext xmlns:c16="http://schemas.microsoft.com/office/drawing/2014/chart" uri="{C3380CC4-5D6E-409C-BE32-E72D297353CC}">
              <c16:uniqueId val="{00000002-C6ED-470B-A8A3-7C13D71FEC3E}"/>
            </c:ext>
          </c:extLst>
        </c:ser>
        <c:dLbls>
          <c:showLegendKey val="0"/>
          <c:showVal val="0"/>
          <c:showCatName val="0"/>
          <c:showSerName val="0"/>
          <c:showPercent val="0"/>
          <c:showBubbleSize val="0"/>
        </c:dLbls>
        <c:gapWidth val="219"/>
        <c:axId val="1050724815"/>
        <c:axId val="1050726895"/>
      </c:barChart>
      <c:lineChart>
        <c:grouping val="standard"/>
        <c:varyColors val="0"/>
        <c:ser>
          <c:idx val="5"/>
          <c:order val="3"/>
          <c:tx>
            <c:strRef>
              <c:f>'práca 1'!$H$3</c:f>
              <c:strCache>
                <c:ptCount val="1"/>
                <c:pt idx="0">
                  <c:v>% čerpania S, NR 2022 (pravá os)</c:v>
                </c:pt>
              </c:strCache>
            </c:strRef>
          </c:tx>
          <c:spPr>
            <a:ln w="28575" cap="rnd">
              <a:noFill/>
              <a:round/>
            </a:ln>
            <a:effectLst/>
          </c:spPr>
          <c:marker>
            <c:symbol val="diamond"/>
            <c:size val="5"/>
            <c:spPr>
              <a:solidFill>
                <a:schemeClr val="accent6"/>
              </a:solidFill>
              <a:ln w="9525">
                <a:solidFill>
                  <a:schemeClr val="accent6"/>
                </a:solidFill>
              </a:ln>
              <a:effectLst/>
            </c:spPr>
          </c:marker>
          <c:cat>
            <c:strRef>
              <c:f>'práca 1'!$B$4:$B$6</c:f>
              <c:strCache>
                <c:ptCount val="3"/>
                <c:pt idx="0">
                  <c:v>07C Sociálna inklúzia</c:v>
                </c:pt>
                <c:pt idx="1">
                  <c:v>07E Tvorba a implementácia politík</c:v>
                </c:pt>
                <c:pt idx="2">
                  <c:v>06G Ľudské zdroje</c:v>
                </c:pt>
              </c:strCache>
            </c:strRef>
          </c:cat>
          <c:val>
            <c:numRef>
              <c:f>'práca 1'!$H$4:$H$6</c:f>
              <c:numCache>
                <c:formatCode>0.0%</c:formatCode>
                <c:ptCount val="3"/>
                <c:pt idx="0">
                  <c:v>1.0468362900517416</c:v>
                </c:pt>
                <c:pt idx="1">
                  <c:v>0.59813376176951361</c:v>
                </c:pt>
                <c:pt idx="2">
                  <c:v>2.0283350185999836</c:v>
                </c:pt>
              </c:numCache>
            </c:numRef>
          </c:val>
          <c:smooth val="0"/>
          <c:extLst>
            <c:ext xmlns:c16="http://schemas.microsoft.com/office/drawing/2014/chart" uri="{C3380CC4-5D6E-409C-BE32-E72D297353CC}">
              <c16:uniqueId val="{00000003-C6ED-470B-A8A3-7C13D71FEC3E}"/>
            </c:ext>
          </c:extLst>
        </c:ser>
        <c:dLbls>
          <c:showLegendKey val="0"/>
          <c:showVal val="0"/>
          <c:showCatName val="0"/>
          <c:showSerName val="0"/>
          <c:showPercent val="0"/>
          <c:showBubbleSize val="0"/>
        </c:dLbls>
        <c:marker val="1"/>
        <c:smooth val="0"/>
        <c:axId val="1057699103"/>
        <c:axId val="1057703263"/>
      </c:lineChart>
      <c:catAx>
        <c:axId val="1050724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50726895"/>
        <c:crosses val="autoZero"/>
        <c:auto val="1"/>
        <c:lblAlgn val="ctr"/>
        <c:lblOffset val="100"/>
        <c:noMultiLvlLbl val="0"/>
      </c:catAx>
      <c:valAx>
        <c:axId val="10507268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50724815"/>
        <c:crosses val="autoZero"/>
        <c:crossBetween val="between"/>
        <c:dispUnits>
          <c:builtInUnit val="millions"/>
        </c:dispUnits>
      </c:valAx>
      <c:valAx>
        <c:axId val="1057703263"/>
        <c:scaling>
          <c:orientation val="minMax"/>
          <c:max val="3.5"/>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057699103"/>
        <c:crosses val="max"/>
        <c:crossBetween val="between"/>
      </c:valAx>
      <c:catAx>
        <c:axId val="1057699103"/>
        <c:scaling>
          <c:orientation val="minMax"/>
        </c:scaling>
        <c:delete val="1"/>
        <c:axPos val="b"/>
        <c:numFmt formatCode="General" sourceLinked="1"/>
        <c:majorTickMark val="out"/>
        <c:minorTickMark val="none"/>
        <c:tickLblPos val="nextTo"/>
        <c:crossAx val="105770326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Sheet1!$D$23</c:f>
              <c:strCache>
                <c:ptCount val="1"/>
                <c:pt idx="0">
                  <c:v>čerpanie</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Sheet1!$E$22:$M$22</c:f>
              <c:strCache>
                <c:ptCount val="9"/>
                <c:pt idx="0">
                  <c:v>Apríl</c:v>
                </c:pt>
                <c:pt idx="1">
                  <c:v> Máj</c:v>
                </c:pt>
                <c:pt idx="2">
                  <c:v>Jún</c:v>
                </c:pt>
                <c:pt idx="3">
                  <c:v>Júl</c:v>
                </c:pt>
                <c:pt idx="4">
                  <c:v>August</c:v>
                </c:pt>
                <c:pt idx="5">
                  <c:v>September</c:v>
                </c:pt>
                <c:pt idx="6">
                  <c:v>Október</c:v>
                </c:pt>
                <c:pt idx="7">
                  <c:v>November</c:v>
                </c:pt>
                <c:pt idx="8">
                  <c:v>December </c:v>
                </c:pt>
              </c:strCache>
            </c:strRef>
          </c:cat>
          <c:val>
            <c:numRef>
              <c:f>Sheet1!$E$23:$M$23</c:f>
              <c:numCache>
                <c:formatCode>#,##0.00</c:formatCode>
                <c:ptCount val="9"/>
                <c:pt idx="0">
                  <c:v>2280127.16</c:v>
                </c:pt>
                <c:pt idx="1">
                  <c:v>3102459.6899999995</c:v>
                </c:pt>
                <c:pt idx="2">
                  <c:v>253221.35000000056</c:v>
                </c:pt>
                <c:pt idx="3">
                  <c:v>332547.12999999989</c:v>
                </c:pt>
                <c:pt idx="4">
                  <c:v>537366.66000000015</c:v>
                </c:pt>
                <c:pt idx="5">
                  <c:v>954602.46</c:v>
                </c:pt>
                <c:pt idx="6">
                  <c:v>1516222.46</c:v>
                </c:pt>
                <c:pt idx="7">
                  <c:v>2454786.58</c:v>
                </c:pt>
                <c:pt idx="8">
                  <c:v>2453960.7899999996</c:v>
                </c:pt>
              </c:numCache>
            </c:numRef>
          </c:val>
          <c:extLst>
            <c:ext xmlns:c16="http://schemas.microsoft.com/office/drawing/2014/chart" uri="{C3380CC4-5D6E-409C-BE32-E72D297353CC}">
              <c16:uniqueId val="{00000000-5F78-475B-BFE6-E2CDE10CBAD5}"/>
            </c:ext>
          </c:extLst>
        </c:ser>
        <c:dLbls>
          <c:dLblPos val="outEnd"/>
          <c:showLegendKey val="0"/>
          <c:showVal val="1"/>
          <c:showCatName val="0"/>
          <c:showSerName val="0"/>
          <c:showPercent val="0"/>
          <c:showBubbleSize val="0"/>
        </c:dLbls>
        <c:gapWidth val="100"/>
        <c:axId val="1957074528"/>
        <c:axId val="1961151808"/>
      </c:barChart>
      <c:catAx>
        <c:axId val="19570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961151808"/>
        <c:crosses val="autoZero"/>
        <c:auto val="1"/>
        <c:lblAlgn val="ctr"/>
        <c:lblOffset val="100"/>
        <c:noMultiLvlLbl val="0"/>
      </c:catAx>
      <c:valAx>
        <c:axId val="1961151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957074528"/>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305454513885872E-2"/>
          <c:y val="2.3151455785295216E-2"/>
          <c:w val="0.84930088810563509"/>
          <c:h val="0.44595681607760196"/>
        </c:manualLayout>
      </c:layout>
      <c:barChart>
        <c:barDir val="col"/>
        <c:grouping val="clustered"/>
        <c:varyColors val="0"/>
        <c:ser>
          <c:idx val="0"/>
          <c:order val="0"/>
          <c:tx>
            <c:strRef>
              <c:f>'Programový rozpočet'!$C$6</c:f>
              <c:strCache>
                <c:ptCount val="1"/>
                <c:pt idx="0">
                  <c:v>Rozpočet</c:v>
                </c:pt>
              </c:strCache>
            </c:strRef>
          </c:tx>
          <c:spPr>
            <a:solidFill>
              <a:schemeClr val="accent1"/>
            </a:solidFill>
            <a:ln>
              <a:noFill/>
            </a:ln>
            <a:effectLst/>
          </c:spPr>
          <c:invertIfNegative val="0"/>
          <c:cat>
            <c:strRef>
              <c:f>'Programový rozpočet'!$B$7:$B$13</c:f>
              <c:strCache>
                <c:ptCount val="7"/>
                <c:pt idx="0">
                  <c:v>Obrana</c:v>
                </c:pt>
                <c:pt idx="1">
                  <c:v>Rozvoj obrany</c:v>
                </c:pt>
                <c:pt idx="2">
                  <c:v>MO SR - Výskum a vývoj na podporu obrany štátu</c:v>
                </c:pt>
                <c:pt idx="3">
                  <c:v>Hospodárska mobilizácia MO SR</c:v>
                </c:pt>
                <c:pt idx="4">
                  <c:v>Účasť civilných expertov na aktivitách kríz. manažmentu mimo územia SR - MO SR</c:v>
                </c:pt>
                <c:pt idx="5">
                  <c:v>Oficiálna rozvojová pomoc - MO SR</c:v>
                </c:pt>
                <c:pt idx="6">
                  <c:v>Realizácia II. etapy implementácie MZP SZOvSR-MO SR</c:v>
                </c:pt>
              </c:strCache>
            </c:strRef>
          </c:cat>
          <c:val>
            <c:numRef>
              <c:f>'Programový rozpočet'!$C$7:$C$13</c:f>
              <c:numCache>
                <c:formatCode>#,##0.00</c:formatCode>
                <c:ptCount val="7"/>
                <c:pt idx="0">
                  <c:v>1191667495</c:v>
                </c:pt>
                <c:pt idx="1">
                  <c:v>638031336</c:v>
                </c:pt>
                <c:pt idx="2">
                  <c:v>2500000</c:v>
                </c:pt>
                <c:pt idx="3">
                  <c:v>5000000</c:v>
                </c:pt>
                <c:pt idx="4">
                  <c:v>293376</c:v>
                </c:pt>
                <c:pt idx="5">
                  <c:v>24000</c:v>
                </c:pt>
                <c:pt idx="6">
                  <c:v>2500</c:v>
                </c:pt>
              </c:numCache>
            </c:numRef>
          </c:val>
          <c:extLst>
            <c:ext xmlns:c16="http://schemas.microsoft.com/office/drawing/2014/chart" uri="{C3380CC4-5D6E-409C-BE32-E72D297353CC}">
              <c16:uniqueId val="{00000000-CD08-486A-98EC-7908F1C602A3}"/>
            </c:ext>
          </c:extLst>
        </c:ser>
        <c:ser>
          <c:idx val="2"/>
          <c:order val="1"/>
          <c:tx>
            <c:strRef>
              <c:f>'Programový rozpočet'!$E$6</c:f>
              <c:strCache>
                <c:ptCount val="1"/>
                <c:pt idx="0">
                  <c:v>Skutočnosť</c:v>
                </c:pt>
              </c:strCache>
            </c:strRef>
          </c:tx>
          <c:spPr>
            <a:solidFill>
              <a:schemeClr val="accent3"/>
            </a:solidFill>
            <a:ln>
              <a:noFill/>
            </a:ln>
            <a:effectLst/>
          </c:spPr>
          <c:invertIfNegative val="0"/>
          <c:cat>
            <c:strRef>
              <c:f>'Programový rozpočet'!$B$7:$B$13</c:f>
              <c:strCache>
                <c:ptCount val="7"/>
                <c:pt idx="0">
                  <c:v>Obrana</c:v>
                </c:pt>
                <c:pt idx="1">
                  <c:v>Rozvoj obrany</c:v>
                </c:pt>
                <c:pt idx="2">
                  <c:v>MO SR - Výskum a vývoj na podporu obrany štátu</c:v>
                </c:pt>
                <c:pt idx="3">
                  <c:v>Hospodárska mobilizácia MO SR</c:v>
                </c:pt>
                <c:pt idx="4">
                  <c:v>Účasť civilných expertov na aktivitách kríz. manažmentu mimo územia SR - MO SR</c:v>
                </c:pt>
                <c:pt idx="5">
                  <c:v>Oficiálna rozvojová pomoc - MO SR</c:v>
                </c:pt>
                <c:pt idx="6">
                  <c:v>Realizácia II. etapy implementácie MZP SZOvSR-MO SR</c:v>
                </c:pt>
              </c:strCache>
            </c:strRef>
          </c:cat>
          <c:val>
            <c:numRef>
              <c:f>'Programový rozpočet'!$E$7:$E$13</c:f>
              <c:numCache>
                <c:formatCode>#,##0.00</c:formatCode>
                <c:ptCount val="7"/>
                <c:pt idx="0">
                  <c:v>1185590361.8299999</c:v>
                </c:pt>
                <c:pt idx="1">
                  <c:v>774336249.10000002</c:v>
                </c:pt>
                <c:pt idx="2">
                  <c:v>2356529.9300000002</c:v>
                </c:pt>
                <c:pt idx="3">
                  <c:v>1881893.92</c:v>
                </c:pt>
                <c:pt idx="4">
                  <c:v>0</c:v>
                </c:pt>
                <c:pt idx="5">
                  <c:v>616564.26</c:v>
                </c:pt>
                <c:pt idx="6">
                  <c:v>0</c:v>
                </c:pt>
              </c:numCache>
            </c:numRef>
          </c:val>
          <c:extLst>
            <c:ext xmlns:c16="http://schemas.microsoft.com/office/drawing/2014/chart" uri="{C3380CC4-5D6E-409C-BE32-E72D297353CC}">
              <c16:uniqueId val="{00000001-CD08-486A-98EC-7908F1C602A3}"/>
            </c:ext>
          </c:extLst>
        </c:ser>
        <c:dLbls>
          <c:showLegendKey val="0"/>
          <c:showVal val="0"/>
          <c:showCatName val="0"/>
          <c:showSerName val="0"/>
          <c:showPercent val="0"/>
          <c:showBubbleSize val="0"/>
        </c:dLbls>
        <c:gapWidth val="100"/>
        <c:axId val="1374499759"/>
        <c:axId val="1374496847"/>
      </c:barChart>
      <c:scatterChart>
        <c:scatterStyle val="lineMarker"/>
        <c:varyColors val="0"/>
        <c:ser>
          <c:idx val="3"/>
          <c:order val="2"/>
          <c:tx>
            <c:strRef>
              <c:f>'Programový rozpočet'!$F$6</c:f>
              <c:strCache>
                <c:ptCount val="1"/>
                <c:pt idx="0">
                  <c:v>% čerpania (pravá os)</c:v>
                </c:pt>
              </c:strCache>
            </c:strRef>
          </c:tx>
          <c:spPr>
            <a:ln w="25400" cap="rnd">
              <a:noFill/>
              <a:round/>
            </a:ln>
            <a:effectLst/>
          </c:spPr>
          <c:marker>
            <c:symbol val="diamond"/>
            <c:size val="5"/>
            <c:spPr>
              <a:solidFill>
                <a:schemeClr val="accent6"/>
              </a:solidFill>
              <a:ln w="12700">
                <a:solidFill>
                  <a:schemeClr val="accent6"/>
                </a:solidFill>
              </a:ln>
              <a:effectLst/>
            </c:spPr>
          </c:marker>
          <c:xVal>
            <c:strRef>
              <c:f>'Programový rozpočet'!$B$7:$B$13</c:f>
              <c:strCache>
                <c:ptCount val="7"/>
                <c:pt idx="0">
                  <c:v>Obrana</c:v>
                </c:pt>
                <c:pt idx="1">
                  <c:v>Rozvoj obrany</c:v>
                </c:pt>
                <c:pt idx="2">
                  <c:v>MO SR - Výskum a vývoj na podporu obrany štátu</c:v>
                </c:pt>
                <c:pt idx="3">
                  <c:v>Hospodárska mobilizácia MO SR</c:v>
                </c:pt>
                <c:pt idx="4">
                  <c:v>Účasť civilných expertov na aktivitách kríz. manažmentu mimo územia SR - MO SR</c:v>
                </c:pt>
                <c:pt idx="5">
                  <c:v>Oficiálna rozvojová pomoc - MO SR</c:v>
                </c:pt>
                <c:pt idx="6">
                  <c:v>Realizácia II. etapy implementácie MZP SZOvSR-MO SR</c:v>
                </c:pt>
              </c:strCache>
            </c:strRef>
          </c:xVal>
          <c:yVal>
            <c:numRef>
              <c:f>'Programový rozpočet'!$F$7:$F$13</c:f>
              <c:numCache>
                <c:formatCode>0%</c:formatCode>
                <c:ptCount val="7"/>
                <c:pt idx="0">
                  <c:v>0.9948999999999999</c:v>
                </c:pt>
                <c:pt idx="1">
                  <c:v>1.2136</c:v>
                </c:pt>
                <c:pt idx="2">
                  <c:v>0.9426000000000001</c:v>
                </c:pt>
                <c:pt idx="3">
                  <c:v>0.37640000000000001</c:v>
                </c:pt>
                <c:pt idx="4">
                  <c:v>0</c:v>
                </c:pt>
                <c:pt idx="5">
                  <c:v>25.690200000000001</c:v>
                </c:pt>
                <c:pt idx="6">
                  <c:v>0</c:v>
                </c:pt>
              </c:numCache>
            </c:numRef>
          </c:yVal>
          <c:smooth val="0"/>
          <c:extLst>
            <c:ext xmlns:c16="http://schemas.microsoft.com/office/drawing/2014/chart" uri="{C3380CC4-5D6E-409C-BE32-E72D297353CC}">
              <c16:uniqueId val="{00000002-CD08-486A-98EC-7908F1C602A3}"/>
            </c:ext>
          </c:extLst>
        </c:ser>
        <c:dLbls>
          <c:showLegendKey val="0"/>
          <c:showVal val="0"/>
          <c:showCatName val="0"/>
          <c:showSerName val="0"/>
          <c:showPercent val="0"/>
          <c:showBubbleSize val="0"/>
        </c:dLbls>
        <c:axId val="1375273823"/>
        <c:axId val="1375272159"/>
      </c:scatterChart>
      <c:catAx>
        <c:axId val="1374499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74496847"/>
        <c:crosses val="autoZero"/>
        <c:auto val="1"/>
        <c:lblAlgn val="ctr"/>
        <c:lblOffset val="100"/>
        <c:noMultiLvlLbl val="0"/>
      </c:catAx>
      <c:valAx>
        <c:axId val="1374496847"/>
        <c:scaling>
          <c:orientation val="minMax"/>
          <c:max val="120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74499759"/>
        <c:crosses val="autoZero"/>
        <c:crossBetween val="between"/>
        <c:dispUnits>
          <c:builtInUnit val="millions"/>
        </c:dispUnits>
      </c:valAx>
      <c:valAx>
        <c:axId val="1375272159"/>
        <c:scaling>
          <c:orientation val="minMax"/>
          <c:max val="1.4"/>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75273823"/>
        <c:crosses val="max"/>
        <c:crossBetween val="midCat"/>
      </c:valAx>
      <c:valAx>
        <c:axId val="1375273823"/>
        <c:scaling>
          <c:orientation val="minMax"/>
        </c:scaling>
        <c:delete val="1"/>
        <c:axPos val="b"/>
        <c:numFmt formatCode="General" sourceLinked="1"/>
        <c:majorTickMark val="out"/>
        <c:minorTickMark val="none"/>
        <c:tickLblPos val="nextTo"/>
        <c:crossAx val="1375272159"/>
        <c:crosses val="autoZero"/>
        <c:crossBetween val="midCat"/>
      </c:valAx>
      <c:spPr>
        <a:noFill/>
        <a:ln>
          <a:noFill/>
        </a:ln>
        <a:effectLst/>
      </c:spPr>
    </c:plotArea>
    <c:legend>
      <c:legendPos val="b"/>
      <c:layout>
        <c:manualLayout>
          <c:xMode val="edge"/>
          <c:yMode val="edge"/>
          <c:x val="7.2782470548403061E-2"/>
          <c:y val="0.88758886935249592"/>
          <c:w val="0.90714651572632798"/>
          <c:h val="6.1084058159838348E-2"/>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47579452904325E-2"/>
          <c:y val="4.0404040404040407E-2"/>
          <c:w val="0.87977709393268733"/>
          <c:h val="0.88485431745274268"/>
        </c:manualLayout>
      </c:layout>
      <c:areaChart>
        <c:grouping val="stacked"/>
        <c:varyColors val="0"/>
        <c:ser>
          <c:idx val="0"/>
          <c:order val="0"/>
          <c:tx>
            <c:strRef>
              <c:f>'Progr.rozp. - GRAF'!$A$5</c:f>
              <c:strCache>
                <c:ptCount val="1"/>
                <c:pt idx="0">
                  <c:v>05T Rozvojová spolupráca</c:v>
                </c:pt>
              </c:strCache>
            </c:strRef>
          </c:tx>
          <c:spPr>
            <a:solidFill>
              <a:schemeClr val="accent6">
                <a:lumMod val="40000"/>
                <a:lumOff val="60000"/>
              </a:schemeClr>
            </a:solidFill>
            <a:ln>
              <a:noFill/>
            </a:ln>
            <a:effectLst/>
          </c:spPr>
          <c:cat>
            <c:numRef>
              <c:f>'Progr.rozp. - GRAF'!$B$4:$F$4</c:f>
              <c:numCache>
                <c:formatCode>General</c:formatCode>
                <c:ptCount val="5"/>
                <c:pt idx="0">
                  <c:v>2018</c:v>
                </c:pt>
                <c:pt idx="1">
                  <c:v>2019</c:v>
                </c:pt>
                <c:pt idx="2">
                  <c:v>2020</c:v>
                </c:pt>
                <c:pt idx="3">
                  <c:v>2021</c:v>
                </c:pt>
                <c:pt idx="4">
                  <c:v>2022</c:v>
                </c:pt>
              </c:numCache>
            </c:numRef>
          </c:cat>
          <c:val>
            <c:numRef>
              <c:f>'Progr.rozp. - GRAF'!$B$5:$F$5</c:f>
              <c:numCache>
                <c:formatCode>_("€"* #,##0.00_);_("€"* \(#,##0.00\);_("€"* "-"??_);_(@_)</c:formatCode>
                <c:ptCount val="5"/>
                <c:pt idx="0">
                  <c:v>26574.3</c:v>
                </c:pt>
                <c:pt idx="1">
                  <c:v>32298.1</c:v>
                </c:pt>
                <c:pt idx="2">
                  <c:v>59997.47</c:v>
                </c:pt>
                <c:pt idx="3">
                  <c:v>128418</c:v>
                </c:pt>
                <c:pt idx="4">
                  <c:v>616564.26</c:v>
                </c:pt>
              </c:numCache>
            </c:numRef>
          </c:val>
          <c:extLst>
            <c:ext xmlns:c16="http://schemas.microsoft.com/office/drawing/2014/chart" uri="{C3380CC4-5D6E-409C-BE32-E72D297353CC}">
              <c16:uniqueId val="{00000000-BB77-43EC-88B5-90BCB053E76B}"/>
            </c:ext>
          </c:extLst>
        </c:ser>
        <c:ser>
          <c:idx val="1"/>
          <c:order val="1"/>
          <c:tx>
            <c:strRef>
              <c:f>'Progr.rozp. - GRAF'!$A$6</c:f>
              <c:strCache>
                <c:ptCount val="1"/>
                <c:pt idx="0">
                  <c:v>06H Hospodárska mobilizácia</c:v>
                </c:pt>
              </c:strCache>
            </c:strRef>
          </c:tx>
          <c:spPr>
            <a:solidFill>
              <a:srgbClr val="FF0000"/>
            </a:solidFill>
            <a:ln>
              <a:noFill/>
            </a:ln>
            <a:effectLst/>
          </c:spPr>
          <c:cat>
            <c:numRef>
              <c:f>'Progr.rozp. - GRAF'!$B$4:$F$4</c:f>
              <c:numCache>
                <c:formatCode>General</c:formatCode>
                <c:ptCount val="5"/>
                <c:pt idx="0">
                  <c:v>2018</c:v>
                </c:pt>
                <c:pt idx="1">
                  <c:v>2019</c:v>
                </c:pt>
                <c:pt idx="2">
                  <c:v>2020</c:v>
                </c:pt>
                <c:pt idx="3">
                  <c:v>2021</c:v>
                </c:pt>
                <c:pt idx="4">
                  <c:v>2022</c:v>
                </c:pt>
              </c:numCache>
            </c:numRef>
          </c:cat>
          <c:val>
            <c:numRef>
              <c:f>'Progr.rozp. - GRAF'!$B$6:$F$6</c:f>
              <c:numCache>
                <c:formatCode>_("€"* #,##0.00_);_("€"* \(#,##0.00\);_("€"* "-"??_);_(@_)</c:formatCode>
                <c:ptCount val="5"/>
                <c:pt idx="0">
                  <c:v>6418080.2300000004</c:v>
                </c:pt>
                <c:pt idx="1">
                  <c:v>3234696</c:v>
                </c:pt>
                <c:pt idx="2">
                  <c:v>749075.95</c:v>
                </c:pt>
                <c:pt idx="3">
                  <c:v>730738.84</c:v>
                </c:pt>
                <c:pt idx="4">
                  <c:v>1881893.92</c:v>
                </c:pt>
              </c:numCache>
            </c:numRef>
          </c:val>
          <c:extLst>
            <c:ext xmlns:c16="http://schemas.microsoft.com/office/drawing/2014/chart" uri="{C3380CC4-5D6E-409C-BE32-E72D297353CC}">
              <c16:uniqueId val="{00000001-BB77-43EC-88B5-90BCB053E76B}"/>
            </c:ext>
          </c:extLst>
        </c:ser>
        <c:ser>
          <c:idx val="2"/>
          <c:order val="2"/>
          <c:tx>
            <c:strRef>
              <c:f>'Progr.rozp. - GRAF'!$A$7</c:f>
              <c:strCache>
                <c:ptCount val="1"/>
                <c:pt idx="0">
                  <c:v>06E Podpora obrany štátu</c:v>
                </c:pt>
              </c:strCache>
            </c:strRef>
          </c:tx>
          <c:spPr>
            <a:solidFill>
              <a:srgbClr val="92D050"/>
            </a:solidFill>
            <a:ln>
              <a:noFill/>
            </a:ln>
            <a:effectLst/>
          </c:spPr>
          <c:cat>
            <c:numRef>
              <c:f>'Progr.rozp. - GRAF'!$B$4:$F$4</c:f>
              <c:numCache>
                <c:formatCode>General</c:formatCode>
                <c:ptCount val="5"/>
                <c:pt idx="0">
                  <c:v>2018</c:v>
                </c:pt>
                <c:pt idx="1">
                  <c:v>2019</c:v>
                </c:pt>
                <c:pt idx="2">
                  <c:v>2020</c:v>
                </c:pt>
                <c:pt idx="3">
                  <c:v>2021</c:v>
                </c:pt>
                <c:pt idx="4">
                  <c:v>2022</c:v>
                </c:pt>
              </c:numCache>
            </c:numRef>
          </c:cat>
          <c:val>
            <c:numRef>
              <c:f>'Progr.rozp. - GRAF'!$B$7:$F$7</c:f>
              <c:numCache>
                <c:formatCode>_("€"* #,##0.00_);_("€"* \(#,##0.00\);_("€"* "-"??_);_(@_)</c:formatCode>
                <c:ptCount val="5"/>
                <c:pt idx="0">
                  <c:v>183965.72999999998</c:v>
                </c:pt>
                <c:pt idx="1">
                  <c:v>1297987.2799999998</c:v>
                </c:pt>
                <c:pt idx="2">
                  <c:v>1069219.17</c:v>
                </c:pt>
                <c:pt idx="3">
                  <c:v>1564023.1</c:v>
                </c:pt>
                <c:pt idx="4">
                  <c:v>2356529.9299999997</c:v>
                </c:pt>
              </c:numCache>
            </c:numRef>
          </c:val>
          <c:extLst>
            <c:ext xmlns:c16="http://schemas.microsoft.com/office/drawing/2014/chart" uri="{C3380CC4-5D6E-409C-BE32-E72D297353CC}">
              <c16:uniqueId val="{00000002-BB77-43EC-88B5-90BCB053E76B}"/>
            </c:ext>
          </c:extLst>
        </c:ser>
        <c:ser>
          <c:idx val="3"/>
          <c:order val="3"/>
          <c:tx>
            <c:strRef>
              <c:f>'Progr.rozp. - GRAF'!$A$8</c:f>
              <c:strCache>
                <c:ptCount val="1"/>
                <c:pt idx="0">
                  <c:v>095 Rozvoj obrany</c:v>
                </c:pt>
              </c:strCache>
            </c:strRef>
          </c:tx>
          <c:spPr>
            <a:solidFill>
              <a:schemeClr val="accent1">
                <a:lumMod val="40000"/>
                <a:lumOff val="60000"/>
              </a:schemeClr>
            </a:solidFill>
            <a:ln>
              <a:noFill/>
            </a:ln>
            <a:effectLst/>
          </c:spPr>
          <c:cat>
            <c:numRef>
              <c:f>'Progr.rozp. - GRAF'!$B$4:$F$4</c:f>
              <c:numCache>
                <c:formatCode>General</c:formatCode>
                <c:ptCount val="5"/>
                <c:pt idx="0">
                  <c:v>2018</c:v>
                </c:pt>
                <c:pt idx="1">
                  <c:v>2019</c:v>
                </c:pt>
                <c:pt idx="2">
                  <c:v>2020</c:v>
                </c:pt>
                <c:pt idx="3">
                  <c:v>2021</c:v>
                </c:pt>
                <c:pt idx="4">
                  <c:v>2022</c:v>
                </c:pt>
              </c:numCache>
            </c:numRef>
          </c:cat>
          <c:val>
            <c:numRef>
              <c:f>'Progr.rozp. - GRAF'!$B$8:$F$8</c:f>
              <c:numCache>
                <c:formatCode>_("€"* #,##0.00_);_("€"* \(#,##0.00\);_("€"* "-"??_);_(@_)</c:formatCode>
                <c:ptCount val="5"/>
                <c:pt idx="0">
                  <c:v>299710879.60000002</c:v>
                </c:pt>
                <c:pt idx="1">
                  <c:v>707766183.33000016</c:v>
                </c:pt>
                <c:pt idx="2">
                  <c:v>717347304.19999993</c:v>
                </c:pt>
                <c:pt idx="3">
                  <c:v>658676706.68000007</c:v>
                </c:pt>
                <c:pt idx="4">
                  <c:v>774328605.29999995</c:v>
                </c:pt>
              </c:numCache>
            </c:numRef>
          </c:val>
          <c:extLst>
            <c:ext xmlns:c16="http://schemas.microsoft.com/office/drawing/2014/chart" uri="{C3380CC4-5D6E-409C-BE32-E72D297353CC}">
              <c16:uniqueId val="{00000003-BB77-43EC-88B5-90BCB053E76B}"/>
            </c:ext>
          </c:extLst>
        </c:ser>
        <c:ser>
          <c:idx val="4"/>
          <c:order val="4"/>
          <c:tx>
            <c:strRef>
              <c:f>'Progr.rozp. - GRAF'!$A$9</c:f>
              <c:strCache>
                <c:ptCount val="1"/>
                <c:pt idx="0">
                  <c:v>096 Obrana</c:v>
                </c:pt>
              </c:strCache>
            </c:strRef>
          </c:tx>
          <c:spPr>
            <a:solidFill>
              <a:schemeClr val="tx2"/>
            </a:solidFill>
            <a:ln>
              <a:noFill/>
            </a:ln>
            <a:effectLst/>
          </c:spPr>
          <c:cat>
            <c:numRef>
              <c:f>'Progr.rozp. - GRAF'!$B$4:$F$4</c:f>
              <c:numCache>
                <c:formatCode>General</c:formatCode>
                <c:ptCount val="5"/>
                <c:pt idx="0">
                  <c:v>2018</c:v>
                </c:pt>
                <c:pt idx="1">
                  <c:v>2019</c:v>
                </c:pt>
                <c:pt idx="2">
                  <c:v>2020</c:v>
                </c:pt>
                <c:pt idx="3">
                  <c:v>2021</c:v>
                </c:pt>
                <c:pt idx="4">
                  <c:v>2022</c:v>
                </c:pt>
              </c:numCache>
            </c:numRef>
          </c:cat>
          <c:val>
            <c:numRef>
              <c:f>'Progr.rozp. - GRAF'!$B$9:$F$9</c:f>
              <c:numCache>
                <c:formatCode>_("€"* #,##0.00_);_("€"* \(#,##0.00\);_("€"* "-"??_);_(@_)</c:formatCode>
                <c:ptCount val="5"/>
                <c:pt idx="0">
                  <c:v>788888843.11999989</c:v>
                </c:pt>
                <c:pt idx="1">
                  <c:v>893890834.40999997</c:v>
                </c:pt>
                <c:pt idx="2">
                  <c:v>1073513690.6499999</c:v>
                </c:pt>
                <c:pt idx="3">
                  <c:v>1066503134.7900001</c:v>
                </c:pt>
                <c:pt idx="4">
                  <c:v>1185597674.55</c:v>
                </c:pt>
              </c:numCache>
            </c:numRef>
          </c:val>
          <c:extLst>
            <c:ext xmlns:c16="http://schemas.microsoft.com/office/drawing/2014/chart" uri="{C3380CC4-5D6E-409C-BE32-E72D297353CC}">
              <c16:uniqueId val="{00000004-BB77-43EC-88B5-90BCB053E76B}"/>
            </c:ext>
          </c:extLst>
        </c:ser>
        <c:ser>
          <c:idx val="5"/>
          <c:order val="5"/>
          <c:tx>
            <c:strRef>
              <c:f>'Progr.rozp. - GRAF'!$A$10</c:f>
              <c:strCache>
                <c:ptCount val="1"/>
                <c:pt idx="0">
                  <c:v>0AU Vysielanie civilných expertov do aktivít krízového manažmentu mimo územia SR</c:v>
                </c:pt>
              </c:strCache>
            </c:strRef>
          </c:tx>
          <c:spPr>
            <a:solidFill>
              <a:schemeClr val="accent6"/>
            </a:solidFill>
            <a:ln w="25400">
              <a:noFill/>
            </a:ln>
            <a:effectLst/>
          </c:spPr>
          <c:cat>
            <c:numRef>
              <c:f>'Progr.rozp. - GRAF'!$B$4:$F$4</c:f>
              <c:numCache>
                <c:formatCode>General</c:formatCode>
                <c:ptCount val="5"/>
                <c:pt idx="0">
                  <c:v>2018</c:v>
                </c:pt>
                <c:pt idx="1">
                  <c:v>2019</c:v>
                </c:pt>
                <c:pt idx="2">
                  <c:v>2020</c:v>
                </c:pt>
                <c:pt idx="3">
                  <c:v>2021</c:v>
                </c:pt>
                <c:pt idx="4">
                  <c:v>2022</c:v>
                </c:pt>
              </c:numCache>
            </c:numRef>
          </c:cat>
          <c:val>
            <c:numRef>
              <c:f>'Progr.rozp. - GRAF'!$B$10:$F$10</c:f>
              <c:numCache>
                <c:formatCode>_("€"* #,##0.00_);_("€"* \(#,##0.00\);_("€"* "-"??_);_(@_)</c:formatCode>
                <c:ptCount val="5"/>
                <c:pt idx="0">
                  <c:v>200487.47</c:v>
                </c:pt>
                <c:pt idx="1">
                  <c:v>94126.18</c:v>
                </c:pt>
                <c:pt idx="2">
                  <c:v>105996.02</c:v>
                </c:pt>
                <c:pt idx="3">
                  <c:v>86291.74</c:v>
                </c:pt>
              </c:numCache>
            </c:numRef>
          </c:val>
          <c:extLst>
            <c:ext xmlns:c16="http://schemas.microsoft.com/office/drawing/2014/chart" uri="{C3380CC4-5D6E-409C-BE32-E72D297353CC}">
              <c16:uniqueId val="{00000005-BB77-43EC-88B5-90BCB053E76B}"/>
            </c:ext>
          </c:extLst>
        </c:ser>
        <c:dLbls>
          <c:showLegendKey val="0"/>
          <c:showVal val="0"/>
          <c:showCatName val="0"/>
          <c:showSerName val="0"/>
          <c:showPercent val="0"/>
          <c:showBubbleSize val="0"/>
        </c:dLbls>
        <c:axId val="1983821023"/>
        <c:axId val="1983814367"/>
      </c:areaChart>
      <c:catAx>
        <c:axId val="198382102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983814367"/>
        <c:crosses val="autoZero"/>
        <c:auto val="1"/>
        <c:lblAlgn val="ctr"/>
        <c:lblOffset val="100"/>
        <c:noMultiLvlLbl val="0"/>
      </c:catAx>
      <c:valAx>
        <c:axId val="1983814367"/>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983821023"/>
        <c:crosses val="autoZero"/>
        <c:crossBetween val="midCat"/>
        <c:dispUnits>
          <c:builtInUnit val="millions"/>
          <c:dispUnitsLbl>
            <c:spPr>
              <a:noFill/>
              <a:ln>
                <a:noFill/>
              </a:ln>
              <a:effectLst/>
            </c:spPr>
            <c:txPr>
              <a:bodyPr rot="-54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ispUnitsLbl>
        </c:dispUnits>
      </c:valAx>
      <c:spPr>
        <a:noFill/>
        <a:ln>
          <a:noFill/>
        </a:ln>
        <a:effectLst/>
      </c:spPr>
    </c:plotArea>
    <c:legend>
      <c:legendPos val="b"/>
      <c:layout>
        <c:manualLayout>
          <c:xMode val="edge"/>
          <c:yMode val="edge"/>
          <c:x val="7.0891838630424781E-2"/>
          <c:y val="3.7853292562502361E-2"/>
          <c:w val="0.72919202354391477"/>
          <c:h val="0.28427352830896141"/>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zero"/>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70072264588973621"/>
        </c:manualLayout>
      </c:layout>
      <c:barChart>
        <c:barDir val="col"/>
        <c:grouping val="clustered"/>
        <c:varyColors val="0"/>
        <c:ser>
          <c:idx val="0"/>
          <c:order val="0"/>
          <c:tx>
            <c:strRef>
              <c:f>'Graf 3'!$C$2</c:f>
              <c:strCache>
                <c:ptCount val="1"/>
                <c:pt idx="0">
                  <c:v>Saldo 2022</c:v>
                </c:pt>
              </c:strCache>
            </c:strRef>
          </c:tx>
          <c:spPr>
            <a:solidFill>
              <a:srgbClr val="9CB9EC"/>
            </a:solidFill>
            <a:ln>
              <a:noFill/>
            </a:ln>
            <a:effectLst/>
          </c:spPr>
          <c:invertIfNegative val="0"/>
          <c:dPt>
            <c:idx val="11"/>
            <c:invertIfNegative val="0"/>
            <c:bubble3D val="0"/>
            <c:spPr>
              <a:solidFill>
                <a:srgbClr val="F55647"/>
              </a:solidFill>
              <a:ln>
                <a:noFill/>
              </a:ln>
              <a:effectLst/>
            </c:spPr>
            <c:extLst>
              <c:ext xmlns:c16="http://schemas.microsoft.com/office/drawing/2014/chart" uri="{C3380CC4-5D6E-409C-BE32-E72D297353CC}">
                <c16:uniqueId val="{00000001-B524-4FF6-BA94-77B677218F0A}"/>
              </c:ext>
            </c:extLst>
          </c:dPt>
          <c:dPt>
            <c:idx val="17"/>
            <c:invertIfNegative val="0"/>
            <c:bubble3D val="0"/>
            <c:extLst>
              <c:ext xmlns:c16="http://schemas.microsoft.com/office/drawing/2014/chart" uri="{C3380CC4-5D6E-409C-BE32-E72D297353CC}">
                <c16:uniqueId val="{00000002-B524-4FF6-BA94-77B677218F0A}"/>
              </c:ext>
            </c:extLst>
          </c:dPt>
          <c:dLbls>
            <c:dLbl>
              <c:idx val="11"/>
              <c:layout>
                <c:manualLayout>
                  <c:x val="0"/>
                  <c:y val="-9.5260946458945853E-2"/>
                </c:manualLayout>
              </c:layout>
              <c:spPr>
                <a:noFill/>
                <a:ln>
                  <a:solidFill>
                    <a:srgbClr val="F55647"/>
                  </a:solidFill>
                </a:ln>
                <a:effectLst/>
              </c:spPr>
              <c:txPr>
                <a:bodyPr rot="0" spcFirstLastPara="1" vertOverflow="ellipsis" vert="horz" wrap="square" lIns="38100" tIns="0" rIns="38100" bIns="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B524-4FF6-BA94-77B677218F0A}"/>
                </c:ext>
              </c:extLst>
            </c:dLbl>
            <c:spPr>
              <a:noFill/>
              <a:ln>
                <a:solidFill>
                  <a:srgbClr val="F55647"/>
                </a:solid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3'!$B$3:$B$29</c:f>
              <c:strCache>
                <c:ptCount val="27"/>
                <c:pt idx="0">
                  <c:v>Dánsko</c:v>
                </c:pt>
                <c:pt idx="1">
                  <c:v>Cyprus</c:v>
                </c:pt>
                <c:pt idx="2">
                  <c:v>Írsko</c:v>
                </c:pt>
                <c:pt idx="3">
                  <c:v>Švédsko</c:v>
                </c:pt>
                <c:pt idx="4">
                  <c:v>Chorvátsko</c:v>
                </c:pt>
                <c:pt idx="5">
                  <c:v>Luxembursko</c:v>
                </c:pt>
                <c:pt idx="6">
                  <c:v>Holandsko</c:v>
                </c:pt>
                <c:pt idx="7">
                  <c:v>Portugalsko</c:v>
                </c:pt>
                <c:pt idx="8">
                  <c:v>Litva</c:v>
                </c:pt>
                <c:pt idx="9">
                  <c:v>Fínsko</c:v>
                </c:pt>
                <c:pt idx="10">
                  <c:v>Estónsko</c:v>
                </c:pt>
                <c:pt idx="11">
                  <c:v>Slovensko</c:v>
                </c:pt>
                <c:pt idx="12">
                  <c:v>Grécko</c:v>
                </c:pt>
                <c:pt idx="13">
                  <c:v>Nemecko</c:v>
                </c:pt>
                <c:pt idx="14">
                  <c:v>Bulharsko</c:v>
                </c:pt>
                <c:pt idx="15">
                  <c:v>Slovinsko</c:v>
                </c:pt>
                <c:pt idx="16">
                  <c:v>Rakúsko</c:v>
                </c:pt>
                <c:pt idx="17">
                  <c:v>Česko</c:v>
                </c:pt>
                <c:pt idx="18">
                  <c:v>Poľsko</c:v>
                </c:pt>
                <c:pt idx="19">
                  <c:v>Belgicko</c:v>
                </c:pt>
                <c:pt idx="20">
                  <c:v>Lotyšsko</c:v>
                </c:pt>
                <c:pt idx="21">
                  <c:v>Francúzsko</c:v>
                </c:pt>
                <c:pt idx="22">
                  <c:v>Španielsko</c:v>
                </c:pt>
                <c:pt idx="23">
                  <c:v>Malta</c:v>
                </c:pt>
                <c:pt idx="24">
                  <c:v>Maďarsko</c:v>
                </c:pt>
                <c:pt idx="25">
                  <c:v>Rumunsko</c:v>
                </c:pt>
                <c:pt idx="26">
                  <c:v>Taliansko</c:v>
                </c:pt>
              </c:strCache>
            </c:strRef>
          </c:cat>
          <c:val>
            <c:numRef>
              <c:f>'Graf 3'!$C$3:$C$29</c:f>
              <c:numCache>
                <c:formatCode>0.0</c:formatCode>
                <c:ptCount val="27"/>
                <c:pt idx="0">
                  <c:v>3.3</c:v>
                </c:pt>
                <c:pt idx="1">
                  <c:v>2.1</c:v>
                </c:pt>
                <c:pt idx="2">
                  <c:v>1.6</c:v>
                </c:pt>
                <c:pt idx="3">
                  <c:v>0.7</c:v>
                </c:pt>
                <c:pt idx="4">
                  <c:v>0.4</c:v>
                </c:pt>
                <c:pt idx="5">
                  <c:v>0.23</c:v>
                </c:pt>
                <c:pt idx="6">
                  <c:v>0</c:v>
                </c:pt>
                <c:pt idx="7">
                  <c:v>-0.35</c:v>
                </c:pt>
                <c:pt idx="8">
                  <c:v>-0.6</c:v>
                </c:pt>
                <c:pt idx="9">
                  <c:v>-0.88</c:v>
                </c:pt>
                <c:pt idx="10">
                  <c:v>-0.9</c:v>
                </c:pt>
                <c:pt idx="11">
                  <c:v>-2</c:v>
                </c:pt>
                <c:pt idx="12">
                  <c:v>-2.2999999999999998</c:v>
                </c:pt>
                <c:pt idx="13">
                  <c:v>-2.58</c:v>
                </c:pt>
                <c:pt idx="14">
                  <c:v>-2.8</c:v>
                </c:pt>
                <c:pt idx="15">
                  <c:v>-3</c:v>
                </c:pt>
                <c:pt idx="16">
                  <c:v>-3.2</c:v>
                </c:pt>
                <c:pt idx="17">
                  <c:v>-3.63</c:v>
                </c:pt>
                <c:pt idx="18">
                  <c:v>-3.7</c:v>
                </c:pt>
                <c:pt idx="19">
                  <c:v>-3.9</c:v>
                </c:pt>
                <c:pt idx="20">
                  <c:v>-4.4000000000000004</c:v>
                </c:pt>
                <c:pt idx="21">
                  <c:v>-4.7300000000000004</c:v>
                </c:pt>
                <c:pt idx="22">
                  <c:v>-4.75</c:v>
                </c:pt>
                <c:pt idx="23">
                  <c:v>-5.8</c:v>
                </c:pt>
                <c:pt idx="24">
                  <c:v>-6.18</c:v>
                </c:pt>
                <c:pt idx="25">
                  <c:v>-6.2</c:v>
                </c:pt>
                <c:pt idx="26">
                  <c:v>-8</c:v>
                </c:pt>
              </c:numCache>
            </c:numRef>
          </c:val>
          <c:extLst>
            <c:ext xmlns:c16="http://schemas.microsoft.com/office/drawing/2014/chart" uri="{C3380CC4-5D6E-409C-BE32-E72D297353CC}">
              <c16:uniqueId val="{00000003-B524-4FF6-BA94-77B677218F0A}"/>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tx>
            <c:strRef>
              <c:f>'Graf 3'!$D$2</c:f>
              <c:strCache>
                <c:ptCount val="1"/>
                <c:pt idx="0">
                  <c:v>Priemer EÚ</c:v>
                </c:pt>
              </c:strCache>
            </c:strRef>
          </c:tx>
          <c:spPr>
            <a:ln w="25400" cap="rnd">
              <a:solidFill>
                <a:srgbClr val="314364"/>
              </a:solidFill>
              <a:prstDash val="sysDash"/>
              <a:round/>
            </a:ln>
            <a:effectLst/>
          </c:spPr>
          <c:marker>
            <c:symbol val="none"/>
          </c:marker>
          <c:cat>
            <c:strRef>
              <c:f>'Graf 3'!$B$3:$B$29</c:f>
              <c:strCache>
                <c:ptCount val="27"/>
                <c:pt idx="0">
                  <c:v>Dánsko</c:v>
                </c:pt>
                <c:pt idx="1">
                  <c:v>Cyprus</c:v>
                </c:pt>
                <c:pt idx="2">
                  <c:v>Írsko</c:v>
                </c:pt>
                <c:pt idx="3">
                  <c:v>Švédsko</c:v>
                </c:pt>
                <c:pt idx="4">
                  <c:v>Chorvátsko</c:v>
                </c:pt>
                <c:pt idx="5">
                  <c:v>Luxembursko</c:v>
                </c:pt>
                <c:pt idx="6">
                  <c:v>Holandsko</c:v>
                </c:pt>
                <c:pt idx="7">
                  <c:v>Portugalsko</c:v>
                </c:pt>
                <c:pt idx="8">
                  <c:v>Litva</c:v>
                </c:pt>
                <c:pt idx="9">
                  <c:v>Fínsko</c:v>
                </c:pt>
                <c:pt idx="10">
                  <c:v>Estónsko</c:v>
                </c:pt>
                <c:pt idx="11">
                  <c:v>Slovensko</c:v>
                </c:pt>
                <c:pt idx="12">
                  <c:v>Grécko</c:v>
                </c:pt>
                <c:pt idx="13">
                  <c:v>Nemecko</c:v>
                </c:pt>
                <c:pt idx="14">
                  <c:v>Bulharsko</c:v>
                </c:pt>
                <c:pt idx="15">
                  <c:v>Slovinsko</c:v>
                </c:pt>
                <c:pt idx="16">
                  <c:v>Rakúsko</c:v>
                </c:pt>
                <c:pt idx="17">
                  <c:v>Česko</c:v>
                </c:pt>
                <c:pt idx="18">
                  <c:v>Poľsko</c:v>
                </c:pt>
                <c:pt idx="19">
                  <c:v>Belgicko</c:v>
                </c:pt>
                <c:pt idx="20">
                  <c:v>Lotyšsko</c:v>
                </c:pt>
                <c:pt idx="21">
                  <c:v>Francúzsko</c:v>
                </c:pt>
                <c:pt idx="22">
                  <c:v>Španielsko</c:v>
                </c:pt>
                <c:pt idx="23">
                  <c:v>Malta</c:v>
                </c:pt>
                <c:pt idx="24">
                  <c:v>Maďarsko</c:v>
                </c:pt>
                <c:pt idx="25">
                  <c:v>Rumunsko</c:v>
                </c:pt>
                <c:pt idx="26">
                  <c:v>Taliansko</c:v>
                </c:pt>
              </c:strCache>
            </c:strRef>
          </c:cat>
          <c:val>
            <c:numRef>
              <c:f>'Graf 3'!$D$3:$D$29</c:f>
              <c:numCache>
                <c:formatCode>0.0</c:formatCode>
                <c:ptCount val="27"/>
                <c:pt idx="0">
                  <c:v>-3.33</c:v>
                </c:pt>
                <c:pt idx="1">
                  <c:v>-3.33</c:v>
                </c:pt>
                <c:pt idx="2">
                  <c:v>-3.33</c:v>
                </c:pt>
                <c:pt idx="3">
                  <c:v>-3.33</c:v>
                </c:pt>
                <c:pt idx="4">
                  <c:v>-3.33</c:v>
                </c:pt>
                <c:pt idx="5">
                  <c:v>-3.33</c:v>
                </c:pt>
                <c:pt idx="6">
                  <c:v>-3.33</c:v>
                </c:pt>
                <c:pt idx="7">
                  <c:v>-3.33</c:v>
                </c:pt>
                <c:pt idx="8">
                  <c:v>-3.33</c:v>
                </c:pt>
                <c:pt idx="9">
                  <c:v>-3.33</c:v>
                </c:pt>
                <c:pt idx="10">
                  <c:v>-3.33</c:v>
                </c:pt>
                <c:pt idx="11">
                  <c:v>-3.33</c:v>
                </c:pt>
                <c:pt idx="12">
                  <c:v>-3.33</c:v>
                </c:pt>
                <c:pt idx="13">
                  <c:v>-3.33</c:v>
                </c:pt>
                <c:pt idx="14">
                  <c:v>-3.33</c:v>
                </c:pt>
                <c:pt idx="15">
                  <c:v>-3.33</c:v>
                </c:pt>
                <c:pt idx="16">
                  <c:v>-3.33</c:v>
                </c:pt>
                <c:pt idx="17">
                  <c:v>-3.33</c:v>
                </c:pt>
                <c:pt idx="18">
                  <c:v>-3.33</c:v>
                </c:pt>
                <c:pt idx="19">
                  <c:v>-3.33</c:v>
                </c:pt>
                <c:pt idx="20">
                  <c:v>-3.33</c:v>
                </c:pt>
                <c:pt idx="21">
                  <c:v>-3.33</c:v>
                </c:pt>
                <c:pt idx="22">
                  <c:v>-3.33</c:v>
                </c:pt>
                <c:pt idx="23">
                  <c:v>-3.33</c:v>
                </c:pt>
                <c:pt idx="24">
                  <c:v>-3.33</c:v>
                </c:pt>
                <c:pt idx="25">
                  <c:v>-3.33</c:v>
                </c:pt>
                <c:pt idx="26">
                  <c:v>-3.33</c:v>
                </c:pt>
              </c:numCache>
            </c:numRef>
          </c:val>
          <c:smooth val="0"/>
          <c:extLst>
            <c:ext xmlns:c16="http://schemas.microsoft.com/office/drawing/2014/chart" uri="{C3380CC4-5D6E-409C-BE32-E72D297353CC}">
              <c16:uniqueId val="{00000004-B524-4FF6-BA94-77B677218F0A}"/>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2">
    <c:autoUpdate val="0"/>
  </c:externalData>
  <c:userShapes r:id="rId3"/>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455516902445364E-2"/>
          <c:y val="0"/>
          <c:w val="0.84267763741587887"/>
          <c:h val="0.99033872200181539"/>
        </c:manualLayout>
      </c:layout>
      <c:barChart>
        <c:barDir val="col"/>
        <c:grouping val="clustered"/>
        <c:varyColors val="0"/>
        <c:ser>
          <c:idx val="0"/>
          <c:order val="0"/>
          <c:tx>
            <c:strRef>
              <c:f>'GRAFY 1-4'!$C$3</c:f>
              <c:strCache>
                <c:ptCount val="1"/>
                <c:pt idx="0">
                  <c:v>Čerpanie</c:v>
                </c:pt>
              </c:strCache>
            </c:strRef>
          </c:tx>
          <c:spPr>
            <a:solidFill>
              <a:schemeClr val="accent1">
                <a:lumMod val="75000"/>
              </a:schemeClr>
            </a:solidFill>
            <a:ln w="19050">
              <a:noFill/>
            </a:ln>
            <a:effectLst/>
          </c:spPr>
          <c:invertIfNegative val="0"/>
          <c:dPt>
            <c:idx val="0"/>
            <c:invertIfNegative val="0"/>
            <c:bubble3D val="0"/>
            <c:spPr>
              <a:solidFill>
                <a:schemeClr val="accent1">
                  <a:lumMod val="75000"/>
                </a:schemeClr>
              </a:solidFill>
              <a:ln w="19050">
                <a:noFill/>
              </a:ln>
              <a:effectLst/>
            </c:spPr>
            <c:extLst>
              <c:ext xmlns:c16="http://schemas.microsoft.com/office/drawing/2014/chart" uri="{C3380CC4-5D6E-409C-BE32-E72D297353CC}">
                <c16:uniqueId val="{00000001-7138-4D23-A336-014C9FB2D742}"/>
              </c:ext>
            </c:extLst>
          </c:dPt>
          <c:dPt>
            <c:idx val="1"/>
            <c:invertIfNegative val="0"/>
            <c:bubble3D val="0"/>
            <c:spPr>
              <a:solidFill>
                <a:schemeClr val="accent1">
                  <a:lumMod val="75000"/>
                </a:schemeClr>
              </a:solidFill>
              <a:ln w="19050">
                <a:noFill/>
              </a:ln>
              <a:effectLst/>
            </c:spPr>
            <c:extLst>
              <c:ext xmlns:c16="http://schemas.microsoft.com/office/drawing/2014/chart" uri="{C3380CC4-5D6E-409C-BE32-E72D297353CC}">
                <c16:uniqueId val="{00000003-7138-4D23-A336-014C9FB2D742}"/>
              </c:ext>
            </c:extLst>
          </c:dPt>
          <c:dPt>
            <c:idx val="2"/>
            <c:invertIfNegative val="0"/>
            <c:bubble3D val="0"/>
            <c:spPr>
              <a:solidFill>
                <a:schemeClr val="accent1">
                  <a:lumMod val="75000"/>
                </a:schemeClr>
              </a:solidFill>
              <a:ln w="19050">
                <a:noFill/>
              </a:ln>
              <a:effectLst/>
            </c:spPr>
            <c:extLst>
              <c:ext xmlns:c16="http://schemas.microsoft.com/office/drawing/2014/chart" uri="{C3380CC4-5D6E-409C-BE32-E72D297353CC}">
                <c16:uniqueId val="{00000005-7138-4D23-A336-014C9FB2D742}"/>
              </c:ext>
            </c:extLst>
          </c:dPt>
          <c:dPt>
            <c:idx val="3"/>
            <c:invertIfNegative val="0"/>
            <c:bubble3D val="0"/>
            <c:spPr>
              <a:solidFill>
                <a:schemeClr val="accent1">
                  <a:lumMod val="75000"/>
                </a:schemeClr>
              </a:solidFill>
              <a:ln w="19050">
                <a:noFill/>
              </a:ln>
              <a:effectLst/>
            </c:spPr>
            <c:extLst>
              <c:ext xmlns:c16="http://schemas.microsoft.com/office/drawing/2014/chart" uri="{C3380CC4-5D6E-409C-BE32-E72D297353CC}">
                <c16:uniqueId val="{00000007-7138-4D23-A336-014C9FB2D742}"/>
              </c:ext>
            </c:extLst>
          </c:dPt>
          <c:dPt>
            <c:idx val="4"/>
            <c:invertIfNegative val="0"/>
            <c:bubble3D val="0"/>
            <c:spPr>
              <a:solidFill>
                <a:schemeClr val="accent1">
                  <a:lumMod val="75000"/>
                </a:schemeClr>
              </a:solidFill>
              <a:ln w="19050">
                <a:noFill/>
              </a:ln>
              <a:effectLst/>
            </c:spPr>
            <c:extLst>
              <c:ext xmlns:c16="http://schemas.microsoft.com/office/drawing/2014/chart" uri="{C3380CC4-5D6E-409C-BE32-E72D297353CC}">
                <c16:uniqueId val="{00000009-7138-4D23-A336-014C9FB2D742}"/>
              </c:ext>
            </c:extLst>
          </c:dPt>
          <c:dPt>
            <c:idx val="5"/>
            <c:invertIfNegative val="0"/>
            <c:bubble3D val="0"/>
            <c:spPr>
              <a:solidFill>
                <a:schemeClr val="accent1">
                  <a:lumMod val="75000"/>
                </a:schemeClr>
              </a:solidFill>
              <a:ln w="19050">
                <a:noFill/>
              </a:ln>
              <a:effectLst/>
            </c:spPr>
            <c:extLst>
              <c:ext xmlns:c16="http://schemas.microsoft.com/office/drawing/2014/chart" uri="{C3380CC4-5D6E-409C-BE32-E72D297353CC}">
                <c16:uniqueId val="{0000000B-7138-4D23-A336-014C9FB2D742}"/>
              </c:ext>
            </c:extLst>
          </c:dPt>
          <c:dPt>
            <c:idx val="6"/>
            <c:invertIfNegative val="0"/>
            <c:bubble3D val="0"/>
            <c:spPr>
              <a:solidFill>
                <a:schemeClr val="accent1">
                  <a:lumMod val="75000"/>
                </a:schemeClr>
              </a:solidFill>
              <a:ln w="19050">
                <a:noFill/>
              </a:ln>
              <a:effectLst/>
            </c:spPr>
            <c:extLst>
              <c:ext xmlns:c16="http://schemas.microsoft.com/office/drawing/2014/chart" uri="{C3380CC4-5D6E-409C-BE32-E72D297353CC}">
                <c16:uniqueId val="{0000000D-7138-4D23-A336-014C9FB2D742}"/>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1">
                        <a:lumMod val="75000"/>
                      </a:schemeClr>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 1-4'!$B$4:$B$10</c:f>
              <c:strCache>
                <c:ptCount val="7"/>
                <c:pt idx="0">
                  <c:v>MV SR</c:v>
                </c:pt>
                <c:pt idx="1">
                  <c:v>MO SR</c:v>
                </c:pt>
                <c:pt idx="2">
                  <c:v>MŠVaVŠ SR</c:v>
                </c:pt>
                <c:pt idx="3">
                  <c:v>MDV SR</c:v>
                </c:pt>
                <c:pt idx="4">
                  <c:v>MPSVR SR</c:v>
                </c:pt>
                <c:pt idx="5">
                  <c:v>MH SR</c:v>
                </c:pt>
                <c:pt idx="6">
                  <c:v>Ostatné</c:v>
                </c:pt>
              </c:strCache>
            </c:strRef>
          </c:cat>
          <c:val>
            <c:numRef>
              <c:f>'GRAFY 1-4'!$C$4:$C$10</c:f>
              <c:numCache>
                <c:formatCode>#\ ##0.00_ ;\-#\ ##0.00\ </c:formatCode>
                <c:ptCount val="7"/>
                <c:pt idx="0">
                  <c:v>101.52471420999994</c:v>
                </c:pt>
                <c:pt idx="1">
                  <c:v>20.744717250000001</c:v>
                </c:pt>
                <c:pt idx="2">
                  <c:v>19.953157619999981</c:v>
                </c:pt>
                <c:pt idx="3">
                  <c:v>18.455460130000002</c:v>
                </c:pt>
                <c:pt idx="4">
                  <c:v>13.885294279999988</c:v>
                </c:pt>
                <c:pt idx="5">
                  <c:v>10.86171948</c:v>
                </c:pt>
                <c:pt idx="6">
                  <c:v>9.1144171500000031</c:v>
                </c:pt>
              </c:numCache>
            </c:numRef>
          </c:val>
          <c:extLst>
            <c:ext xmlns:c16="http://schemas.microsoft.com/office/drawing/2014/chart" uri="{C3380CC4-5D6E-409C-BE32-E72D297353CC}">
              <c16:uniqueId val="{0000000E-7138-4D23-A336-014C9FB2D742}"/>
            </c:ext>
          </c:extLst>
        </c:ser>
        <c:dLbls>
          <c:dLblPos val="outEnd"/>
          <c:showLegendKey val="0"/>
          <c:showVal val="1"/>
          <c:showCatName val="0"/>
          <c:showSerName val="0"/>
          <c:showPercent val="0"/>
          <c:showBubbleSize val="0"/>
        </c:dLbls>
        <c:gapWidth val="100"/>
        <c:axId val="2032469616"/>
        <c:axId val="2032465456"/>
      </c:barChart>
      <c:catAx>
        <c:axId val="2032469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accent3">
                    <a:lumMod val="50000"/>
                  </a:schemeClr>
                </a:solidFill>
                <a:latin typeface="Segoe UI" panose="020B0502040204020203" pitchFamily="34" charset="0"/>
                <a:ea typeface="+mn-ea"/>
                <a:cs typeface="Segoe UI" panose="020B0502040204020203" pitchFamily="34" charset="0"/>
              </a:defRPr>
            </a:pPr>
            <a:endParaRPr lang="sk-SK"/>
          </a:p>
        </c:txPr>
        <c:crossAx val="2032465456"/>
        <c:crosses val="autoZero"/>
        <c:auto val="1"/>
        <c:lblAlgn val="ctr"/>
        <c:lblOffset val="100"/>
        <c:noMultiLvlLbl val="0"/>
      </c:catAx>
      <c:valAx>
        <c:axId val="2032465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accent3">
                    <a:lumMod val="50000"/>
                  </a:schemeClr>
                </a:solidFill>
                <a:latin typeface="Segoe UI" panose="020B0502040204020203" pitchFamily="34" charset="0"/>
                <a:ea typeface="+mn-ea"/>
                <a:cs typeface="Segoe UI" panose="020B0502040204020203" pitchFamily="34" charset="0"/>
              </a:defRPr>
            </a:pPr>
            <a:endParaRPr lang="sk-SK"/>
          </a:p>
        </c:txPr>
        <c:crossAx val="2032469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995001107487047E-2"/>
          <c:y val="8.2956259426847659E-2"/>
          <c:w val="0.91473583176620299"/>
          <c:h val="0.6271475398154418"/>
        </c:manualLayout>
      </c:layout>
      <c:barChart>
        <c:barDir val="col"/>
        <c:grouping val="clustered"/>
        <c:varyColors val="0"/>
        <c:ser>
          <c:idx val="0"/>
          <c:order val="0"/>
          <c:tx>
            <c:strRef>
              <c:f>'[2]Kvantif uzn.'!$F$32</c:f>
              <c:strCache>
                <c:ptCount val="1"/>
                <c:pt idx="0">
                  <c:v>Darovaný majetok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'[2]Kvantif uzn.'!$E$33:$E$39</c:f>
              <c:strCache>
                <c:ptCount val="7"/>
                <c:pt idx="0">
                  <c:v>MPSVR SR</c:v>
                </c:pt>
                <c:pt idx="1">
                  <c:v>MO SR</c:v>
                </c:pt>
                <c:pt idx="2">
                  <c:v>MV SR</c:v>
                </c:pt>
                <c:pt idx="3">
                  <c:v>MDV SR</c:v>
                </c:pt>
                <c:pt idx="4">
                  <c:v>MZ SR</c:v>
                </c:pt>
                <c:pt idx="5">
                  <c:v>MZVaEZ SR</c:v>
                </c:pt>
                <c:pt idx="6">
                  <c:v>MPRV SR</c:v>
                </c:pt>
              </c:strCache>
            </c:strRef>
          </c:cat>
          <c:val>
            <c:numRef>
              <c:f>'[2]Kvantif uzn.'!$F$33:$F$39</c:f>
              <c:numCache>
                <c:formatCode>General</c:formatCode>
                <c:ptCount val="7"/>
                <c:pt idx="0">
                  <c:v>0</c:v>
                </c:pt>
                <c:pt idx="1">
                  <c:v>118.15999999999998</c:v>
                </c:pt>
                <c:pt idx="2">
                  <c:v>0</c:v>
                </c:pt>
                <c:pt idx="3">
                  <c:v>0</c:v>
                </c:pt>
                <c:pt idx="4">
                  <c:v>0</c:v>
                </c:pt>
                <c:pt idx="5">
                  <c:v>0</c:v>
                </c:pt>
                <c:pt idx="6">
                  <c:v>0</c:v>
                </c:pt>
              </c:numCache>
            </c:numRef>
          </c:val>
          <c:extLst>
            <c:ext xmlns:c16="http://schemas.microsoft.com/office/drawing/2014/chart" uri="{C3380CC4-5D6E-409C-BE32-E72D297353CC}">
              <c16:uniqueId val="{00000000-49C4-4FAA-9887-279D4432924C}"/>
            </c:ext>
          </c:extLst>
        </c:ser>
        <c:ser>
          <c:idx val="1"/>
          <c:order val="1"/>
          <c:tx>
            <c:strRef>
              <c:f>'[2]Kvantif uzn.'!$G$32</c:f>
              <c:strCache>
                <c:ptCount val="1"/>
                <c:pt idx="0">
                  <c:v>Výdavky zo ŠR</c:v>
                </c:pt>
              </c:strCache>
            </c:strRef>
          </c:tx>
          <c:spPr>
            <a:solidFill>
              <a:schemeClr val="accent2"/>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solidFill>
                    <a:latin typeface="Segoe UI" panose="020B0502040204020203" pitchFamily="34" charset="0"/>
                    <a:ea typeface="+mn-ea"/>
                    <a:cs typeface="Segoe UI" panose="020B0502040204020203"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'[2]Kvantif uzn.'!$E$33:$E$39</c:f>
              <c:strCache>
                <c:ptCount val="7"/>
                <c:pt idx="0">
                  <c:v>MPSVR SR</c:v>
                </c:pt>
                <c:pt idx="1">
                  <c:v>MO SR</c:v>
                </c:pt>
                <c:pt idx="2">
                  <c:v>MV SR</c:v>
                </c:pt>
                <c:pt idx="3">
                  <c:v>MDV SR</c:v>
                </c:pt>
                <c:pt idx="4">
                  <c:v>MZ SR</c:v>
                </c:pt>
                <c:pt idx="5">
                  <c:v>MZVaEZ SR</c:v>
                </c:pt>
                <c:pt idx="6">
                  <c:v>MPRV SR</c:v>
                </c:pt>
              </c:strCache>
            </c:strRef>
          </c:cat>
          <c:val>
            <c:numRef>
              <c:f>'[2]Kvantif uzn.'!$G$33:$G$39</c:f>
              <c:numCache>
                <c:formatCode>General</c:formatCode>
                <c:ptCount val="7"/>
                <c:pt idx="0">
                  <c:v>124.82152000000001</c:v>
                </c:pt>
                <c:pt idx="1">
                  <c:v>0</c:v>
                </c:pt>
                <c:pt idx="2">
                  <c:v>38.31</c:v>
                </c:pt>
                <c:pt idx="3">
                  <c:v>15.84</c:v>
                </c:pt>
                <c:pt idx="4">
                  <c:v>1.4</c:v>
                </c:pt>
                <c:pt idx="5">
                  <c:v>1</c:v>
                </c:pt>
                <c:pt idx="6">
                  <c:v>0.42</c:v>
                </c:pt>
              </c:numCache>
            </c:numRef>
          </c:val>
          <c:extLst>
            <c:ext xmlns:c16="http://schemas.microsoft.com/office/drawing/2014/chart" uri="{C3380CC4-5D6E-409C-BE32-E72D297353CC}">
              <c16:uniqueId val="{00000001-49C4-4FAA-9887-279D4432924C}"/>
            </c:ext>
          </c:extLst>
        </c:ser>
        <c:dLbls>
          <c:showLegendKey val="0"/>
          <c:showVal val="0"/>
          <c:showCatName val="0"/>
          <c:showSerName val="0"/>
          <c:showPercent val="0"/>
          <c:showBubbleSize val="0"/>
        </c:dLbls>
        <c:gapWidth val="75"/>
        <c:overlap val="-25"/>
        <c:axId val="240203599"/>
        <c:axId val="240204015"/>
      </c:barChart>
      <c:catAx>
        <c:axId val="240203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40204015"/>
        <c:crosses val="autoZero"/>
        <c:auto val="1"/>
        <c:lblAlgn val="ctr"/>
        <c:lblOffset val="100"/>
        <c:noMultiLvlLbl val="0"/>
      </c:catAx>
      <c:valAx>
        <c:axId val="2402040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240203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83103674540683"/>
          <c:y val="4.0922619047619048E-2"/>
          <c:w val="0.84594415705304282"/>
          <c:h val="0.56364497759079768"/>
        </c:manualLayout>
      </c:layout>
      <c:barChart>
        <c:barDir val="col"/>
        <c:grouping val="stacked"/>
        <c:varyColors val="0"/>
        <c:ser>
          <c:idx val="0"/>
          <c:order val="0"/>
          <c:tx>
            <c:strRef>
              <c:f>pozícia!$B$1</c:f>
              <c:strCache>
                <c:ptCount val="1"/>
                <c:pt idx="0">
                  <c:v>Celkové príjmy</c:v>
                </c:pt>
              </c:strCache>
            </c:strRef>
          </c:tx>
          <c:spPr>
            <a:solidFill>
              <a:schemeClr val="bg2"/>
            </a:solidFill>
            <a:ln>
              <a:noFill/>
            </a:ln>
            <a:effectLst/>
          </c:spPr>
          <c:invertIfNegative val="0"/>
          <c:cat>
            <c:numRef>
              <c:f>pozícia!$A$3:$A$20</c:f>
              <c:numCache>
                <c:formatCode>General</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pozícia!$B$3:$B$20</c:f>
              <c:numCache>
                <c:formatCode>#,##0</c:formatCode>
                <c:ptCount val="18"/>
                <c:pt idx="0">
                  <c:v>704993</c:v>
                </c:pt>
                <c:pt idx="1">
                  <c:v>893623</c:v>
                </c:pt>
                <c:pt idx="2">
                  <c:v>910838</c:v>
                </c:pt>
                <c:pt idx="3">
                  <c:v>893497</c:v>
                </c:pt>
                <c:pt idx="4">
                  <c:v>1119659</c:v>
                </c:pt>
                <c:pt idx="5">
                  <c:v>1672483</c:v>
                </c:pt>
                <c:pt idx="6">
                  <c:v>2041093</c:v>
                </c:pt>
                <c:pt idx="7">
                  <c:v>2137849</c:v>
                </c:pt>
                <c:pt idx="8">
                  <c:v>2185358</c:v>
                </c:pt>
                <c:pt idx="9">
                  <c:v>1265091</c:v>
                </c:pt>
                <c:pt idx="10">
                  <c:v>4288873</c:v>
                </c:pt>
                <c:pt idx="11">
                  <c:v>1947481</c:v>
                </c:pt>
                <c:pt idx="12">
                  <c:v>1425572</c:v>
                </c:pt>
                <c:pt idx="13">
                  <c:v>2169732</c:v>
                </c:pt>
                <c:pt idx="14">
                  <c:v>2126943</c:v>
                </c:pt>
                <c:pt idx="15">
                  <c:v>2551360</c:v>
                </c:pt>
                <c:pt idx="16">
                  <c:v>2273990</c:v>
                </c:pt>
                <c:pt idx="17">
                  <c:v>2187702</c:v>
                </c:pt>
              </c:numCache>
            </c:numRef>
          </c:val>
          <c:extLst>
            <c:ext xmlns:c16="http://schemas.microsoft.com/office/drawing/2014/chart" uri="{C3380CC4-5D6E-409C-BE32-E72D297353CC}">
              <c16:uniqueId val="{00000000-DF73-4755-9364-1754D753FAB0}"/>
            </c:ext>
          </c:extLst>
        </c:ser>
        <c:ser>
          <c:idx val="1"/>
          <c:order val="1"/>
          <c:tx>
            <c:strRef>
              <c:f>pozícia!$C$1</c:f>
              <c:strCache>
                <c:ptCount val="1"/>
                <c:pt idx="0">
                  <c:v>Celkové odvody a príspevky</c:v>
                </c:pt>
              </c:strCache>
            </c:strRef>
          </c:tx>
          <c:spPr>
            <a:solidFill>
              <a:schemeClr val="tx2"/>
            </a:solidFill>
            <a:ln>
              <a:noFill/>
            </a:ln>
            <a:effectLst/>
          </c:spPr>
          <c:invertIfNegative val="0"/>
          <c:cat>
            <c:numRef>
              <c:f>pozícia!$A$3:$A$20</c:f>
              <c:numCache>
                <c:formatCode>General</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pozícia!$C$3:$C$20</c:f>
              <c:numCache>
                <c:formatCode>#,##0</c:formatCode>
                <c:ptCount val="18"/>
                <c:pt idx="0">
                  <c:v>-485614</c:v>
                </c:pt>
                <c:pt idx="1">
                  <c:v>-526326</c:v>
                </c:pt>
                <c:pt idx="2">
                  <c:v>-589800</c:v>
                </c:pt>
                <c:pt idx="3">
                  <c:v>-643374</c:v>
                </c:pt>
                <c:pt idx="4">
                  <c:v>-695726</c:v>
                </c:pt>
                <c:pt idx="5">
                  <c:v>-627529</c:v>
                </c:pt>
                <c:pt idx="6">
                  <c:v>-704656</c:v>
                </c:pt>
                <c:pt idx="7">
                  <c:v>-722831</c:v>
                </c:pt>
                <c:pt idx="8">
                  <c:v>-825098</c:v>
                </c:pt>
                <c:pt idx="9">
                  <c:v>-785366</c:v>
                </c:pt>
                <c:pt idx="10">
                  <c:v>-695508</c:v>
                </c:pt>
                <c:pt idx="11">
                  <c:v>-739903</c:v>
                </c:pt>
                <c:pt idx="12">
                  <c:v>-738045</c:v>
                </c:pt>
                <c:pt idx="13">
                  <c:v>-841321</c:v>
                </c:pt>
                <c:pt idx="14">
                  <c:v>-851733</c:v>
                </c:pt>
                <c:pt idx="15">
                  <c:v>-974126</c:v>
                </c:pt>
                <c:pt idx="16">
                  <c:v>-1354647</c:v>
                </c:pt>
                <c:pt idx="17">
                  <c:v>-1070208</c:v>
                </c:pt>
              </c:numCache>
            </c:numRef>
          </c:val>
          <c:extLst>
            <c:ext xmlns:c16="http://schemas.microsoft.com/office/drawing/2014/chart" uri="{C3380CC4-5D6E-409C-BE32-E72D297353CC}">
              <c16:uniqueId val="{00000001-DF73-4755-9364-1754D753FAB0}"/>
            </c:ext>
          </c:extLst>
        </c:ser>
        <c:dLbls>
          <c:showLegendKey val="0"/>
          <c:showVal val="0"/>
          <c:showCatName val="0"/>
          <c:showSerName val="0"/>
          <c:showPercent val="0"/>
          <c:showBubbleSize val="0"/>
        </c:dLbls>
        <c:gapWidth val="219"/>
        <c:overlap val="100"/>
        <c:axId val="692283903"/>
        <c:axId val="692273919"/>
      </c:barChart>
      <c:lineChart>
        <c:grouping val="standard"/>
        <c:varyColors val="0"/>
        <c:ser>
          <c:idx val="2"/>
          <c:order val="2"/>
          <c:tx>
            <c:strRef>
              <c:f>pozícia!$D$1</c:f>
              <c:strCache>
                <c:ptCount val="1"/>
                <c:pt idx="0">
                  <c:v>Čistá finančná pozícia</c:v>
                </c:pt>
              </c:strCache>
            </c:strRef>
          </c:tx>
          <c:spPr>
            <a:ln w="25400" cap="rnd">
              <a:solidFill>
                <a:schemeClr val="accent6"/>
              </a:solidFill>
              <a:round/>
            </a:ln>
            <a:effectLst/>
          </c:spPr>
          <c:marker>
            <c:symbol val="none"/>
          </c:marker>
          <c:cat>
            <c:numRef>
              <c:f>pozícia!$A$3:$A$20</c:f>
              <c:numCache>
                <c:formatCode>General</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pozícia!$D$3:$D$20</c:f>
              <c:numCache>
                <c:formatCode>#,##0</c:formatCode>
                <c:ptCount val="18"/>
                <c:pt idx="0">
                  <c:v>219379</c:v>
                </c:pt>
                <c:pt idx="1">
                  <c:v>367297</c:v>
                </c:pt>
                <c:pt idx="2">
                  <c:v>321038</c:v>
                </c:pt>
                <c:pt idx="3">
                  <c:v>250123</c:v>
                </c:pt>
                <c:pt idx="4">
                  <c:v>423933</c:v>
                </c:pt>
                <c:pt idx="5">
                  <c:v>1044954</c:v>
                </c:pt>
                <c:pt idx="6">
                  <c:v>1336437</c:v>
                </c:pt>
                <c:pt idx="7">
                  <c:v>1415018</c:v>
                </c:pt>
                <c:pt idx="8">
                  <c:v>1360260</c:v>
                </c:pt>
                <c:pt idx="9">
                  <c:v>479725</c:v>
                </c:pt>
                <c:pt idx="10">
                  <c:v>3593365</c:v>
                </c:pt>
                <c:pt idx="11">
                  <c:v>1207578</c:v>
                </c:pt>
                <c:pt idx="12">
                  <c:v>687527</c:v>
                </c:pt>
                <c:pt idx="13">
                  <c:v>1328411</c:v>
                </c:pt>
                <c:pt idx="14">
                  <c:v>1275210</c:v>
                </c:pt>
                <c:pt idx="15">
                  <c:v>1577234</c:v>
                </c:pt>
                <c:pt idx="16">
                  <c:v>919343</c:v>
                </c:pt>
                <c:pt idx="17">
                  <c:v>1117494</c:v>
                </c:pt>
              </c:numCache>
            </c:numRef>
          </c:val>
          <c:smooth val="0"/>
          <c:extLst>
            <c:ext xmlns:c16="http://schemas.microsoft.com/office/drawing/2014/chart" uri="{C3380CC4-5D6E-409C-BE32-E72D297353CC}">
              <c16:uniqueId val="{00000002-DF73-4755-9364-1754D753FAB0}"/>
            </c:ext>
          </c:extLst>
        </c:ser>
        <c:dLbls>
          <c:showLegendKey val="0"/>
          <c:showVal val="0"/>
          <c:showCatName val="0"/>
          <c:showSerName val="0"/>
          <c:showPercent val="0"/>
          <c:showBubbleSize val="0"/>
        </c:dLbls>
        <c:marker val="1"/>
        <c:smooth val="0"/>
        <c:axId val="692283903"/>
        <c:axId val="692273919"/>
      </c:lineChart>
      <c:catAx>
        <c:axId val="692283903"/>
        <c:scaling>
          <c:orientation val="minMax"/>
        </c:scaling>
        <c:delete val="0"/>
        <c:axPos val="b"/>
        <c:numFmt formatCode="General" sourceLinked="1"/>
        <c:majorTickMark val="in"/>
        <c:minorTickMark val="in"/>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92273919"/>
        <c:crosses val="autoZero"/>
        <c:auto val="1"/>
        <c:lblAlgn val="ctr"/>
        <c:lblOffset val="400"/>
        <c:tickMarkSkip val="3"/>
        <c:noMultiLvlLbl val="0"/>
      </c:catAx>
      <c:valAx>
        <c:axId val="692273919"/>
        <c:scaling>
          <c:orientation val="minMax"/>
          <c:max val="4500000"/>
          <c:min val="-15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92283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352976039285412E-2"/>
          <c:y val="3.0153508771929825E-2"/>
          <c:w val="0.88848431707888775"/>
          <c:h val="0.60396745861312795"/>
        </c:manualLayout>
      </c:layout>
      <c:scatterChart>
        <c:scatterStyle val="smoothMarker"/>
        <c:varyColors val="0"/>
        <c:ser>
          <c:idx val="0"/>
          <c:order val="0"/>
          <c:tx>
            <c:strRef>
              <c:f>'[Graf v programe Microsoft Word]stanovisko'!$H$3</c:f>
              <c:strCache>
                <c:ptCount val="1"/>
                <c:pt idx="0">
                  <c:v>OP Ľudské zdroje</c:v>
                </c:pt>
              </c:strCache>
            </c:strRef>
          </c:tx>
          <c:spPr>
            <a:ln w="19050" cap="rnd">
              <a:solidFill>
                <a:schemeClr val="accent1"/>
              </a:solidFill>
              <a:round/>
            </a:ln>
            <a:effectLst/>
          </c:spPr>
          <c:marker>
            <c:symbol val="circle"/>
            <c:size val="7"/>
            <c:spPr>
              <a:solidFill>
                <a:schemeClr val="accent1"/>
              </a:solidFill>
              <a:ln w="9525">
                <a:solidFill>
                  <a:schemeClr val="accent1"/>
                </a:solidFill>
              </a:ln>
              <a:effectLst/>
            </c:spPr>
          </c:marker>
          <c:dPt>
            <c:idx val="0"/>
            <c:marker>
              <c:symbol val="triang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0-559B-4737-8E90-0EB5B40E86F7}"/>
              </c:ext>
            </c:extLst>
          </c:dPt>
          <c:xVal>
            <c:numRef>
              <c:f>'[Graf v programe Microsoft Word]stanovisko'!$J$4:$J$5</c:f>
              <c:numCache>
                <c:formatCode>General</c:formatCode>
                <c:ptCount val="2"/>
                <c:pt idx="0">
                  <c:v>63.57</c:v>
                </c:pt>
                <c:pt idx="1">
                  <c:v>79.150000000000006</c:v>
                </c:pt>
              </c:numCache>
            </c:numRef>
          </c:xVal>
          <c:yVal>
            <c:numRef>
              <c:f>'[Graf v programe Microsoft Word]stanovisko'!$I$4:$I$5</c:f>
              <c:numCache>
                <c:formatCode>General</c:formatCode>
                <c:ptCount val="2"/>
                <c:pt idx="0">
                  <c:v>98.99</c:v>
                </c:pt>
                <c:pt idx="1">
                  <c:v>103.3</c:v>
                </c:pt>
              </c:numCache>
            </c:numRef>
          </c:yVal>
          <c:smooth val="1"/>
          <c:extLst>
            <c:ext xmlns:c16="http://schemas.microsoft.com/office/drawing/2014/chart" uri="{C3380CC4-5D6E-409C-BE32-E72D297353CC}">
              <c16:uniqueId val="{00000001-559B-4737-8E90-0EB5B40E86F7}"/>
            </c:ext>
          </c:extLst>
        </c:ser>
        <c:ser>
          <c:idx val="1"/>
          <c:order val="1"/>
          <c:tx>
            <c:strRef>
              <c:f>'[Graf v programe Microsoft Word]stanovisko'!$H$7</c:f>
              <c:strCache>
                <c:ptCount val="1"/>
                <c:pt idx="0">
                  <c:v>OP Integrovaná infraštúra</c:v>
                </c:pt>
              </c:strCache>
            </c:strRef>
          </c:tx>
          <c:spPr>
            <a:ln w="19050" cap="rnd">
              <a:solidFill>
                <a:schemeClr val="accent2"/>
              </a:solidFill>
              <a:round/>
            </a:ln>
            <a:effectLst/>
          </c:spPr>
          <c:marker>
            <c:symbol val="circle"/>
            <c:size val="7"/>
            <c:spPr>
              <a:solidFill>
                <a:schemeClr val="accent2"/>
              </a:solidFill>
              <a:ln w="9525">
                <a:solidFill>
                  <a:schemeClr val="accent2"/>
                </a:solidFill>
              </a:ln>
              <a:effectLst/>
            </c:spPr>
          </c:marker>
          <c:dPt>
            <c:idx val="0"/>
            <c:marker>
              <c:symbol val="triangl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02-559B-4737-8E90-0EB5B40E86F7}"/>
              </c:ext>
            </c:extLst>
          </c:dPt>
          <c:xVal>
            <c:numRef>
              <c:f>'[Graf v programe Microsoft Word]stanovisko'!$J$8:$J$9</c:f>
              <c:numCache>
                <c:formatCode>General</c:formatCode>
                <c:ptCount val="2"/>
                <c:pt idx="0">
                  <c:v>44.91</c:v>
                </c:pt>
                <c:pt idx="1">
                  <c:v>63.44</c:v>
                </c:pt>
              </c:numCache>
            </c:numRef>
          </c:xVal>
          <c:yVal>
            <c:numRef>
              <c:f>'[Graf v programe Microsoft Word]stanovisko'!$I$8:$I$9</c:f>
              <c:numCache>
                <c:formatCode>General</c:formatCode>
                <c:ptCount val="2"/>
                <c:pt idx="0">
                  <c:v>93.69</c:v>
                </c:pt>
                <c:pt idx="1">
                  <c:v>105.32</c:v>
                </c:pt>
              </c:numCache>
            </c:numRef>
          </c:yVal>
          <c:smooth val="1"/>
          <c:extLst>
            <c:ext xmlns:c16="http://schemas.microsoft.com/office/drawing/2014/chart" uri="{C3380CC4-5D6E-409C-BE32-E72D297353CC}">
              <c16:uniqueId val="{00000003-559B-4737-8E90-0EB5B40E86F7}"/>
            </c:ext>
          </c:extLst>
        </c:ser>
        <c:ser>
          <c:idx val="2"/>
          <c:order val="2"/>
          <c:tx>
            <c:strRef>
              <c:f>'[Graf v programe Microsoft Word]stanovisko'!$H$11</c:f>
              <c:strCache>
                <c:ptCount val="1"/>
                <c:pt idx="0">
                  <c:v>OP Kvalita životného prostredia</c:v>
                </c:pt>
              </c:strCache>
            </c:strRef>
          </c:tx>
          <c:spPr>
            <a:ln w="19050" cap="rnd">
              <a:solidFill>
                <a:schemeClr val="accent3"/>
              </a:solidFill>
              <a:round/>
            </a:ln>
            <a:effectLst/>
          </c:spPr>
          <c:marker>
            <c:symbol val="circle"/>
            <c:size val="7"/>
            <c:spPr>
              <a:solidFill>
                <a:schemeClr val="accent3"/>
              </a:solidFill>
              <a:ln w="9525">
                <a:solidFill>
                  <a:schemeClr val="accent3"/>
                </a:solidFill>
              </a:ln>
              <a:effectLst/>
            </c:spPr>
          </c:marker>
          <c:dPt>
            <c:idx val="0"/>
            <c:marker>
              <c:symbol val="triangle"/>
              <c:size val="7"/>
              <c:spPr>
                <a:solidFill>
                  <a:schemeClr val="accent3"/>
                </a:solidFill>
                <a:ln w="9525">
                  <a:solidFill>
                    <a:schemeClr val="accent3"/>
                  </a:solidFill>
                </a:ln>
                <a:effectLst/>
              </c:spPr>
            </c:marker>
            <c:bubble3D val="0"/>
            <c:extLst>
              <c:ext xmlns:c16="http://schemas.microsoft.com/office/drawing/2014/chart" uri="{C3380CC4-5D6E-409C-BE32-E72D297353CC}">
                <c16:uniqueId val="{00000004-559B-4737-8E90-0EB5B40E86F7}"/>
              </c:ext>
            </c:extLst>
          </c:dPt>
          <c:xVal>
            <c:numRef>
              <c:f>'[Graf v programe Microsoft Word]stanovisko'!$J$12:$J$13</c:f>
              <c:numCache>
                <c:formatCode>General</c:formatCode>
                <c:ptCount val="2"/>
                <c:pt idx="0">
                  <c:v>49.96</c:v>
                </c:pt>
                <c:pt idx="1">
                  <c:v>63.37</c:v>
                </c:pt>
              </c:numCache>
            </c:numRef>
          </c:xVal>
          <c:yVal>
            <c:numRef>
              <c:f>'[Graf v programe Microsoft Word]stanovisko'!$I$12:$I$13</c:f>
              <c:numCache>
                <c:formatCode>General</c:formatCode>
                <c:ptCount val="2"/>
                <c:pt idx="0">
                  <c:v>80.319999999999993</c:v>
                </c:pt>
                <c:pt idx="1">
                  <c:v>86.7</c:v>
                </c:pt>
              </c:numCache>
            </c:numRef>
          </c:yVal>
          <c:smooth val="1"/>
          <c:extLst>
            <c:ext xmlns:c16="http://schemas.microsoft.com/office/drawing/2014/chart" uri="{C3380CC4-5D6E-409C-BE32-E72D297353CC}">
              <c16:uniqueId val="{00000005-559B-4737-8E90-0EB5B40E86F7}"/>
            </c:ext>
          </c:extLst>
        </c:ser>
        <c:ser>
          <c:idx val="3"/>
          <c:order val="3"/>
          <c:tx>
            <c:strRef>
              <c:f>'[Graf v programe Microsoft Word]stanovisko'!$H$15</c:f>
              <c:strCache>
                <c:ptCount val="1"/>
                <c:pt idx="0">
                  <c:v>Integrovaný regionálny OP</c:v>
                </c:pt>
              </c:strCache>
            </c:strRef>
          </c:tx>
          <c:spPr>
            <a:ln w="19050" cap="rnd">
              <a:solidFill>
                <a:schemeClr val="accent4"/>
              </a:solidFill>
              <a:round/>
            </a:ln>
            <a:effectLst/>
          </c:spPr>
          <c:marker>
            <c:symbol val="circle"/>
            <c:size val="7"/>
            <c:spPr>
              <a:solidFill>
                <a:schemeClr val="accent4"/>
              </a:solidFill>
              <a:ln w="9525">
                <a:solidFill>
                  <a:schemeClr val="accent4"/>
                </a:solidFill>
              </a:ln>
              <a:effectLst/>
            </c:spPr>
          </c:marker>
          <c:dPt>
            <c:idx val="0"/>
            <c:marker>
              <c:symbol val="triangle"/>
              <c:size val="7"/>
              <c:spPr>
                <a:solidFill>
                  <a:schemeClr val="accent4"/>
                </a:solidFill>
                <a:ln w="9525">
                  <a:solidFill>
                    <a:schemeClr val="accent4"/>
                  </a:solidFill>
                </a:ln>
                <a:effectLst/>
              </c:spPr>
            </c:marker>
            <c:bubble3D val="0"/>
            <c:extLst>
              <c:ext xmlns:c16="http://schemas.microsoft.com/office/drawing/2014/chart" uri="{C3380CC4-5D6E-409C-BE32-E72D297353CC}">
                <c16:uniqueId val="{00000006-559B-4737-8E90-0EB5B40E86F7}"/>
              </c:ext>
            </c:extLst>
          </c:dPt>
          <c:xVal>
            <c:numRef>
              <c:f>'[Graf v programe Microsoft Word]stanovisko'!$J$16:$J$17</c:f>
              <c:numCache>
                <c:formatCode>General</c:formatCode>
                <c:ptCount val="2"/>
                <c:pt idx="0">
                  <c:v>38.979999999999997</c:v>
                </c:pt>
                <c:pt idx="1">
                  <c:v>53.87</c:v>
                </c:pt>
              </c:numCache>
            </c:numRef>
          </c:xVal>
          <c:yVal>
            <c:numRef>
              <c:f>'[Graf v programe Microsoft Word]stanovisko'!$I$16:$I$17</c:f>
              <c:numCache>
                <c:formatCode>General</c:formatCode>
                <c:ptCount val="2"/>
                <c:pt idx="0">
                  <c:v>83.49</c:v>
                </c:pt>
                <c:pt idx="1">
                  <c:v>106.72</c:v>
                </c:pt>
              </c:numCache>
            </c:numRef>
          </c:yVal>
          <c:smooth val="1"/>
          <c:extLst>
            <c:ext xmlns:c16="http://schemas.microsoft.com/office/drawing/2014/chart" uri="{C3380CC4-5D6E-409C-BE32-E72D297353CC}">
              <c16:uniqueId val="{00000007-559B-4737-8E90-0EB5B40E86F7}"/>
            </c:ext>
          </c:extLst>
        </c:ser>
        <c:ser>
          <c:idx val="4"/>
          <c:order val="4"/>
          <c:tx>
            <c:strRef>
              <c:f>'[Graf v programe Microsoft Word]stanovisko'!$L$3</c:f>
              <c:strCache>
                <c:ptCount val="1"/>
                <c:pt idx="0">
                  <c:v>OP Efektívna verejná správa</c:v>
                </c:pt>
              </c:strCache>
            </c:strRef>
          </c:tx>
          <c:spPr>
            <a:ln w="19050" cap="rnd">
              <a:solidFill>
                <a:schemeClr val="accent5"/>
              </a:solidFill>
              <a:round/>
            </a:ln>
            <a:effectLst/>
          </c:spPr>
          <c:marker>
            <c:symbol val="circle"/>
            <c:size val="7"/>
            <c:spPr>
              <a:solidFill>
                <a:schemeClr val="accent5"/>
              </a:solidFill>
              <a:ln w="9525">
                <a:solidFill>
                  <a:schemeClr val="accent5"/>
                </a:solidFill>
              </a:ln>
              <a:effectLst/>
            </c:spPr>
          </c:marker>
          <c:dPt>
            <c:idx val="0"/>
            <c:marker>
              <c:symbol val="triangle"/>
              <c:size val="7"/>
              <c:spPr>
                <a:solidFill>
                  <a:schemeClr val="accent5"/>
                </a:solidFill>
                <a:ln w="9525">
                  <a:solidFill>
                    <a:schemeClr val="accent5"/>
                  </a:solidFill>
                </a:ln>
                <a:effectLst/>
              </c:spPr>
            </c:marker>
            <c:bubble3D val="0"/>
            <c:extLst>
              <c:ext xmlns:c16="http://schemas.microsoft.com/office/drawing/2014/chart" uri="{C3380CC4-5D6E-409C-BE32-E72D297353CC}">
                <c16:uniqueId val="{00000008-559B-4737-8E90-0EB5B40E86F7}"/>
              </c:ext>
            </c:extLst>
          </c:dPt>
          <c:xVal>
            <c:numRef>
              <c:f>'[Graf v programe Microsoft Word]stanovisko'!$N$4:$N$5</c:f>
              <c:numCache>
                <c:formatCode>General</c:formatCode>
                <c:ptCount val="2"/>
                <c:pt idx="0">
                  <c:v>57.27</c:v>
                </c:pt>
                <c:pt idx="1">
                  <c:v>80.36</c:v>
                </c:pt>
              </c:numCache>
            </c:numRef>
          </c:xVal>
          <c:yVal>
            <c:numRef>
              <c:f>'[Graf v programe Microsoft Word]stanovisko'!$M$4:$M$5</c:f>
              <c:numCache>
                <c:formatCode>General</c:formatCode>
                <c:ptCount val="2"/>
                <c:pt idx="0">
                  <c:v>89.82</c:v>
                </c:pt>
                <c:pt idx="1">
                  <c:v>96.96</c:v>
                </c:pt>
              </c:numCache>
            </c:numRef>
          </c:yVal>
          <c:smooth val="1"/>
          <c:extLst>
            <c:ext xmlns:c16="http://schemas.microsoft.com/office/drawing/2014/chart" uri="{C3380CC4-5D6E-409C-BE32-E72D297353CC}">
              <c16:uniqueId val="{00000009-559B-4737-8E90-0EB5B40E86F7}"/>
            </c:ext>
          </c:extLst>
        </c:ser>
        <c:ser>
          <c:idx val="5"/>
          <c:order val="5"/>
          <c:tx>
            <c:strRef>
              <c:f>'[Graf v programe Microsoft Word]stanovisko'!$L$7</c:f>
              <c:strCache>
                <c:ptCount val="1"/>
                <c:pt idx="0">
                  <c:v>OP Technická pomoc</c:v>
                </c:pt>
              </c:strCache>
            </c:strRef>
          </c:tx>
          <c:spPr>
            <a:ln w="19050" cap="rnd">
              <a:solidFill>
                <a:schemeClr val="accent6"/>
              </a:solidFill>
              <a:round/>
            </a:ln>
            <a:effectLst/>
          </c:spPr>
          <c:marker>
            <c:symbol val="circle"/>
            <c:size val="7"/>
            <c:spPr>
              <a:solidFill>
                <a:schemeClr val="accent6"/>
              </a:solidFill>
              <a:ln w="9525">
                <a:solidFill>
                  <a:schemeClr val="accent6"/>
                </a:solidFill>
              </a:ln>
              <a:effectLst/>
            </c:spPr>
          </c:marker>
          <c:dPt>
            <c:idx val="0"/>
            <c:marker>
              <c:symbol val="triangle"/>
              <c:size val="7"/>
              <c:spPr>
                <a:solidFill>
                  <a:schemeClr val="accent6"/>
                </a:solidFill>
                <a:ln w="9525">
                  <a:solidFill>
                    <a:schemeClr val="accent6"/>
                  </a:solidFill>
                </a:ln>
                <a:effectLst/>
              </c:spPr>
            </c:marker>
            <c:bubble3D val="0"/>
            <c:extLst>
              <c:ext xmlns:c16="http://schemas.microsoft.com/office/drawing/2014/chart" uri="{C3380CC4-5D6E-409C-BE32-E72D297353CC}">
                <c16:uniqueId val="{0000000A-559B-4737-8E90-0EB5B40E86F7}"/>
              </c:ext>
            </c:extLst>
          </c:dPt>
          <c:xVal>
            <c:numRef>
              <c:f>'[Graf v programe Microsoft Word]stanovisko'!$N$8:$N$9</c:f>
              <c:numCache>
                <c:formatCode>General</c:formatCode>
                <c:ptCount val="2"/>
                <c:pt idx="0">
                  <c:v>91.38</c:v>
                </c:pt>
                <c:pt idx="1">
                  <c:v>93.32</c:v>
                </c:pt>
              </c:numCache>
            </c:numRef>
          </c:xVal>
          <c:yVal>
            <c:numRef>
              <c:f>'[Graf v programe Microsoft Word]stanovisko'!$M$8:$M$9</c:f>
              <c:numCache>
                <c:formatCode>General</c:formatCode>
                <c:ptCount val="2"/>
                <c:pt idx="0">
                  <c:v>92.51</c:v>
                </c:pt>
                <c:pt idx="1">
                  <c:v>96.34</c:v>
                </c:pt>
              </c:numCache>
            </c:numRef>
          </c:yVal>
          <c:smooth val="1"/>
          <c:extLst>
            <c:ext xmlns:c16="http://schemas.microsoft.com/office/drawing/2014/chart" uri="{C3380CC4-5D6E-409C-BE32-E72D297353CC}">
              <c16:uniqueId val="{0000000B-559B-4737-8E90-0EB5B40E86F7}"/>
            </c:ext>
          </c:extLst>
        </c:ser>
        <c:ser>
          <c:idx val="6"/>
          <c:order val="6"/>
          <c:tx>
            <c:strRef>
              <c:f>'[Graf v programe Microsoft Word]stanovisko'!$L$11</c:f>
              <c:strCache>
                <c:ptCount val="1"/>
                <c:pt idx="0">
                  <c:v>OP Rybné hospodárstvo</c:v>
                </c:pt>
              </c:strCache>
            </c:strRef>
          </c:tx>
          <c:spPr>
            <a:ln w="19050" cap="rnd">
              <a:solidFill>
                <a:schemeClr val="accent1">
                  <a:lumMod val="60000"/>
                </a:schemeClr>
              </a:solidFill>
              <a:round/>
            </a:ln>
            <a:effectLst/>
          </c:spPr>
          <c:marker>
            <c:symbol val="circle"/>
            <c:size val="7"/>
            <c:spPr>
              <a:solidFill>
                <a:schemeClr val="accent1">
                  <a:lumMod val="60000"/>
                </a:schemeClr>
              </a:solidFill>
              <a:ln w="9525">
                <a:solidFill>
                  <a:schemeClr val="accent1">
                    <a:lumMod val="60000"/>
                  </a:schemeClr>
                </a:solidFill>
              </a:ln>
              <a:effectLst/>
            </c:spPr>
          </c:marker>
          <c:dPt>
            <c:idx val="0"/>
            <c:marker>
              <c:symbol val="triangle"/>
              <c:size val="7"/>
              <c:spPr>
                <a:solidFill>
                  <a:schemeClr val="accent1">
                    <a:lumMod val="60000"/>
                  </a:schemeClr>
                </a:solidFill>
                <a:ln w="9525">
                  <a:solidFill>
                    <a:schemeClr val="accent1">
                      <a:lumMod val="60000"/>
                    </a:schemeClr>
                  </a:solidFill>
                </a:ln>
                <a:effectLst/>
              </c:spPr>
            </c:marker>
            <c:bubble3D val="0"/>
            <c:extLst>
              <c:ext xmlns:c16="http://schemas.microsoft.com/office/drawing/2014/chart" uri="{C3380CC4-5D6E-409C-BE32-E72D297353CC}">
                <c16:uniqueId val="{0000000C-559B-4737-8E90-0EB5B40E86F7}"/>
              </c:ext>
            </c:extLst>
          </c:dPt>
          <c:xVal>
            <c:numRef>
              <c:f>'[Graf v programe Microsoft Word]stanovisko'!$N$12:$N$13</c:f>
              <c:numCache>
                <c:formatCode>General</c:formatCode>
                <c:ptCount val="2"/>
                <c:pt idx="0">
                  <c:v>23.29</c:v>
                </c:pt>
                <c:pt idx="1">
                  <c:v>26.46</c:v>
                </c:pt>
              </c:numCache>
            </c:numRef>
          </c:xVal>
          <c:yVal>
            <c:numRef>
              <c:f>'[Graf v programe Microsoft Word]stanovisko'!$M$12:$M$13</c:f>
              <c:numCache>
                <c:formatCode>General</c:formatCode>
                <c:ptCount val="2"/>
                <c:pt idx="0">
                  <c:v>31.87</c:v>
                </c:pt>
                <c:pt idx="1">
                  <c:v>31.99</c:v>
                </c:pt>
              </c:numCache>
            </c:numRef>
          </c:yVal>
          <c:smooth val="1"/>
          <c:extLst>
            <c:ext xmlns:c16="http://schemas.microsoft.com/office/drawing/2014/chart" uri="{C3380CC4-5D6E-409C-BE32-E72D297353CC}">
              <c16:uniqueId val="{0000000D-559B-4737-8E90-0EB5B40E86F7}"/>
            </c:ext>
          </c:extLst>
        </c:ser>
        <c:ser>
          <c:idx val="7"/>
          <c:order val="7"/>
          <c:tx>
            <c:strRef>
              <c:f>'[Graf v programe Microsoft Word]stanovisko'!$L$15</c:f>
              <c:strCache>
                <c:ptCount val="1"/>
                <c:pt idx="0">
                  <c:v>Interreg V-A  SK-CZ</c:v>
                </c:pt>
              </c:strCache>
            </c:strRef>
          </c:tx>
          <c:spPr>
            <a:ln w="19050" cap="rnd">
              <a:solidFill>
                <a:schemeClr val="accent2">
                  <a:lumMod val="60000"/>
                </a:schemeClr>
              </a:solidFill>
              <a:round/>
            </a:ln>
            <a:effectLst/>
          </c:spPr>
          <c:marker>
            <c:symbol val="circle"/>
            <c:size val="7"/>
            <c:spPr>
              <a:solidFill>
                <a:schemeClr val="accent2">
                  <a:lumMod val="60000"/>
                </a:schemeClr>
              </a:solidFill>
              <a:ln w="9525">
                <a:solidFill>
                  <a:schemeClr val="accent2">
                    <a:lumMod val="60000"/>
                  </a:schemeClr>
                </a:solidFill>
              </a:ln>
              <a:effectLst/>
            </c:spPr>
          </c:marker>
          <c:dPt>
            <c:idx val="0"/>
            <c:marker>
              <c:symbol val="triangle"/>
              <c:size val="7"/>
              <c:spPr>
                <a:solidFill>
                  <a:schemeClr val="accent2">
                    <a:lumMod val="60000"/>
                  </a:schemeClr>
                </a:solidFill>
                <a:ln w="9525">
                  <a:solidFill>
                    <a:schemeClr val="accent2">
                      <a:lumMod val="60000"/>
                    </a:schemeClr>
                  </a:solidFill>
                </a:ln>
                <a:effectLst/>
              </c:spPr>
            </c:marker>
            <c:bubble3D val="0"/>
            <c:extLst>
              <c:ext xmlns:c16="http://schemas.microsoft.com/office/drawing/2014/chart" uri="{C3380CC4-5D6E-409C-BE32-E72D297353CC}">
                <c16:uniqueId val="{0000000E-559B-4737-8E90-0EB5B40E86F7}"/>
              </c:ext>
            </c:extLst>
          </c:dPt>
          <c:xVal>
            <c:numRef>
              <c:f>'[Graf v programe Microsoft Word]stanovisko'!$N$16:$N$17</c:f>
              <c:numCache>
                <c:formatCode>General</c:formatCode>
                <c:ptCount val="2"/>
                <c:pt idx="0">
                  <c:v>47.42</c:v>
                </c:pt>
                <c:pt idx="1">
                  <c:v>70.3</c:v>
                </c:pt>
              </c:numCache>
            </c:numRef>
          </c:xVal>
          <c:yVal>
            <c:numRef>
              <c:f>'[Graf v programe Microsoft Word]stanovisko'!$M$16:$M$17</c:f>
              <c:numCache>
                <c:formatCode>General</c:formatCode>
                <c:ptCount val="2"/>
                <c:pt idx="0">
                  <c:v>93.66</c:v>
                </c:pt>
                <c:pt idx="1">
                  <c:v>94.72</c:v>
                </c:pt>
              </c:numCache>
            </c:numRef>
          </c:yVal>
          <c:smooth val="1"/>
          <c:extLst>
            <c:ext xmlns:c16="http://schemas.microsoft.com/office/drawing/2014/chart" uri="{C3380CC4-5D6E-409C-BE32-E72D297353CC}">
              <c16:uniqueId val="{0000000F-559B-4737-8E90-0EB5B40E86F7}"/>
            </c:ext>
          </c:extLst>
        </c:ser>
        <c:ser>
          <c:idx val="8"/>
          <c:order val="8"/>
          <c:tx>
            <c:strRef>
              <c:f>'[Graf v programe Microsoft Word]stanovisko'!$P$3</c:f>
              <c:strCache>
                <c:ptCount val="1"/>
                <c:pt idx="0">
                  <c:v>Interreg V-A SK-AT</c:v>
                </c:pt>
              </c:strCache>
            </c:strRef>
          </c:tx>
          <c:spPr>
            <a:ln w="19050" cap="rnd">
              <a:solidFill>
                <a:schemeClr val="accent3">
                  <a:lumMod val="60000"/>
                </a:schemeClr>
              </a:solidFill>
              <a:round/>
            </a:ln>
            <a:effectLst/>
          </c:spPr>
          <c:marker>
            <c:symbol val="circle"/>
            <c:size val="7"/>
            <c:spPr>
              <a:solidFill>
                <a:schemeClr val="accent3">
                  <a:lumMod val="60000"/>
                </a:schemeClr>
              </a:solidFill>
              <a:ln w="9525">
                <a:solidFill>
                  <a:schemeClr val="accent3">
                    <a:lumMod val="60000"/>
                  </a:schemeClr>
                </a:solidFill>
              </a:ln>
              <a:effectLst/>
            </c:spPr>
          </c:marker>
          <c:dPt>
            <c:idx val="0"/>
            <c:marker>
              <c:symbol val="triangle"/>
              <c:size val="7"/>
              <c:spPr>
                <a:solidFill>
                  <a:schemeClr val="accent3">
                    <a:lumMod val="60000"/>
                  </a:schemeClr>
                </a:solidFill>
                <a:ln w="9525">
                  <a:solidFill>
                    <a:schemeClr val="accent3">
                      <a:lumMod val="60000"/>
                    </a:schemeClr>
                  </a:solidFill>
                </a:ln>
                <a:effectLst/>
              </c:spPr>
            </c:marker>
            <c:bubble3D val="0"/>
            <c:extLst>
              <c:ext xmlns:c16="http://schemas.microsoft.com/office/drawing/2014/chart" uri="{C3380CC4-5D6E-409C-BE32-E72D297353CC}">
                <c16:uniqueId val="{00000010-559B-4737-8E90-0EB5B40E86F7}"/>
              </c:ext>
            </c:extLst>
          </c:dPt>
          <c:xVal>
            <c:numRef>
              <c:f>'[Graf v programe Microsoft Word]stanovisko'!$R$4:$R$5</c:f>
              <c:numCache>
                <c:formatCode>General</c:formatCode>
                <c:ptCount val="2"/>
                <c:pt idx="0">
                  <c:v>39.799999999999997</c:v>
                </c:pt>
                <c:pt idx="1">
                  <c:v>64.760000000000005</c:v>
                </c:pt>
              </c:numCache>
            </c:numRef>
          </c:xVal>
          <c:yVal>
            <c:numRef>
              <c:f>'[Graf v programe Microsoft Word]stanovisko'!$Q$4:$Q$5</c:f>
              <c:numCache>
                <c:formatCode>General</c:formatCode>
                <c:ptCount val="2"/>
                <c:pt idx="0">
                  <c:v>96.25</c:v>
                </c:pt>
                <c:pt idx="1">
                  <c:v>100.65</c:v>
                </c:pt>
              </c:numCache>
            </c:numRef>
          </c:yVal>
          <c:smooth val="1"/>
          <c:extLst>
            <c:ext xmlns:c16="http://schemas.microsoft.com/office/drawing/2014/chart" uri="{C3380CC4-5D6E-409C-BE32-E72D297353CC}">
              <c16:uniqueId val="{00000011-559B-4737-8E90-0EB5B40E86F7}"/>
            </c:ext>
          </c:extLst>
        </c:ser>
        <c:ser>
          <c:idx val="9"/>
          <c:order val="9"/>
          <c:tx>
            <c:strRef>
              <c:f>'[Graf v programe Microsoft Word]stanovisko'!$P$8</c:f>
              <c:strCache>
                <c:ptCount val="1"/>
                <c:pt idx="0">
                  <c:v>PRV</c:v>
                </c:pt>
              </c:strCache>
            </c:strRef>
          </c:tx>
          <c:spPr>
            <a:ln w="19050" cap="rnd">
              <a:solidFill>
                <a:schemeClr val="accent4">
                  <a:lumMod val="60000"/>
                </a:schemeClr>
              </a:solidFill>
              <a:round/>
            </a:ln>
            <a:effectLst/>
          </c:spPr>
          <c:marker>
            <c:symbol val="circle"/>
            <c:size val="7"/>
            <c:spPr>
              <a:solidFill>
                <a:schemeClr val="accent4">
                  <a:lumMod val="60000"/>
                </a:schemeClr>
              </a:solidFill>
              <a:ln w="9525">
                <a:solidFill>
                  <a:schemeClr val="accent4">
                    <a:lumMod val="60000"/>
                  </a:schemeClr>
                </a:solidFill>
              </a:ln>
              <a:effectLst/>
            </c:spPr>
          </c:marker>
          <c:dPt>
            <c:idx val="0"/>
            <c:marker>
              <c:symbol val="triangle"/>
              <c:size val="7"/>
              <c:spPr>
                <a:solidFill>
                  <a:schemeClr val="accent4">
                    <a:lumMod val="60000"/>
                  </a:schemeClr>
                </a:solidFill>
                <a:ln w="9525">
                  <a:solidFill>
                    <a:schemeClr val="accent4">
                      <a:lumMod val="60000"/>
                    </a:schemeClr>
                  </a:solidFill>
                </a:ln>
                <a:effectLst/>
              </c:spPr>
            </c:marker>
            <c:bubble3D val="0"/>
            <c:extLst>
              <c:ext xmlns:c16="http://schemas.microsoft.com/office/drawing/2014/chart" uri="{C3380CC4-5D6E-409C-BE32-E72D297353CC}">
                <c16:uniqueId val="{00000012-559B-4737-8E90-0EB5B40E86F7}"/>
              </c:ext>
            </c:extLst>
          </c:dPt>
          <c:xVal>
            <c:numRef>
              <c:f>'[Graf v programe Microsoft Word]stanovisko'!$R$9:$R$10</c:f>
              <c:numCache>
                <c:formatCode>General</c:formatCode>
                <c:ptCount val="2"/>
                <c:pt idx="0">
                  <c:v>49.43</c:v>
                </c:pt>
                <c:pt idx="1">
                  <c:v>55.78</c:v>
                </c:pt>
              </c:numCache>
            </c:numRef>
          </c:xVal>
          <c:yVal>
            <c:numRef>
              <c:f>'[Graf v programe Microsoft Word]stanovisko'!$Q$9:$Q$10</c:f>
              <c:numCache>
                <c:formatCode>General</c:formatCode>
                <c:ptCount val="2"/>
                <c:pt idx="0">
                  <c:v>59.56</c:v>
                </c:pt>
                <c:pt idx="1">
                  <c:v>66</c:v>
                </c:pt>
              </c:numCache>
            </c:numRef>
          </c:yVal>
          <c:smooth val="1"/>
          <c:extLst>
            <c:ext xmlns:c16="http://schemas.microsoft.com/office/drawing/2014/chart" uri="{C3380CC4-5D6E-409C-BE32-E72D297353CC}">
              <c16:uniqueId val="{00000013-559B-4737-8E90-0EB5B40E86F7}"/>
            </c:ext>
          </c:extLst>
        </c:ser>
        <c:ser>
          <c:idx val="10"/>
          <c:order val="10"/>
          <c:tx>
            <c:strRef>
              <c:f>'[Graf v programe Microsoft Word]stanovisko'!$P$12</c:f>
              <c:strCache>
                <c:ptCount val="1"/>
                <c:pt idx="0">
                  <c:v>z toho REACT-EU</c:v>
                </c:pt>
              </c:strCache>
            </c:strRef>
          </c:tx>
          <c:spPr>
            <a:ln w="19050" cap="rnd">
              <a:solidFill>
                <a:schemeClr val="accent5">
                  <a:lumMod val="60000"/>
                </a:schemeClr>
              </a:solidFill>
              <a:round/>
            </a:ln>
            <a:effectLst/>
          </c:spPr>
          <c:marker>
            <c:symbol val="circle"/>
            <c:size val="7"/>
            <c:spPr>
              <a:solidFill>
                <a:schemeClr val="accent5">
                  <a:lumMod val="60000"/>
                </a:schemeClr>
              </a:solidFill>
              <a:ln w="9525">
                <a:solidFill>
                  <a:schemeClr val="accent5">
                    <a:lumMod val="60000"/>
                  </a:schemeClr>
                </a:solidFill>
              </a:ln>
              <a:effectLst/>
            </c:spPr>
          </c:marker>
          <c:dPt>
            <c:idx val="0"/>
            <c:marker>
              <c:symbol val="triangle"/>
              <c:size val="7"/>
              <c:spPr>
                <a:solidFill>
                  <a:schemeClr val="accent5">
                    <a:lumMod val="60000"/>
                  </a:schemeClr>
                </a:solidFill>
                <a:ln w="9525">
                  <a:solidFill>
                    <a:schemeClr val="accent5">
                      <a:lumMod val="60000"/>
                    </a:schemeClr>
                  </a:solidFill>
                </a:ln>
                <a:effectLst/>
              </c:spPr>
            </c:marker>
            <c:bubble3D val="0"/>
            <c:extLst>
              <c:ext xmlns:c16="http://schemas.microsoft.com/office/drawing/2014/chart" uri="{C3380CC4-5D6E-409C-BE32-E72D297353CC}">
                <c16:uniqueId val="{00000014-559B-4737-8E90-0EB5B40E86F7}"/>
              </c:ext>
            </c:extLst>
          </c:dPt>
          <c:xVal>
            <c:numRef>
              <c:f>'[Graf v programe Microsoft Word]stanovisko'!$R$13:$R$14</c:f>
              <c:numCache>
                <c:formatCode>General</c:formatCode>
                <c:ptCount val="2"/>
                <c:pt idx="0">
                  <c:v>22.87</c:v>
                </c:pt>
                <c:pt idx="1">
                  <c:v>38.78</c:v>
                </c:pt>
              </c:numCache>
            </c:numRef>
          </c:xVal>
          <c:yVal>
            <c:numRef>
              <c:f>'[Graf v programe Microsoft Word]stanovisko'!$Q$13:$Q$14</c:f>
              <c:numCache>
                <c:formatCode>General</c:formatCode>
                <c:ptCount val="2"/>
                <c:pt idx="0">
                  <c:v>66.180000000000007</c:v>
                </c:pt>
                <c:pt idx="1">
                  <c:v>90.39</c:v>
                </c:pt>
              </c:numCache>
            </c:numRef>
          </c:yVal>
          <c:smooth val="1"/>
          <c:extLst>
            <c:ext xmlns:c16="http://schemas.microsoft.com/office/drawing/2014/chart" uri="{C3380CC4-5D6E-409C-BE32-E72D297353CC}">
              <c16:uniqueId val="{00000015-559B-4737-8E90-0EB5B40E86F7}"/>
            </c:ext>
          </c:extLst>
        </c:ser>
        <c:ser>
          <c:idx val="11"/>
          <c:order val="11"/>
          <c:tx>
            <c:strRef>
              <c:f>'[Graf v programe Microsoft Word]stanovisko'!$T$3</c:f>
              <c:strCache>
                <c:ptCount val="1"/>
                <c:pt idx="0">
                  <c:v>PS INTERACT III</c:v>
                </c:pt>
              </c:strCache>
            </c:strRef>
          </c:tx>
          <c:spPr>
            <a:ln w="19050" cap="rnd">
              <a:solidFill>
                <a:schemeClr val="accent6">
                  <a:lumMod val="60000"/>
                </a:schemeClr>
              </a:solidFill>
              <a:round/>
            </a:ln>
            <a:effectLst/>
          </c:spPr>
          <c:marker>
            <c:symbol val="circle"/>
            <c:size val="7"/>
            <c:spPr>
              <a:solidFill>
                <a:schemeClr val="accent6">
                  <a:lumMod val="60000"/>
                </a:schemeClr>
              </a:solidFill>
              <a:ln w="9525">
                <a:solidFill>
                  <a:schemeClr val="accent6">
                    <a:lumMod val="60000"/>
                  </a:schemeClr>
                </a:solidFill>
              </a:ln>
              <a:effectLst/>
            </c:spPr>
          </c:marker>
          <c:dPt>
            <c:idx val="0"/>
            <c:marker>
              <c:symbol val="triangle"/>
              <c:size val="7"/>
              <c:spPr>
                <a:solidFill>
                  <a:schemeClr val="accent6">
                    <a:lumMod val="60000"/>
                  </a:schemeClr>
                </a:solidFill>
                <a:ln w="9525">
                  <a:solidFill>
                    <a:schemeClr val="accent6">
                      <a:lumMod val="60000"/>
                    </a:schemeClr>
                  </a:solidFill>
                </a:ln>
                <a:effectLst/>
              </c:spPr>
            </c:marker>
            <c:bubble3D val="0"/>
            <c:extLst>
              <c:ext xmlns:c16="http://schemas.microsoft.com/office/drawing/2014/chart" uri="{C3380CC4-5D6E-409C-BE32-E72D297353CC}">
                <c16:uniqueId val="{00000016-559B-4737-8E90-0EB5B40E86F7}"/>
              </c:ext>
            </c:extLst>
          </c:dPt>
          <c:xVal>
            <c:numRef>
              <c:f>'[Graf v programe Microsoft Word]stanovisko'!$V$4:$V$5</c:f>
              <c:numCache>
                <c:formatCode>General</c:formatCode>
                <c:ptCount val="2"/>
                <c:pt idx="0">
                  <c:v>74.260000000000005</c:v>
                </c:pt>
                <c:pt idx="1">
                  <c:v>89.8</c:v>
                </c:pt>
              </c:numCache>
            </c:numRef>
          </c:xVal>
          <c:yVal>
            <c:numRef>
              <c:f>'[Graf v programe Microsoft Word]stanovisko'!$U$4:$U$5</c:f>
              <c:numCache>
                <c:formatCode>General</c:formatCode>
                <c:ptCount val="2"/>
                <c:pt idx="0">
                  <c:v>100</c:v>
                </c:pt>
                <c:pt idx="1">
                  <c:v>100</c:v>
                </c:pt>
              </c:numCache>
            </c:numRef>
          </c:yVal>
          <c:smooth val="1"/>
          <c:extLst>
            <c:ext xmlns:c16="http://schemas.microsoft.com/office/drawing/2014/chart" uri="{C3380CC4-5D6E-409C-BE32-E72D297353CC}">
              <c16:uniqueId val="{00000017-559B-4737-8E90-0EB5B40E86F7}"/>
            </c:ext>
          </c:extLst>
        </c:ser>
        <c:ser>
          <c:idx val="12"/>
          <c:order val="12"/>
          <c:tx>
            <c:strRef>
              <c:f>'[Graf v programe Microsoft Word]stanovisko'!$P$21</c:f>
              <c:strCache>
                <c:ptCount val="1"/>
                <c:pt idx="0">
                  <c:v>priemer bez PRV k 31.12.2022</c:v>
                </c:pt>
              </c:strCache>
            </c:strRef>
          </c:tx>
          <c:spPr>
            <a:ln w="19050" cap="rnd">
              <a:solidFill>
                <a:schemeClr val="accent5">
                  <a:lumMod val="60000"/>
                  <a:lumOff val="40000"/>
                </a:schemeClr>
              </a:solidFill>
              <a:prstDash val="sysDot"/>
              <a:round/>
            </a:ln>
            <a:effectLst/>
          </c:spPr>
          <c:marker>
            <c:symbol val="none"/>
          </c:marker>
          <c:xVal>
            <c:numRef>
              <c:f>'[Graf v programe Microsoft Word]stanovisko'!$V$12:$V$14</c:f>
              <c:numCache>
                <c:formatCode>General</c:formatCode>
                <c:ptCount val="3"/>
                <c:pt idx="0">
                  <c:v>64.819999999999993</c:v>
                </c:pt>
                <c:pt idx="1">
                  <c:v>64.819999999999993</c:v>
                </c:pt>
                <c:pt idx="2">
                  <c:v>64.819999999999993</c:v>
                </c:pt>
              </c:numCache>
            </c:numRef>
          </c:xVal>
          <c:yVal>
            <c:numRef>
              <c:f>'[Graf v programe Microsoft Word]stanovisko'!$U$12:$U$14</c:f>
              <c:numCache>
                <c:formatCode>0.00</c:formatCode>
                <c:ptCount val="3"/>
                <c:pt idx="0">
                  <c:v>0</c:v>
                </c:pt>
                <c:pt idx="1">
                  <c:v>96.25</c:v>
                </c:pt>
                <c:pt idx="2">
                  <c:v>110</c:v>
                </c:pt>
              </c:numCache>
            </c:numRef>
          </c:yVal>
          <c:smooth val="1"/>
          <c:extLst>
            <c:ext xmlns:c16="http://schemas.microsoft.com/office/drawing/2014/chart" uri="{C3380CC4-5D6E-409C-BE32-E72D297353CC}">
              <c16:uniqueId val="{00000018-559B-4737-8E90-0EB5B40E86F7}"/>
            </c:ext>
          </c:extLst>
        </c:ser>
        <c:ser>
          <c:idx val="13"/>
          <c:order val="13"/>
          <c:tx>
            <c:strRef>
              <c:f>'[Graf v programe Microsoft Word]stanovisko'!$P$21</c:f>
              <c:strCache>
                <c:ptCount val="1"/>
                <c:pt idx="0">
                  <c:v>priemer bez PRV k 31.12.2022</c:v>
                </c:pt>
              </c:strCache>
            </c:strRef>
          </c:tx>
          <c:spPr>
            <a:ln w="19050" cap="rnd">
              <a:solidFill>
                <a:schemeClr val="accent5">
                  <a:lumMod val="60000"/>
                  <a:lumOff val="40000"/>
                </a:schemeClr>
              </a:solidFill>
              <a:prstDash val="sysDot"/>
              <a:round/>
            </a:ln>
            <a:effectLst/>
          </c:spPr>
          <c:marker>
            <c:symbol val="none"/>
          </c:marker>
          <c:xVal>
            <c:numRef>
              <c:f>'[Graf v programe Microsoft Word]stanovisko'!$V$17:$V$19</c:f>
              <c:numCache>
                <c:formatCode>General</c:formatCode>
                <c:ptCount val="3"/>
                <c:pt idx="0" formatCode="0.00">
                  <c:v>0</c:v>
                </c:pt>
                <c:pt idx="1">
                  <c:v>64.819999999999993</c:v>
                </c:pt>
                <c:pt idx="2" formatCode="0.00">
                  <c:v>110</c:v>
                </c:pt>
              </c:numCache>
            </c:numRef>
          </c:xVal>
          <c:yVal>
            <c:numRef>
              <c:f>'[Graf v programe Microsoft Word]stanovisko'!$U$17:$U$19</c:f>
              <c:numCache>
                <c:formatCode>General</c:formatCode>
                <c:ptCount val="3"/>
                <c:pt idx="0">
                  <c:v>96.25</c:v>
                </c:pt>
                <c:pt idx="1">
                  <c:v>96.25</c:v>
                </c:pt>
                <c:pt idx="2">
                  <c:v>96.25</c:v>
                </c:pt>
              </c:numCache>
            </c:numRef>
          </c:yVal>
          <c:smooth val="1"/>
          <c:extLst>
            <c:ext xmlns:c16="http://schemas.microsoft.com/office/drawing/2014/chart" uri="{C3380CC4-5D6E-409C-BE32-E72D297353CC}">
              <c16:uniqueId val="{00000019-559B-4737-8E90-0EB5B40E86F7}"/>
            </c:ext>
          </c:extLst>
        </c:ser>
        <c:ser>
          <c:idx val="14"/>
          <c:order val="14"/>
          <c:tx>
            <c:strRef>
              <c:f>'[Graf v programe Microsoft Word]stanovisko'!$P$22</c:f>
              <c:strCache>
                <c:ptCount val="1"/>
                <c:pt idx="0">
                  <c:v>priemer bez PRV k 31.12.2021</c:v>
                </c:pt>
              </c:strCache>
            </c:strRef>
          </c:tx>
          <c:spPr>
            <a:ln w="19050" cap="rnd">
              <a:solidFill>
                <a:schemeClr val="bg2">
                  <a:lumMod val="60000"/>
                  <a:lumOff val="40000"/>
                </a:schemeClr>
              </a:solidFill>
              <a:prstDash val="sysDot"/>
              <a:round/>
            </a:ln>
            <a:effectLst/>
          </c:spPr>
          <c:marker>
            <c:symbol val="none"/>
          </c:marker>
          <c:xVal>
            <c:numRef>
              <c:f>'[Graf v programe Microsoft Word]stanovisko'!$V$22:$V$24</c:f>
              <c:numCache>
                <c:formatCode>General</c:formatCode>
                <c:ptCount val="3"/>
                <c:pt idx="0">
                  <c:v>49.64</c:v>
                </c:pt>
                <c:pt idx="1">
                  <c:v>49.64</c:v>
                </c:pt>
                <c:pt idx="2">
                  <c:v>49.64</c:v>
                </c:pt>
              </c:numCache>
            </c:numRef>
          </c:xVal>
          <c:yVal>
            <c:numRef>
              <c:f>'[Graf v programe Microsoft Word]stanovisko'!$U$22:$U$24</c:f>
              <c:numCache>
                <c:formatCode>General</c:formatCode>
                <c:ptCount val="3"/>
                <c:pt idx="0" formatCode="0.00">
                  <c:v>0</c:v>
                </c:pt>
                <c:pt idx="1">
                  <c:v>86.38</c:v>
                </c:pt>
                <c:pt idx="2" formatCode="0.00">
                  <c:v>110</c:v>
                </c:pt>
              </c:numCache>
            </c:numRef>
          </c:yVal>
          <c:smooth val="1"/>
          <c:extLst>
            <c:ext xmlns:c16="http://schemas.microsoft.com/office/drawing/2014/chart" uri="{C3380CC4-5D6E-409C-BE32-E72D297353CC}">
              <c16:uniqueId val="{0000001A-559B-4737-8E90-0EB5B40E86F7}"/>
            </c:ext>
          </c:extLst>
        </c:ser>
        <c:ser>
          <c:idx val="15"/>
          <c:order val="15"/>
          <c:tx>
            <c:strRef>
              <c:f>'[Graf v programe Microsoft Word]stanovisko'!$T$26</c:f>
              <c:strCache>
                <c:ptCount val="1"/>
                <c:pt idx="0">
                  <c:v>2021</c:v>
                </c:pt>
              </c:strCache>
            </c:strRef>
          </c:tx>
          <c:spPr>
            <a:ln w="19050" cap="rnd">
              <a:solidFill>
                <a:schemeClr val="bg2">
                  <a:lumMod val="60000"/>
                  <a:lumOff val="40000"/>
                </a:schemeClr>
              </a:solidFill>
              <a:prstDash val="sysDot"/>
              <a:round/>
            </a:ln>
            <a:effectLst/>
          </c:spPr>
          <c:marker>
            <c:symbol val="none"/>
          </c:marker>
          <c:xVal>
            <c:numRef>
              <c:f>'[Graf v programe Microsoft Word]stanovisko'!$V$26:$V$28</c:f>
              <c:numCache>
                <c:formatCode>General</c:formatCode>
                <c:ptCount val="3"/>
                <c:pt idx="0" formatCode="0.00">
                  <c:v>0</c:v>
                </c:pt>
                <c:pt idx="1">
                  <c:v>49.64</c:v>
                </c:pt>
                <c:pt idx="2" formatCode="0.00">
                  <c:v>110</c:v>
                </c:pt>
              </c:numCache>
            </c:numRef>
          </c:xVal>
          <c:yVal>
            <c:numRef>
              <c:f>'[Graf v programe Microsoft Word]stanovisko'!$U$26:$U$28</c:f>
              <c:numCache>
                <c:formatCode>General</c:formatCode>
                <c:ptCount val="3"/>
                <c:pt idx="0">
                  <c:v>86.38</c:v>
                </c:pt>
                <c:pt idx="1">
                  <c:v>86.38</c:v>
                </c:pt>
                <c:pt idx="2">
                  <c:v>86.38</c:v>
                </c:pt>
              </c:numCache>
            </c:numRef>
          </c:yVal>
          <c:smooth val="1"/>
          <c:extLst>
            <c:ext xmlns:c16="http://schemas.microsoft.com/office/drawing/2014/chart" uri="{C3380CC4-5D6E-409C-BE32-E72D297353CC}">
              <c16:uniqueId val="{0000001B-559B-4737-8E90-0EB5B40E86F7}"/>
            </c:ext>
          </c:extLst>
        </c:ser>
        <c:dLbls>
          <c:showLegendKey val="0"/>
          <c:showVal val="0"/>
          <c:showCatName val="0"/>
          <c:showSerName val="0"/>
          <c:showPercent val="0"/>
          <c:showBubbleSize val="0"/>
        </c:dLbls>
        <c:axId val="2057555648"/>
        <c:axId val="2057565632"/>
      </c:scatterChart>
      <c:valAx>
        <c:axId val="2057555648"/>
        <c:scaling>
          <c:orientation val="minMax"/>
          <c:max val="110"/>
          <c:min val="0"/>
        </c:scaling>
        <c:delete val="0"/>
        <c:axPos val="b"/>
        <c:majorGridlines>
          <c:spPr>
            <a:ln w="6350" cap="flat" cmpd="sng" algn="ctr">
              <a:solidFill>
                <a:schemeClr val="tx1">
                  <a:lumMod val="15000"/>
                  <a:lumOff val="85000"/>
                  <a:alpha val="30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accent1"/>
                    </a:solidFill>
                    <a:latin typeface="Segoe UI" panose="020B0502040204020203" pitchFamily="34" charset="0"/>
                    <a:ea typeface="+mn-ea"/>
                    <a:cs typeface="Segoe UI" panose="020B0502040204020203" pitchFamily="34" charset="0"/>
                  </a:defRPr>
                </a:pPr>
                <a:r>
                  <a:rPr lang="sk-SK" sz="900">
                    <a:solidFill>
                      <a:schemeClr val="accent1"/>
                    </a:solidFill>
                    <a:latin typeface="Segoe UI" panose="020B0502040204020203" pitchFamily="34" charset="0"/>
                    <a:cs typeface="Segoe UI" panose="020B0502040204020203" pitchFamily="34" charset="0"/>
                  </a:rPr>
                  <a:t>% čerpania</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Segoe UI" panose="020B0502040204020203" pitchFamily="34" charset="0"/>
                  <a:ea typeface="+mn-ea"/>
                  <a:cs typeface="Segoe UI" panose="020B0502040204020203" pitchFamily="34" charset="0"/>
                </a:defRPr>
              </a:pPr>
              <a:endParaRPr lang="sk-SK"/>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accent1"/>
                </a:solidFill>
                <a:latin typeface="Segoe UI" panose="020B0502040204020203" pitchFamily="34" charset="0"/>
                <a:ea typeface="+mn-ea"/>
                <a:cs typeface="Segoe UI" panose="020B0502040204020203" pitchFamily="34" charset="0"/>
              </a:defRPr>
            </a:pPr>
            <a:endParaRPr lang="sk-SK"/>
          </a:p>
        </c:txPr>
        <c:crossAx val="2057565632"/>
        <c:crosses val="autoZero"/>
        <c:crossBetween val="midCat"/>
      </c:valAx>
      <c:valAx>
        <c:axId val="2057565632"/>
        <c:scaling>
          <c:orientation val="minMax"/>
          <c:max val="110"/>
          <c:min val="0"/>
        </c:scaling>
        <c:delete val="0"/>
        <c:axPos val="l"/>
        <c:majorGridlines>
          <c:spPr>
            <a:ln w="9525" cap="flat" cmpd="sng" algn="ctr">
              <a:solidFill>
                <a:schemeClr val="tx1">
                  <a:lumMod val="15000"/>
                  <a:lumOff val="85000"/>
                  <a:alpha val="30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accent1"/>
                    </a:solidFill>
                    <a:latin typeface="Segoe UI" panose="020B0502040204020203" pitchFamily="34" charset="0"/>
                    <a:ea typeface="+mn-ea"/>
                    <a:cs typeface="Segoe UI" panose="020B0502040204020203" pitchFamily="34" charset="0"/>
                  </a:defRPr>
                </a:pPr>
                <a:r>
                  <a:rPr lang="sk-SK" sz="900">
                    <a:solidFill>
                      <a:schemeClr val="accent1"/>
                    </a:solidFill>
                    <a:latin typeface="Segoe UI" panose="020B0502040204020203" pitchFamily="34" charset="0"/>
                    <a:cs typeface="Segoe UI" panose="020B0502040204020203" pitchFamily="34" charset="0"/>
                  </a:rPr>
                  <a:t>%</a:t>
                </a:r>
                <a:r>
                  <a:rPr lang="sk-SK" sz="900" baseline="0">
                    <a:solidFill>
                      <a:schemeClr val="accent1"/>
                    </a:solidFill>
                    <a:latin typeface="Segoe UI" panose="020B0502040204020203" pitchFamily="34" charset="0"/>
                    <a:cs typeface="Segoe UI" panose="020B0502040204020203" pitchFamily="34" charset="0"/>
                  </a:rPr>
                  <a:t> kontrahovania</a:t>
                </a:r>
                <a:endParaRPr lang="sk-SK" sz="900">
                  <a:solidFill>
                    <a:schemeClr val="accent1"/>
                  </a:solidFill>
                  <a:latin typeface="Segoe UI" panose="020B0502040204020203" pitchFamily="34" charset="0"/>
                  <a:cs typeface="Segoe UI" panose="020B0502040204020203" pitchFamily="34"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accent1"/>
                  </a:solidFill>
                  <a:latin typeface="Segoe UI" panose="020B0502040204020203" pitchFamily="34" charset="0"/>
                  <a:ea typeface="+mn-ea"/>
                  <a:cs typeface="Segoe UI" panose="020B0502040204020203" pitchFamily="34" charset="0"/>
                </a:defRPr>
              </a:pPr>
              <a:endParaRPr lang="sk-SK"/>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sk-SK"/>
          </a:p>
        </c:txPr>
        <c:crossAx val="2057555648"/>
        <c:crosses val="autoZero"/>
        <c:crossBetween val="midCat"/>
      </c:valAx>
      <c:spPr>
        <a:noFill/>
        <a:ln>
          <a:noFill/>
        </a:ln>
        <a:effectLst/>
      </c:spPr>
    </c:plotArea>
    <c:legend>
      <c:legendPos val="tr"/>
      <c:legendEntry>
        <c:idx val="12"/>
        <c:delete val="1"/>
      </c:legendEntry>
      <c:legendEntry>
        <c:idx val="15"/>
        <c:delete val="1"/>
      </c:legendEntry>
      <c:layout>
        <c:manualLayout>
          <c:xMode val="edge"/>
          <c:yMode val="edge"/>
          <c:x val="2.9402113048988586E-3"/>
          <c:y val="0.71356783919597988"/>
          <c:w val="0.98382935870612642"/>
          <c:h val="0.212074545958137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'Graf 4'!$C$2</c:f>
              <c:strCache>
                <c:ptCount val="1"/>
                <c:pt idx="0">
                  <c:v>RVS 2022</c:v>
                </c:pt>
              </c:strCache>
            </c:strRef>
          </c:tx>
          <c:spPr>
            <a:solidFill>
              <a:schemeClr val="accent2"/>
            </a:solidFill>
            <a:ln>
              <a:noFill/>
            </a:ln>
            <a:effectLst/>
          </c:spPr>
          <c:invertIfNegative val="0"/>
          <c:cat>
            <c:strRef>
              <c:f>'Graf 4'!$B$3:$B$8</c:f>
              <c:strCache>
                <c:ptCount val="6"/>
                <c:pt idx="0">
                  <c:v>DP FO</c:v>
                </c:pt>
                <c:pt idx="1">
                  <c:v>DP PO</c:v>
                </c:pt>
                <c:pt idx="2">
                  <c:v>DPH</c:v>
                </c:pt>
                <c:pt idx="3">
                  <c:v>Spotrebné dane</c:v>
                </c:pt>
                <c:pt idx="4">
                  <c:v>Sociálna poisťovňa</c:v>
                </c:pt>
                <c:pt idx="5">
                  <c:v>Zdravotné poisťovne</c:v>
                </c:pt>
              </c:strCache>
            </c:strRef>
          </c:cat>
          <c:val>
            <c:numRef>
              <c:f>'Graf 4'!$C$3:$C$8</c:f>
              <c:numCache>
                <c:formatCode>_-* #\ ##0.0_-;\-* #\ ##0.0_-;_-* "-"??_-;_-@_-</c:formatCode>
                <c:ptCount val="6"/>
                <c:pt idx="0">
                  <c:v>4012.4</c:v>
                </c:pt>
                <c:pt idx="1">
                  <c:v>3211.1</c:v>
                </c:pt>
                <c:pt idx="2">
                  <c:v>7988.8</c:v>
                </c:pt>
                <c:pt idx="3">
                  <c:v>2497.4</c:v>
                </c:pt>
                <c:pt idx="4">
                  <c:v>9083</c:v>
                </c:pt>
                <c:pt idx="5">
                  <c:v>4557.2</c:v>
                </c:pt>
              </c:numCache>
            </c:numRef>
          </c:val>
          <c:extLst>
            <c:ext xmlns:c16="http://schemas.microsoft.com/office/drawing/2014/chart" uri="{C3380CC4-5D6E-409C-BE32-E72D297353CC}">
              <c16:uniqueId val="{00000000-AF38-40C0-A484-79DF0E9B35A4}"/>
            </c:ext>
          </c:extLst>
        </c:ser>
        <c:ser>
          <c:idx val="0"/>
          <c:order val="1"/>
          <c:tx>
            <c:strRef>
              <c:f>'Graf 4'!$E$2</c:f>
              <c:strCache>
                <c:ptCount val="1"/>
                <c:pt idx="0">
                  <c:v>Skutočnosť</c:v>
                </c:pt>
              </c:strCache>
            </c:strRef>
          </c:tx>
          <c:spPr>
            <a:solidFill>
              <a:schemeClr val="tx2"/>
            </a:solidFill>
            <a:ln>
              <a:noFill/>
            </a:ln>
            <a:effectLst/>
          </c:spPr>
          <c:invertIfNegative val="0"/>
          <c:cat>
            <c:strRef>
              <c:f>'Graf 4'!$B$3:$B$8</c:f>
              <c:strCache>
                <c:ptCount val="6"/>
                <c:pt idx="0">
                  <c:v>DP FO</c:v>
                </c:pt>
                <c:pt idx="1">
                  <c:v>DP PO</c:v>
                </c:pt>
                <c:pt idx="2">
                  <c:v>DPH</c:v>
                </c:pt>
                <c:pt idx="3">
                  <c:v>Spotrebné dane</c:v>
                </c:pt>
                <c:pt idx="4">
                  <c:v>Sociálna poisťovňa</c:v>
                </c:pt>
                <c:pt idx="5">
                  <c:v>Zdravotné poisťovne</c:v>
                </c:pt>
              </c:strCache>
            </c:strRef>
          </c:cat>
          <c:val>
            <c:numRef>
              <c:f>'Graf 4'!$E$3:$E$8</c:f>
              <c:numCache>
                <c:formatCode>_-* #\ ##0.0_-;\-* #\ ##0.0_-;_-* "-"??_-;_-@_-</c:formatCode>
                <c:ptCount val="6"/>
                <c:pt idx="0">
                  <c:v>4167.7</c:v>
                </c:pt>
                <c:pt idx="1">
                  <c:v>3588.5</c:v>
                </c:pt>
                <c:pt idx="2">
                  <c:v>8484.5</c:v>
                </c:pt>
                <c:pt idx="3">
                  <c:v>2531</c:v>
                </c:pt>
                <c:pt idx="4">
                  <c:v>9515.6</c:v>
                </c:pt>
                <c:pt idx="5">
                  <c:v>4707.9989999999998</c:v>
                </c:pt>
              </c:numCache>
            </c:numRef>
          </c:val>
          <c:extLst>
            <c:ext xmlns:c16="http://schemas.microsoft.com/office/drawing/2014/chart" uri="{C3380CC4-5D6E-409C-BE32-E72D297353CC}">
              <c16:uniqueId val="{00000001-AF38-40C0-A484-79DF0E9B35A4}"/>
            </c:ext>
          </c:extLst>
        </c:ser>
        <c:dLbls>
          <c:showLegendKey val="0"/>
          <c:showVal val="0"/>
          <c:showCatName val="0"/>
          <c:showSerName val="0"/>
          <c:showPercent val="0"/>
          <c:showBubbleSize val="0"/>
        </c:dLbls>
        <c:gapWidth val="100"/>
        <c:axId val="311234272"/>
        <c:axId val="311235104"/>
      </c:barChart>
      <c:catAx>
        <c:axId val="311234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11235104"/>
        <c:crosses val="autoZero"/>
        <c:auto val="1"/>
        <c:lblAlgn val="ctr"/>
        <c:lblOffset val="100"/>
        <c:noMultiLvlLbl val="0"/>
      </c:catAx>
      <c:valAx>
        <c:axId val="311235104"/>
        <c:scaling>
          <c:orientation val="minMax"/>
          <c:max val="1000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31123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6034810842610191"/>
        </c:manualLayout>
      </c:layout>
      <c:barChart>
        <c:barDir val="col"/>
        <c:grouping val="clustered"/>
        <c:varyColors val="0"/>
        <c:ser>
          <c:idx val="0"/>
          <c:order val="0"/>
          <c:spPr>
            <a:solidFill>
              <a:srgbClr val="9CB9EC"/>
            </a:solidFill>
            <a:ln>
              <a:noFill/>
            </a:ln>
            <a:effectLst/>
          </c:spPr>
          <c:invertIfNegative val="0"/>
          <c:dPt>
            <c:idx val="14"/>
            <c:invertIfNegative val="0"/>
            <c:bubble3D val="0"/>
            <c:spPr>
              <a:solidFill>
                <a:srgbClr val="9CB9EC"/>
              </a:solidFill>
              <a:ln>
                <a:noFill/>
              </a:ln>
              <a:effectLst/>
            </c:spPr>
            <c:extLst>
              <c:ext xmlns:c16="http://schemas.microsoft.com/office/drawing/2014/chart" uri="{C3380CC4-5D6E-409C-BE32-E72D297353CC}">
                <c16:uniqueId val="{00000001-860D-406D-ABA2-54BE3C772D16}"/>
              </c:ext>
            </c:extLst>
          </c:dPt>
          <c:dPt>
            <c:idx val="18"/>
            <c:invertIfNegative val="0"/>
            <c:bubble3D val="0"/>
            <c:spPr>
              <a:solidFill>
                <a:srgbClr val="F55647"/>
              </a:solidFill>
              <a:ln>
                <a:noFill/>
              </a:ln>
              <a:effectLst/>
            </c:spPr>
            <c:extLst>
              <c:ext xmlns:c16="http://schemas.microsoft.com/office/drawing/2014/chart" uri="{C3380CC4-5D6E-409C-BE32-E72D297353CC}">
                <c16:uniqueId val="{00000003-860D-406D-ABA2-54BE3C772D16}"/>
              </c:ext>
            </c:extLst>
          </c:dPt>
          <c:dLbls>
            <c:dLbl>
              <c:idx val="18"/>
              <c:layout>
                <c:manualLayout>
                  <c:x val="0"/>
                  <c:y val="-7.9022988505747127E-2"/>
                </c:manualLayout>
              </c:layout>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0D-406D-ABA2-54BE3C772D16}"/>
                </c:ext>
              </c:extLst>
            </c:dLbl>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5'!$B$3:$B$29</c:f>
              <c:strCache>
                <c:ptCount val="27"/>
                <c:pt idx="0">
                  <c:v>Francúzsko</c:v>
                </c:pt>
                <c:pt idx="1">
                  <c:v>Fínsko</c:v>
                </c:pt>
                <c:pt idx="2">
                  <c:v>Grécko</c:v>
                </c:pt>
                <c:pt idx="3">
                  <c:v>Belgicko</c:v>
                </c:pt>
                <c:pt idx="4">
                  <c:v>Rakúsko</c:v>
                </c:pt>
                <c:pt idx="5">
                  <c:v>Švédsko</c:v>
                </c:pt>
                <c:pt idx="6">
                  <c:v>Taliansko</c:v>
                </c:pt>
                <c:pt idx="7">
                  <c:v>Dánsko</c:v>
                </c:pt>
                <c:pt idx="8">
                  <c:v>Nemecko</c:v>
                </c:pt>
                <c:pt idx="9">
                  <c:v>Chorvátsko</c:v>
                </c:pt>
                <c:pt idx="10">
                  <c:v>Holandsko</c:v>
                </c:pt>
                <c:pt idx="11">
                  <c:v>Portugalsko</c:v>
                </c:pt>
                <c:pt idx="12">
                  <c:v>Luxembursko</c:v>
                </c:pt>
                <c:pt idx="13">
                  <c:v>Španielsko</c:v>
                </c:pt>
                <c:pt idx="14">
                  <c:v>Slovinsko</c:v>
                </c:pt>
                <c:pt idx="15">
                  <c:v>Cyprus</c:v>
                </c:pt>
                <c:pt idx="16">
                  <c:v>Maďarsko</c:v>
                </c:pt>
                <c:pt idx="17">
                  <c:v>Česko</c:v>
                </c:pt>
                <c:pt idx="18">
                  <c:v>Slovensko</c:v>
                </c:pt>
                <c:pt idx="19">
                  <c:v>Poľsko</c:v>
                </c:pt>
                <c:pt idx="20">
                  <c:v>Bulharsko</c:v>
                </c:pt>
                <c:pt idx="21">
                  <c:v>Estónsko</c:v>
                </c:pt>
                <c:pt idx="22">
                  <c:v>Litva</c:v>
                </c:pt>
                <c:pt idx="23">
                  <c:v>Lotyšsko</c:v>
                </c:pt>
                <c:pt idx="24">
                  <c:v>Malta</c:v>
                </c:pt>
                <c:pt idx="25">
                  <c:v>Rumunsko</c:v>
                </c:pt>
                <c:pt idx="26">
                  <c:v>Írsko</c:v>
                </c:pt>
              </c:strCache>
            </c:strRef>
          </c:cat>
          <c:val>
            <c:numRef>
              <c:f>'Graf 5'!$C$3:$C$29</c:f>
              <c:numCache>
                <c:formatCode>0.0</c:formatCode>
                <c:ptCount val="27"/>
                <c:pt idx="0">
                  <c:v>53.4</c:v>
                </c:pt>
                <c:pt idx="1">
                  <c:v>52.6</c:v>
                </c:pt>
                <c:pt idx="2">
                  <c:v>50.2</c:v>
                </c:pt>
                <c:pt idx="3">
                  <c:v>49.7</c:v>
                </c:pt>
                <c:pt idx="4">
                  <c:v>49.5</c:v>
                </c:pt>
                <c:pt idx="5">
                  <c:v>48.9</c:v>
                </c:pt>
                <c:pt idx="6">
                  <c:v>48.8</c:v>
                </c:pt>
                <c:pt idx="7">
                  <c:v>48.6</c:v>
                </c:pt>
                <c:pt idx="8">
                  <c:v>47.1</c:v>
                </c:pt>
                <c:pt idx="9">
                  <c:v>45.2</c:v>
                </c:pt>
                <c:pt idx="10">
                  <c:v>44.5</c:v>
                </c:pt>
                <c:pt idx="11">
                  <c:v>44.4</c:v>
                </c:pt>
                <c:pt idx="12">
                  <c:v>43.5</c:v>
                </c:pt>
                <c:pt idx="13">
                  <c:v>43</c:v>
                </c:pt>
                <c:pt idx="14">
                  <c:v>42.5</c:v>
                </c:pt>
                <c:pt idx="15">
                  <c:v>41.9</c:v>
                </c:pt>
                <c:pt idx="16">
                  <c:v>41.6</c:v>
                </c:pt>
                <c:pt idx="17">
                  <c:v>41</c:v>
                </c:pt>
                <c:pt idx="18">
                  <c:v>40.200000000000003</c:v>
                </c:pt>
                <c:pt idx="19">
                  <c:v>39.799999999999997</c:v>
                </c:pt>
                <c:pt idx="20">
                  <c:v>38.5</c:v>
                </c:pt>
                <c:pt idx="21">
                  <c:v>38.5</c:v>
                </c:pt>
                <c:pt idx="22">
                  <c:v>35.799999999999997</c:v>
                </c:pt>
                <c:pt idx="23">
                  <c:v>35.799999999999997</c:v>
                </c:pt>
                <c:pt idx="24">
                  <c:v>35.1</c:v>
                </c:pt>
                <c:pt idx="25">
                  <c:v>33.5</c:v>
                </c:pt>
                <c:pt idx="26">
                  <c:v>23</c:v>
                </c:pt>
              </c:numCache>
            </c:numRef>
          </c:val>
          <c:extLst>
            <c:ext xmlns:c16="http://schemas.microsoft.com/office/drawing/2014/chart" uri="{C3380CC4-5D6E-409C-BE32-E72D297353CC}">
              <c16:uniqueId val="{00000004-860D-406D-ABA2-54BE3C772D16}"/>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spPr>
            <a:ln w="25400" cap="rnd">
              <a:solidFill>
                <a:srgbClr val="314364"/>
              </a:solidFill>
              <a:prstDash val="sysDash"/>
              <a:round/>
            </a:ln>
            <a:effectLst/>
          </c:spPr>
          <c:marker>
            <c:symbol val="none"/>
          </c:marker>
          <c:cat>
            <c:strRef>
              <c:f>'Graf 5'!$B$3:$B$29</c:f>
              <c:strCache>
                <c:ptCount val="27"/>
                <c:pt idx="0">
                  <c:v>Francúzsko</c:v>
                </c:pt>
                <c:pt idx="1">
                  <c:v>Fínsko</c:v>
                </c:pt>
                <c:pt idx="2">
                  <c:v>Grécko</c:v>
                </c:pt>
                <c:pt idx="3">
                  <c:v>Belgicko</c:v>
                </c:pt>
                <c:pt idx="4">
                  <c:v>Rakúsko</c:v>
                </c:pt>
                <c:pt idx="5">
                  <c:v>Švédsko</c:v>
                </c:pt>
                <c:pt idx="6">
                  <c:v>Taliansko</c:v>
                </c:pt>
                <c:pt idx="7">
                  <c:v>Dánsko</c:v>
                </c:pt>
                <c:pt idx="8">
                  <c:v>Nemecko</c:v>
                </c:pt>
                <c:pt idx="9">
                  <c:v>Chorvátsko</c:v>
                </c:pt>
                <c:pt idx="10">
                  <c:v>Holandsko</c:v>
                </c:pt>
                <c:pt idx="11">
                  <c:v>Portugalsko</c:v>
                </c:pt>
                <c:pt idx="12">
                  <c:v>Luxembursko</c:v>
                </c:pt>
                <c:pt idx="13">
                  <c:v>Španielsko</c:v>
                </c:pt>
                <c:pt idx="14">
                  <c:v>Slovinsko</c:v>
                </c:pt>
                <c:pt idx="15">
                  <c:v>Cyprus</c:v>
                </c:pt>
                <c:pt idx="16">
                  <c:v>Maďarsko</c:v>
                </c:pt>
                <c:pt idx="17">
                  <c:v>Česko</c:v>
                </c:pt>
                <c:pt idx="18">
                  <c:v>Slovensko</c:v>
                </c:pt>
                <c:pt idx="19">
                  <c:v>Poľsko</c:v>
                </c:pt>
                <c:pt idx="20">
                  <c:v>Bulharsko</c:v>
                </c:pt>
                <c:pt idx="21">
                  <c:v>Estónsko</c:v>
                </c:pt>
                <c:pt idx="22">
                  <c:v>Litva</c:v>
                </c:pt>
                <c:pt idx="23">
                  <c:v>Lotyšsko</c:v>
                </c:pt>
                <c:pt idx="24">
                  <c:v>Malta</c:v>
                </c:pt>
                <c:pt idx="25">
                  <c:v>Rumunsko</c:v>
                </c:pt>
                <c:pt idx="26">
                  <c:v>Írsko</c:v>
                </c:pt>
              </c:strCache>
            </c:strRef>
          </c:cat>
          <c:val>
            <c:numRef>
              <c:f>'Graf 5'!$D$3:$D$29</c:f>
              <c:numCache>
                <c:formatCode>0.0</c:formatCode>
                <c:ptCount val="27"/>
                <c:pt idx="0">
                  <c:v>46.5</c:v>
                </c:pt>
                <c:pt idx="1">
                  <c:v>46.5</c:v>
                </c:pt>
                <c:pt idx="2">
                  <c:v>46.5</c:v>
                </c:pt>
                <c:pt idx="3">
                  <c:v>46.5</c:v>
                </c:pt>
                <c:pt idx="4">
                  <c:v>46.5</c:v>
                </c:pt>
                <c:pt idx="5">
                  <c:v>46.5</c:v>
                </c:pt>
                <c:pt idx="6">
                  <c:v>46.5</c:v>
                </c:pt>
                <c:pt idx="7">
                  <c:v>46.5</c:v>
                </c:pt>
                <c:pt idx="8">
                  <c:v>46.5</c:v>
                </c:pt>
                <c:pt idx="9">
                  <c:v>46.5</c:v>
                </c:pt>
                <c:pt idx="10">
                  <c:v>46.5</c:v>
                </c:pt>
                <c:pt idx="11">
                  <c:v>46.5</c:v>
                </c:pt>
                <c:pt idx="12">
                  <c:v>46.5</c:v>
                </c:pt>
                <c:pt idx="13">
                  <c:v>46.5</c:v>
                </c:pt>
                <c:pt idx="14">
                  <c:v>46.5</c:v>
                </c:pt>
                <c:pt idx="15">
                  <c:v>46.5</c:v>
                </c:pt>
                <c:pt idx="16">
                  <c:v>46.5</c:v>
                </c:pt>
                <c:pt idx="17">
                  <c:v>46.5</c:v>
                </c:pt>
                <c:pt idx="18">
                  <c:v>46.5</c:v>
                </c:pt>
                <c:pt idx="19">
                  <c:v>46.5</c:v>
                </c:pt>
                <c:pt idx="20">
                  <c:v>46.5</c:v>
                </c:pt>
                <c:pt idx="21">
                  <c:v>46.5</c:v>
                </c:pt>
                <c:pt idx="22">
                  <c:v>46.5</c:v>
                </c:pt>
                <c:pt idx="23">
                  <c:v>46.5</c:v>
                </c:pt>
                <c:pt idx="24">
                  <c:v>46.5</c:v>
                </c:pt>
                <c:pt idx="25">
                  <c:v>46.5</c:v>
                </c:pt>
                <c:pt idx="26">
                  <c:v>46.5</c:v>
                </c:pt>
              </c:numCache>
            </c:numRef>
          </c:val>
          <c:smooth val="0"/>
          <c:extLst>
            <c:ext xmlns:c16="http://schemas.microsoft.com/office/drawing/2014/chart" uri="{C3380CC4-5D6E-409C-BE32-E72D297353CC}">
              <c16:uniqueId val="{00000005-860D-406D-ABA2-54BE3C772D16}"/>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53556448698433E-2"/>
          <c:y val="5.0505050505050504E-2"/>
          <c:w val="0.89829396325459321"/>
          <c:h val="0.60057465961286094"/>
        </c:manualLayout>
      </c:layout>
      <c:barChart>
        <c:barDir val="col"/>
        <c:grouping val="clustered"/>
        <c:varyColors val="0"/>
        <c:ser>
          <c:idx val="0"/>
          <c:order val="0"/>
          <c:tx>
            <c:strRef>
              <c:f>'Graf 6'!$C$2</c:f>
              <c:strCache>
                <c:ptCount val="1"/>
                <c:pt idx="0">
                  <c:v>2022</c:v>
                </c:pt>
              </c:strCache>
            </c:strRef>
          </c:tx>
          <c:spPr>
            <a:solidFill>
              <a:srgbClr val="9CB9EC"/>
            </a:solidFill>
            <a:ln>
              <a:noFill/>
            </a:ln>
            <a:effectLst/>
          </c:spPr>
          <c:invertIfNegative val="0"/>
          <c:dPt>
            <c:idx val="14"/>
            <c:invertIfNegative val="0"/>
            <c:bubble3D val="0"/>
            <c:spPr>
              <a:solidFill>
                <a:srgbClr val="9CB9EC"/>
              </a:solidFill>
              <a:ln>
                <a:noFill/>
              </a:ln>
              <a:effectLst/>
            </c:spPr>
            <c:extLst>
              <c:ext xmlns:c16="http://schemas.microsoft.com/office/drawing/2014/chart" uri="{C3380CC4-5D6E-409C-BE32-E72D297353CC}">
                <c16:uniqueId val="{00000001-823B-43B0-B150-F79787B9B20B}"/>
              </c:ext>
            </c:extLst>
          </c:dPt>
          <c:dPt>
            <c:idx val="18"/>
            <c:invertIfNegative val="0"/>
            <c:bubble3D val="0"/>
            <c:spPr>
              <a:solidFill>
                <a:srgbClr val="F55647"/>
              </a:solidFill>
              <a:ln>
                <a:noFill/>
              </a:ln>
              <a:effectLst/>
            </c:spPr>
            <c:extLst>
              <c:ext xmlns:c16="http://schemas.microsoft.com/office/drawing/2014/chart" uri="{C3380CC4-5D6E-409C-BE32-E72D297353CC}">
                <c16:uniqueId val="{00000003-823B-43B0-B150-F79787B9B20B}"/>
              </c:ext>
            </c:extLst>
          </c:dPt>
          <c:dLbls>
            <c:dLbl>
              <c:idx val="18"/>
              <c:layout>
                <c:manualLayout>
                  <c:x val="0"/>
                  <c:y val="-6.3829787234042562E-2"/>
                </c:manualLayout>
              </c:layout>
              <c:spPr>
                <a:noFill/>
                <a:ln>
                  <a:solidFill>
                    <a:srgbClr val="F55647"/>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3B-43B0-B150-F79787B9B20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F55647"/>
                      </a:solidFill>
                      <a:round/>
                    </a:ln>
                    <a:effectLst/>
                  </c:spPr>
                </c15:leaderLines>
              </c:ext>
            </c:extLst>
          </c:dLbls>
          <c:cat>
            <c:strRef>
              <c:f>'Graf 6'!$B$3:$B$29</c:f>
              <c:strCache>
                <c:ptCount val="27"/>
                <c:pt idx="0">
                  <c:v>Francúzsko</c:v>
                </c:pt>
                <c:pt idx="1">
                  <c:v>Taliansko</c:v>
                </c:pt>
                <c:pt idx="2">
                  <c:v>Belgicko</c:v>
                </c:pt>
                <c:pt idx="3">
                  <c:v>Fínsko</c:v>
                </c:pt>
                <c:pt idx="4">
                  <c:v>Rakúsko</c:v>
                </c:pt>
                <c:pt idx="5">
                  <c:v>Grécko</c:v>
                </c:pt>
                <c:pt idx="6">
                  <c:v>Nemecko</c:v>
                </c:pt>
                <c:pt idx="7">
                  <c:v>Švédsko</c:v>
                </c:pt>
                <c:pt idx="8">
                  <c:v>Maďarsko</c:v>
                </c:pt>
                <c:pt idx="9">
                  <c:v>Španielsko</c:v>
                </c:pt>
                <c:pt idx="10">
                  <c:v>Slovinsko</c:v>
                </c:pt>
                <c:pt idx="11">
                  <c:v>Dánsko</c:v>
                </c:pt>
                <c:pt idx="12">
                  <c:v>Chorvátsko</c:v>
                </c:pt>
                <c:pt idx="13">
                  <c:v>Portugalsko</c:v>
                </c:pt>
                <c:pt idx="14">
                  <c:v>Česko</c:v>
                </c:pt>
                <c:pt idx="15">
                  <c:v>Holandsko</c:v>
                </c:pt>
                <c:pt idx="16">
                  <c:v>Poľsko</c:v>
                </c:pt>
                <c:pt idx="17">
                  <c:v>Luxembursko</c:v>
                </c:pt>
                <c:pt idx="18">
                  <c:v>Slovensko</c:v>
                </c:pt>
                <c:pt idx="19">
                  <c:v>Bulharsko</c:v>
                </c:pt>
                <c:pt idx="20">
                  <c:v>Malta</c:v>
                </c:pt>
                <c:pt idx="21">
                  <c:v>Lotyšsko</c:v>
                </c:pt>
                <c:pt idx="22">
                  <c:v>Cyprus</c:v>
                </c:pt>
                <c:pt idx="23">
                  <c:v>Rumunsko</c:v>
                </c:pt>
                <c:pt idx="24">
                  <c:v>Estónsko</c:v>
                </c:pt>
                <c:pt idx="25">
                  <c:v>Litva</c:v>
                </c:pt>
                <c:pt idx="26">
                  <c:v>Írsko</c:v>
                </c:pt>
              </c:strCache>
            </c:strRef>
          </c:cat>
          <c:val>
            <c:numRef>
              <c:f>'Graf 6'!$C$3:$C$29</c:f>
              <c:numCache>
                <c:formatCode>0.0</c:formatCode>
                <c:ptCount val="27"/>
                <c:pt idx="0">
                  <c:v>58.1</c:v>
                </c:pt>
                <c:pt idx="1">
                  <c:v>56.7</c:v>
                </c:pt>
                <c:pt idx="2">
                  <c:v>53.5</c:v>
                </c:pt>
                <c:pt idx="3">
                  <c:v>53.4</c:v>
                </c:pt>
                <c:pt idx="4">
                  <c:v>52.7</c:v>
                </c:pt>
                <c:pt idx="5">
                  <c:v>52.5</c:v>
                </c:pt>
                <c:pt idx="6">
                  <c:v>49.7</c:v>
                </c:pt>
                <c:pt idx="7">
                  <c:v>48.1</c:v>
                </c:pt>
                <c:pt idx="8">
                  <c:v>47.8</c:v>
                </c:pt>
                <c:pt idx="9">
                  <c:v>47.8</c:v>
                </c:pt>
                <c:pt idx="10">
                  <c:v>45.5</c:v>
                </c:pt>
                <c:pt idx="11">
                  <c:v>45.3</c:v>
                </c:pt>
                <c:pt idx="12">
                  <c:v>44.8</c:v>
                </c:pt>
                <c:pt idx="13">
                  <c:v>44.8</c:v>
                </c:pt>
                <c:pt idx="14">
                  <c:v>44.6</c:v>
                </c:pt>
                <c:pt idx="15">
                  <c:v>44.5</c:v>
                </c:pt>
                <c:pt idx="16">
                  <c:v>43.5</c:v>
                </c:pt>
                <c:pt idx="17">
                  <c:v>43.3</c:v>
                </c:pt>
                <c:pt idx="18">
                  <c:v>42.3</c:v>
                </c:pt>
                <c:pt idx="19">
                  <c:v>41.3</c:v>
                </c:pt>
                <c:pt idx="20">
                  <c:v>40.9</c:v>
                </c:pt>
                <c:pt idx="21">
                  <c:v>40.200000000000003</c:v>
                </c:pt>
                <c:pt idx="22">
                  <c:v>39.799999999999997</c:v>
                </c:pt>
                <c:pt idx="23">
                  <c:v>39.700000000000003</c:v>
                </c:pt>
                <c:pt idx="24">
                  <c:v>39.4</c:v>
                </c:pt>
                <c:pt idx="25">
                  <c:v>36.5</c:v>
                </c:pt>
                <c:pt idx="26">
                  <c:v>21.4</c:v>
                </c:pt>
              </c:numCache>
            </c:numRef>
          </c:val>
          <c:extLst>
            <c:ext xmlns:c16="http://schemas.microsoft.com/office/drawing/2014/chart" uri="{C3380CC4-5D6E-409C-BE32-E72D297353CC}">
              <c16:uniqueId val="{00000004-823B-43B0-B150-F79787B9B20B}"/>
            </c:ext>
          </c:extLst>
        </c:ser>
        <c:dLbls>
          <c:showLegendKey val="0"/>
          <c:showVal val="0"/>
          <c:showCatName val="0"/>
          <c:showSerName val="0"/>
          <c:showPercent val="0"/>
          <c:showBubbleSize val="0"/>
        </c:dLbls>
        <c:gapWidth val="100"/>
        <c:axId val="611564432"/>
        <c:axId val="611571920"/>
      </c:barChart>
      <c:lineChart>
        <c:grouping val="standard"/>
        <c:varyColors val="0"/>
        <c:ser>
          <c:idx val="1"/>
          <c:order val="1"/>
          <c:tx>
            <c:strRef>
              <c:f>'Graf 6'!$D$2</c:f>
              <c:strCache>
                <c:ptCount val="1"/>
                <c:pt idx="0">
                  <c:v>Priemer EÚ</c:v>
                </c:pt>
              </c:strCache>
            </c:strRef>
          </c:tx>
          <c:spPr>
            <a:ln w="25400" cap="rnd">
              <a:solidFill>
                <a:srgbClr val="314364"/>
              </a:solidFill>
              <a:prstDash val="sysDash"/>
              <a:round/>
            </a:ln>
            <a:effectLst/>
          </c:spPr>
          <c:marker>
            <c:symbol val="none"/>
          </c:marker>
          <c:cat>
            <c:strRef>
              <c:f>'Graf 6'!$B$3:$B$29</c:f>
              <c:strCache>
                <c:ptCount val="27"/>
                <c:pt idx="0">
                  <c:v>Francúzsko</c:v>
                </c:pt>
                <c:pt idx="1">
                  <c:v>Taliansko</c:v>
                </c:pt>
                <c:pt idx="2">
                  <c:v>Belgicko</c:v>
                </c:pt>
                <c:pt idx="3">
                  <c:v>Fínsko</c:v>
                </c:pt>
                <c:pt idx="4">
                  <c:v>Rakúsko</c:v>
                </c:pt>
                <c:pt idx="5">
                  <c:v>Grécko</c:v>
                </c:pt>
                <c:pt idx="6">
                  <c:v>Nemecko</c:v>
                </c:pt>
                <c:pt idx="7">
                  <c:v>Švédsko</c:v>
                </c:pt>
                <c:pt idx="8">
                  <c:v>Maďarsko</c:v>
                </c:pt>
                <c:pt idx="9">
                  <c:v>Španielsko</c:v>
                </c:pt>
                <c:pt idx="10">
                  <c:v>Slovinsko</c:v>
                </c:pt>
                <c:pt idx="11">
                  <c:v>Dánsko</c:v>
                </c:pt>
                <c:pt idx="12">
                  <c:v>Chorvátsko</c:v>
                </c:pt>
                <c:pt idx="13">
                  <c:v>Portugalsko</c:v>
                </c:pt>
                <c:pt idx="14">
                  <c:v>Česko</c:v>
                </c:pt>
                <c:pt idx="15">
                  <c:v>Holandsko</c:v>
                </c:pt>
                <c:pt idx="16">
                  <c:v>Poľsko</c:v>
                </c:pt>
                <c:pt idx="17">
                  <c:v>Luxembursko</c:v>
                </c:pt>
                <c:pt idx="18">
                  <c:v>Slovensko</c:v>
                </c:pt>
                <c:pt idx="19">
                  <c:v>Bulharsko</c:v>
                </c:pt>
                <c:pt idx="20">
                  <c:v>Malta</c:v>
                </c:pt>
                <c:pt idx="21">
                  <c:v>Lotyšsko</c:v>
                </c:pt>
                <c:pt idx="22">
                  <c:v>Cyprus</c:v>
                </c:pt>
                <c:pt idx="23">
                  <c:v>Rumunsko</c:v>
                </c:pt>
                <c:pt idx="24">
                  <c:v>Estónsko</c:v>
                </c:pt>
                <c:pt idx="25">
                  <c:v>Litva</c:v>
                </c:pt>
                <c:pt idx="26">
                  <c:v>Írsko</c:v>
                </c:pt>
              </c:strCache>
            </c:strRef>
          </c:cat>
          <c:val>
            <c:numRef>
              <c:f>'Graf 6'!$D$3:$D$29</c:f>
              <c:numCache>
                <c:formatCode>0.0</c:formatCode>
                <c:ptCount val="27"/>
                <c:pt idx="0">
                  <c:v>49.8</c:v>
                </c:pt>
                <c:pt idx="1">
                  <c:v>49.8</c:v>
                </c:pt>
                <c:pt idx="2">
                  <c:v>49.8</c:v>
                </c:pt>
                <c:pt idx="3">
                  <c:v>49.8</c:v>
                </c:pt>
                <c:pt idx="4">
                  <c:v>49.8</c:v>
                </c:pt>
                <c:pt idx="5">
                  <c:v>49.8</c:v>
                </c:pt>
                <c:pt idx="6">
                  <c:v>49.8</c:v>
                </c:pt>
                <c:pt idx="7">
                  <c:v>49.8</c:v>
                </c:pt>
                <c:pt idx="8">
                  <c:v>49.8</c:v>
                </c:pt>
                <c:pt idx="9">
                  <c:v>49.8</c:v>
                </c:pt>
                <c:pt idx="10">
                  <c:v>49.8</c:v>
                </c:pt>
                <c:pt idx="11">
                  <c:v>49.8</c:v>
                </c:pt>
                <c:pt idx="12">
                  <c:v>49.8</c:v>
                </c:pt>
                <c:pt idx="13">
                  <c:v>49.8</c:v>
                </c:pt>
                <c:pt idx="14">
                  <c:v>49.8</c:v>
                </c:pt>
                <c:pt idx="15">
                  <c:v>49.8</c:v>
                </c:pt>
                <c:pt idx="16">
                  <c:v>49.8</c:v>
                </c:pt>
                <c:pt idx="17">
                  <c:v>49.8</c:v>
                </c:pt>
                <c:pt idx="18">
                  <c:v>49.8</c:v>
                </c:pt>
                <c:pt idx="19">
                  <c:v>49.8</c:v>
                </c:pt>
                <c:pt idx="20">
                  <c:v>49.8</c:v>
                </c:pt>
                <c:pt idx="21">
                  <c:v>49.8</c:v>
                </c:pt>
                <c:pt idx="22">
                  <c:v>49.8</c:v>
                </c:pt>
                <c:pt idx="23">
                  <c:v>49.8</c:v>
                </c:pt>
                <c:pt idx="24">
                  <c:v>49.8</c:v>
                </c:pt>
                <c:pt idx="25">
                  <c:v>49.8</c:v>
                </c:pt>
                <c:pt idx="26">
                  <c:v>49.8</c:v>
                </c:pt>
              </c:numCache>
            </c:numRef>
          </c:val>
          <c:smooth val="0"/>
          <c:extLst>
            <c:ext xmlns:c16="http://schemas.microsoft.com/office/drawing/2014/chart" uri="{C3380CC4-5D6E-409C-BE32-E72D297353CC}">
              <c16:uniqueId val="{00000005-823B-43B0-B150-F79787B9B20B}"/>
            </c:ext>
          </c:extLst>
        </c:ser>
        <c:dLbls>
          <c:showLegendKey val="0"/>
          <c:showVal val="0"/>
          <c:showCatName val="0"/>
          <c:showSerName val="0"/>
          <c:showPercent val="0"/>
          <c:showBubbleSize val="0"/>
        </c:dLbls>
        <c:marker val="1"/>
        <c:smooth val="0"/>
        <c:axId val="611564432"/>
        <c:axId val="611571920"/>
      </c:lineChart>
      <c:catAx>
        <c:axId val="61156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71920"/>
        <c:crosses val="autoZero"/>
        <c:auto val="1"/>
        <c:lblAlgn val="ctr"/>
        <c:lblOffset val="100"/>
        <c:noMultiLvlLbl val="0"/>
      </c:catAx>
      <c:valAx>
        <c:axId val="611571920"/>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611564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Hárok1!$B$3</c:f>
              <c:strCache>
                <c:ptCount val="1"/>
                <c:pt idx="0">
                  <c:v>Čistý dlh VS v % z HDP</c:v>
                </c:pt>
              </c:strCache>
            </c:strRef>
          </c:tx>
          <c:spPr>
            <a:solidFill>
              <a:schemeClr val="accent2"/>
            </a:solidFill>
            <a:ln>
              <a:noFill/>
            </a:ln>
            <a:effectLst/>
          </c:spPr>
          <c:invertIfNegative val="0"/>
          <c:cat>
            <c:strRef>
              <c:f>Hárok1!$C$1:$S$1</c:f>
              <c:strCache>
                <c:ptCount val="17"/>
                <c:pt idx="0">
                  <c:v>2008</c:v>
                </c:pt>
                <c:pt idx="1">
                  <c:v>2009</c:v>
                </c:pt>
                <c:pt idx="2">
                  <c:v>2010</c:v>
                </c:pt>
                <c:pt idx="3">
                  <c:v>2011</c:v>
                </c:pt>
                <c:pt idx="4">
                  <c:v>2012</c:v>
                </c:pt>
                <c:pt idx="5">
                  <c:v>2013</c:v>
                </c:pt>
                <c:pt idx="6">
                  <c:v>2014</c:v>
                </c:pt>
                <c:pt idx="7">
                  <c:v>2015</c:v>
                </c:pt>
                <c:pt idx="8">
                  <c:v>2016</c:v>
                </c:pt>
                <c:pt idx="9">
                  <c:v>2017</c:v>
                </c:pt>
                <c:pt idx="10">
                  <c:v>2018</c:v>
                </c:pt>
                <c:pt idx="11">
                  <c:v>2018</c:v>
                </c:pt>
                <c:pt idx="12">
                  <c:v>2019</c:v>
                </c:pt>
                <c:pt idx="13">
                  <c:v>2020</c:v>
                </c:pt>
                <c:pt idx="14">
                  <c:v>2021</c:v>
                </c:pt>
                <c:pt idx="15">
                  <c:v>2022</c:v>
                </c:pt>
                <c:pt idx="16">
                  <c:v>2023*</c:v>
                </c:pt>
              </c:strCache>
            </c:strRef>
          </c:cat>
          <c:val>
            <c:numRef>
              <c:f>Hárok1!$C$3:$S$3</c:f>
              <c:numCache>
                <c:formatCode>0.0</c:formatCode>
                <c:ptCount val="17"/>
                <c:pt idx="0">
                  <c:v>23.450447138420007</c:v>
                </c:pt>
                <c:pt idx="1">
                  <c:v>31.683503522088134</c:v>
                </c:pt>
                <c:pt idx="2">
                  <c:v>36.852717320683695</c:v>
                </c:pt>
                <c:pt idx="3">
                  <c:v>40.777255932319576</c:v>
                </c:pt>
                <c:pt idx="4">
                  <c:v>45.212429526395567</c:v>
                </c:pt>
                <c:pt idx="5">
                  <c:v>47.970082447084437</c:v>
                </c:pt>
                <c:pt idx="6">
                  <c:v>49.650097841185811</c:v>
                </c:pt>
                <c:pt idx="7">
                  <c:v>47.406810275873376</c:v>
                </c:pt>
                <c:pt idx="8">
                  <c:v>47.073788207760856</c:v>
                </c:pt>
                <c:pt idx="9">
                  <c:v>45.864601997326012</c:v>
                </c:pt>
                <c:pt idx="10">
                  <c:v>43.3</c:v>
                </c:pt>
                <c:pt idx="11">
                  <c:v>43.3</c:v>
                </c:pt>
                <c:pt idx="12">
                  <c:v>43.1</c:v>
                </c:pt>
                <c:pt idx="13">
                  <c:v>48.9</c:v>
                </c:pt>
                <c:pt idx="14">
                  <c:v>49.6</c:v>
                </c:pt>
                <c:pt idx="15">
                  <c:v>47.7</c:v>
                </c:pt>
                <c:pt idx="16">
                  <c:v>47.7</c:v>
                </c:pt>
              </c:numCache>
            </c:numRef>
          </c:val>
          <c:extLst>
            <c:ext xmlns:c16="http://schemas.microsoft.com/office/drawing/2014/chart" uri="{C3380CC4-5D6E-409C-BE32-E72D297353CC}">
              <c16:uniqueId val="{00000000-7D13-48E9-AD82-8A8FF2D6BEE9}"/>
            </c:ext>
          </c:extLst>
        </c:ser>
        <c:ser>
          <c:idx val="0"/>
          <c:order val="2"/>
          <c:tx>
            <c:strRef>
              <c:f>Hárok1!$B$2</c:f>
              <c:strCache>
                <c:ptCount val="1"/>
                <c:pt idx="0">
                  <c:v>Hrubý dlh VS v % z HDP</c:v>
                </c:pt>
              </c:strCache>
            </c:strRef>
          </c:tx>
          <c:spPr>
            <a:solidFill>
              <a:schemeClr val="accent1"/>
            </a:solidFill>
            <a:ln>
              <a:noFill/>
            </a:ln>
            <a:effectLst/>
          </c:spPr>
          <c:invertIfNegative val="0"/>
          <c:cat>
            <c:strRef>
              <c:f>Hárok1!$C$1:$S$1</c:f>
              <c:strCache>
                <c:ptCount val="17"/>
                <c:pt idx="0">
                  <c:v>2008</c:v>
                </c:pt>
                <c:pt idx="1">
                  <c:v>2009</c:v>
                </c:pt>
                <c:pt idx="2">
                  <c:v>2010</c:v>
                </c:pt>
                <c:pt idx="3">
                  <c:v>2011</c:v>
                </c:pt>
                <c:pt idx="4">
                  <c:v>2012</c:v>
                </c:pt>
                <c:pt idx="5">
                  <c:v>2013</c:v>
                </c:pt>
                <c:pt idx="6">
                  <c:v>2014</c:v>
                </c:pt>
                <c:pt idx="7">
                  <c:v>2015</c:v>
                </c:pt>
                <c:pt idx="8">
                  <c:v>2016</c:v>
                </c:pt>
                <c:pt idx="9">
                  <c:v>2017</c:v>
                </c:pt>
                <c:pt idx="10">
                  <c:v>2018</c:v>
                </c:pt>
                <c:pt idx="11">
                  <c:v>2018</c:v>
                </c:pt>
                <c:pt idx="12">
                  <c:v>2019</c:v>
                </c:pt>
                <c:pt idx="13">
                  <c:v>2020</c:v>
                </c:pt>
                <c:pt idx="14">
                  <c:v>2021</c:v>
                </c:pt>
                <c:pt idx="15">
                  <c:v>2022</c:v>
                </c:pt>
                <c:pt idx="16">
                  <c:v>2023*</c:v>
                </c:pt>
              </c:strCache>
            </c:strRef>
          </c:cat>
          <c:val>
            <c:numRef>
              <c:f>Hárok1!$C$2:$S$2</c:f>
              <c:numCache>
                <c:formatCode>0.0</c:formatCode>
                <c:ptCount val="17"/>
                <c:pt idx="0">
                  <c:v>28.6</c:v>
                </c:pt>
                <c:pt idx="1">
                  <c:v>36.4</c:v>
                </c:pt>
                <c:pt idx="2">
                  <c:v>41</c:v>
                </c:pt>
                <c:pt idx="3" formatCode="General">
                  <c:v>43.5</c:v>
                </c:pt>
                <c:pt idx="4" formatCode="General">
                  <c:v>51.8</c:v>
                </c:pt>
                <c:pt idx="5" formatCode="General">
                  <c:v>54.8</c:v>
                </c:pt>
                <c:pt idx="6">
                  <c:v>53.6</c:v>
                </c:pt>
                <c:pt idx="7">
                  <c:v>51.9</c:v>
                </c:pt>
                <c:pt idx="8">
                  <c:v>52.4</c:v>
                </c:pt>
                <c:pt idx="9">
                  <c:v>51.6</c:v>
                </c:pt>
                <c:pt idx="10">
                  <c:v>49.4</c:v>
                </c:pt>
                <c:pt idx="11">
                  <c:v>49.4</c:v>
                </c:pt>
                <c:pt idx="12">
                  <c:v>47.9</c:v>
                </c:pt>
                <c:pt idx="13">
                  <c:v>58.9</c:v>
                </c:pt>
                <c:pt idx="14">
                  <c:v>61</c:v>
                </c:pt>
                <c:pt idx="15">
                  <c:v>57.8</c:v>
                </c:pt>
                <c:pt idx="16">
                  <c:v>57.9</c:v>
                </c:pt>
              </c:numCache>
            </c:numRef>
          </c:val>
          <c:extLst>
            <c:ext xmlns:c16="http://schemas.microsoft.com/office/drawing/2014/chart" uri="{C3380CC4-5D6E-409C-BE32-E72D297353CC}">
              <c16:uniqueId val="{00000001-7D13-48E9-AD82-8A8FF2D6BEE9}"/>
            </c:ext>
          </c:extLst>
        </c:ser>
        <c:dLbls>
          <c:showLegendKey val="0"/>
          <c:showVal val="0"/>
          <c:showCatName val="0"/>
          <c:showSerName val="0"/>
          <c:showPercent val="0"/>
          <c:showBubbleSize val="0"/>
        </c:dLbls>
        <c:gapWidth val="100"/>
        <c:axId val="1216065872"/>
        <c:axId val="1216091664"/>
      </c:barChart>
      <c:lineChart>
        <c:grouping val="standard"/>
        <c:varyColors val="0"/>
        <c:ser>
          <c:idx val="3"/>
          <c:order val="1"/>
          <c:tx>
            <c:strRef>
              <c:f>Hárok1!$B$5</c:f>
              <c:strCache>
                <c:ptCount val="1"/>
                <c:pt idx="0">
                  <c:v>Hrubý dlh VS v mil. eur (pravá os)</c:v>
                </c:pt>
              </c:strCache>
            </c:strRef>
          </c:tx>
          <c:spPr>
            <a:ln w="25400" cap="rnd">
              <a:solidFill>
                <a:schemeClr val="accent6"/>
              </a:solidFill>
              <a:prstDash val="sysDash"/>
              <a:round/>
            </a:ln>
            <a:effectLst/>
          </c:spPr>
          <c:marker>
            <c:symbol val="none"/>
          </c:marker>
          <c:cat>
            <c:strRef>
              <c:f>Hárok1!$C$1:$S$1</c:f>
              <c:strCache>
                <c:ptCount val="17"/>
                <c:pt idx="0">
                  <c:v>2008</c:v>
                </c:pt>
                <c:pt idx="1">
                  <c:v>2009</c:v>
                </c:pt>
                <c:pt idx="2">
                  <c:v>2010</c:v>
                </c:pt>
                <c:pt idx="3">
                  <c:v>2011</c:v>
                </c:pt>
                <c:pt idx="4">
                  <c:v>2012</c:v>
                </c:pt>
                <c:pt idx="5">
                  <c:v>2013</c:v>
                </c:pt>
                <c:pt idx="6">
                  <c:v>2014</c:v>
                </c:pt>
                <c:pt idx="7">
                  <c:v>2015</c:v>
                </c:pt>
                <c:pt idx="8">
                  <c:v>2016</c:v>
                </c:pt>
                <c:pt idx="9">
                  <c:v>2017</c:v>
                </c:pt>
                <c:pt idx="10">
                  <c:v>2018</c:v>
                </c:pt>
                <c:pt idx="11">
                  <c:v>2018</c:v>
                </c:pt>
                <c:pt idx="12">
                  <c:v>2019</c:v>
                </c:pt>
                <c:pt idx="13">
                  <c:v>2020</c:v>
                </c:pt>
                <c:pt idx="14">
                  <c:v>2021</c:v>
                </c:pt>
                <c:pt idx="15">
                  <c:v>2022</c:v>
                </c:pt>
                <c:pt idx="16">
                  <c:v>2023*</c:v>
                </c:pt>
              </c:strCache>
            </c:strRef>
          </c:cat>
          <c:val>
            <c:numRef>
              <c:f>Hárok1!$C$5:$S$5</c:f>
              <c:numCache>
                <c:formatCode>#,##0</c:formatCode>
                <c:ptCount val="17"/>
                <c:pt idx="0">
                  <c:v>19616.057863572991</c:v>
                </c:pt>
                <c:pt idx="1">
                  <c:v>23305.743000000002</c:v>
                </c:pt>
                <c:pt idx="2">
                  <c:v>27928.769</c:v>
                </c:pt>
                <c:pt idx="3">
                  <c:v>30979.850000000002</c:v>
                </c:pt>
                <c:pt idx="4">
                  <c:v>38098.069000000003</c:v>
                </c:pt>
                <c:pt idx="5">
                  <c:v>40742.084000000003</c:v>
                </c:pt>
                <c:pt idx="6">
                  <c:v>40844.046000000002</c:v>
                </c:pt>
                <c:pt idx="7">
                  <c:v>41413.361999999994</c:v>
                </c:pt>
                <c:pt idx="8">
                  <c:v>42481.256999999998</c:v>
                </c:pt>
                <c:pt idx="9">
                  <c:v>43572.438000000009</c:v>
                </c:pt>
                <c:pt idx="10">
                  <c:v>44405</c:v>
                </c:pt>
                <c:pt idx="11">
                  <c:v>44405</c:v>
                </c:pt>
                <c:pt idx="12">
                  <c:v>45306.023000000001</c:v>
                </c:pt>
                <c:pt idx="13">
                  <c:v>54992.904000000002</c:v>
                </c:pt>
                <c:pt idx="14">
                  <c:v>61237.362999999998</c:v>
                </c:pt>
                <c:pt idx="15">
                  <c:v>63378.781999999999</c:v>
                </c:pt>
                <c:pt idx="16">
                  <c:v>70861.274000000005</c:v>
                </c:pt>
              </c:numCache>
            </c:numRef>
          </c:val>
          <c:smooth val="0"/>
          <c:extLst>
            <c:ext xmlns:c16="http://schemas.microsoft.com/office/drawing/2014/chart" uri="{C3380CC4-5D6E-409C-BE32-E72D297353CC}">
              <c16:uniqueId val="{00000002-7D13-48E9-AD82-8A8FF2D6BEE9}"/>
            </c:ext>
          </c:extLst>
        </c:ser>
        <c:dLbls>
          <c:showLegendKey val="0"/>
          <c:showVal val="0"/>
          <c:showCatName val="0"/>
          <c:showSerName val="0"/>
          <c:showPercent val="0"/>
          <c:showBubbleSize val="0"/>
        </c:dLbls>
        <c:marker val="1"/>
        <c:smooth val="0"/>
        <c:axId val="1216072528"/>
        <c:axId val="1216087504"/>
      </c:lineChart>
      <c:valAx>
        <c:axId val="1216087504"/>
        <c:scaling>
          <c:orientation val="minMax"/>
        </c:scaling>
        <c:delete val="0"/>
        <c:axPos val="r"/>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216072528"/>
        <c:crosses val="max"/>
        <c:crossBetween val="between"/>
      </c:valAx>
      <c:catAx>
        <c:axId val="121607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216087504"/>
        <c:crosses val="autoZero"/>
        <c:auto val="1"/>
        <c:lblAlgn val="ctr"/>
        <c:lblOffset val="100"/>
        <c:noMultiLvlLbl val="0"/>
      </c:catAx>
      <c:valAx>
        <c:axId val="1216091664"/>
        <c:scaling>
          <c:orientation val="minMax"/>
          <c:max val="8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216065872"/>
        <c:crosses val="autoZero"/>
        <c:crossBetween val="between"/>
      </c:valAx>
      <c:catAx>
        <c:axId val="1216065872"/>
        <c:scaling>
          <c:orientation val="minMax"/>
        </c:scaling>
        <c:delete val="1"/>
        <c:axPos val="b"/>
        <c:numFmt formatCode="General" sourceLinked="1"/>
        <c:majorTickMark val="none"/>
        <c:minorTickMark val="none"/>
        <c:tickLblPos val="nextTo"/>
        <c:crossAx val="12160916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 DLH_2'!$C$2</c:f>
              <c:strCache>
                <c:ptCount val="1"/>
                <c:pt idx="0">
                  <c:v>Hrubý dlh VS 2022</c:v>
                </c:pt>
              </c:strCache>
            </c:strRef>
          </c:tx>
          <c:spPr>
            <a:solidFill>
              <a:schemeClr val="accent2"/>
            </a:solidFill>
            <a:ln>
              <a:noFill/>
            </a:ln>
            <a:effectLst/>
          </c:spPr>
          <c:invertIfNegative val="0"/>
          <c:dPt>
            <c:idx val="8"/>
            <c:invertIfNegative val="0"/>
            <c:bubble3D val="0"/>
            <c:spPr>
              <a:solidFill>
                <a:schemeClr val="accent2"/>
              </a:solidFill>
              <a:ln>
                <a:noFill/>
              </a:ln>
              <a:effectLst/>
            </c:spPr>
            <c:extLst>
              <c:ext xmlns:c16="http://schemas.microsoft.com/office/drawing/2014/chart" uri="{C3380CC4-5D6E-409C-BE32-E72D297353CC}">
                <c16:uniqueId val="{00000001-8E8E-4DE3-A5CA-5044F8C8E9A1}"/>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3-8E8E-4DE3-A5CA-5044F8C8E9A1}"/>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5-8E8E-4DE3-A5CA-5044F8C8E9A1}"/>
              </c:ext>
            </c:extLst>
          </c:dPt>
          <c:dPt>
            <c:idx val="17"/>
            <c:invertIfNegative val="0"/>
            <c:bubble3D val="0"/>
            <c:spPr>
              <a:solidFill>
                <a:schemeClr val="accent2"/>
              </a:solidFill>
              <a:ln>
                <a:noFill/>
              </a:ln>
              <a:effectLst/>
            </c:spPr>
            <c:extLst>
              <c:ext xmlns:c16="http://schemas.microsoft.com/office/drawing/2014/chart" uri="{C3380CC4-5D6E-409C-BE32-E72D297353CC}">
                <c16:uniqueId val="{00000007-8E8E-4DE3-A5CA-5044F8C8E9A1}"/>
              </c:ext>
            </c:extLst>
          </c:dPt>
          <c:dPt>
            <c:idx val="20"/>
            <c:invertIfNegative val="0"/>
            <c:bubble3D val="0"/>
            <c:spPr>
              <a:solidFill>
                <a:schemeClr val="accent2"/>
              </a:solidFill>
              <a:ln>
                <a:noFill/>
              </a:ln>
              <a:effectLst/>
            </c:spPr>
            <c:extLst>
              <c:ext xmlns:c16="http://schemas.microsoft.com/office/drawing/2014/chart" uri="{C3380CC4-5D6E-409C-BE32-E72D297353CC}">
                <c16:uniqueId val="{00000009-8E8E-4DE3-A5CA-5044F8C8E9A1}"/>
              </c:ext>
            </c:extLst>
          </c:dPt>
          <c:dLbls>
            <c:dLbl>
              <c:idx val="14"/>
              <c:layout>
                <c:manualLayout>
                  <c:x val="-8.0232479420344818E-17"/>
                  <c:y val="-6.8027210884353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8E-4DE3-A5CA-5044F8C8E9A1}"/>
                </c:ext>
              </c:extLst>
            </c:dLbl>
            <c:spPr>
              <a:noFill/>
              <a:ln w="9525">
                <a:solidFill>
                  <a:schemeClr val="accent6"/>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Segoe UI" panose="020B0502040204020203" pitchFamily="34" charset="0"/>
                    <a:ea typeface="+mn-ea"/>
                    <a:cs typeface="Segoe UI" panose="020B0502040204020203" pitchFamily="34" charset="0"/>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accent6"/>
                      </a:solidFill>
                      <a:round/>
                    </a:ln>
                    <a:effectLst/>
                  </c:spPr>
                </c15:leaderLines>
              </c:ext>
            </c:extLst>
          </c:dLbls>
          <c:cat>
            <c:strRef>
              <c:f>'Graf DLH_2'!$B$3:$B$30</c:f>
              <c:strCache>
                <c:ptCount val="28"/>
                <c:pt idx="0">
                  <c:v>Grécko</c:v>
                </c:pt>
                <c:pt idx="1">
                  <c:v>Taliansko</c:v>
                </c:pt>
                <c:pt idx="2">
                  <c:v>Portugalsko</c:v>
                </c:pt>
                <c:pt idx="3">
                  <c:v>Španielsko</c:v>
                </c:pt>
                <c:pt idx="4">
                  <c:v>Francúzsko</c:v>
                </c:pt>
                <c:pt idx="5">
                  <c:v>Belgicko</c:v>
                </c:pt>
                <c:pt idx="6">
                  <c:v>Eurozóna</c:v>
                </c:pt>
                <c:pt idx="7">
                  <c:v>Cyprus</c:v>
                </c:pt>
                <c:pt idx="8">
                  <c:v>Rakúsko</c:v>
                </c:pt>
                <c:pt idx="9">
                  <c:v>Maďarsko</c:v>
                </c:pt>
                <c:pt idx="10">
                  <c:v>Fínsko</c:v>
                </c:pt>
                <c:pt idx="11">
                  <c:v>Slovinsko</c:v>
                </c:pt>
                <c:pt idx="12">
                  <c:v>Chorvátsko</c:v>
                </c:pt>
                <c:pt idx="13">
                  <c:v>Nemecko</c:v>
                </c:pt>
                <c:pt idx="14">
                  <c:v>Slovensko</c:v>
                </c:pt>
                <c:pt idx="15">
                  <c:v>Malta</c:v>
                </c:pt>
                <c:pt idx="16">
                  <c:v>Holandsko</c:v>
                </c:pt>
                <c:pt idx="17">
                  <c:v>Poľsko</c:v>
                </c:pt>
                <c:pt idx="18">
                  <c:v>Rumunsko</c:v>
                </c:pt>
                <c:pt idx="19">
                  <c:v>Írsko</c:v>
                </c:pt>
                <c:pt idx="20">
                  <c:v>Česká republika</c:v>
                </c:pt>
                <c:pt idx="21">
                  <c:v>Lotyšsko</c:v>
                </c:pt>
                <c:pt idx="22">
                  <c:v>Litva</c:v>
                </c:pt>
                <c:pt idx="23">
                  <c:v>Švédsko</c:v>
                </c:pt>
                <c:pt idx="24">
                  <c:v>Dánsko</c:v>
                </c:pt>
                <c:pt idx="25">
                  <c:v>Luxembursko</c:v>
                </c:pt>
                <c:pt idx="26">
                  <c:v>Bulharsko</c:v>
                </c:pt>
                <c:pt idx="27">
                  <c:v>Estónsko</c:v>
                </c:pt>
              </c:strCache>
            </c:strRef>
          </c:cat>
          <c:val>
            <c:numRef>
              <c:f>'Graf DLH_2'!$C$3:$C$30</c:f>
              <c:numCache>
                <c:formatCode>#\ ##0.##########</c:formatCode>
                <c:ptCount val="28"/>
                <c:pt idx="0">
                  <c:v>171.3</c:v>
                </c:pt>
                <c:pt idx="1">
                  <c:v>144.4</c:v>
                </c:pt>
                <c:pt idx="2">
                  <c:v>113.9</c:v>
                </c:pt>
                <c:pt idx="3">
                  <c:v>113.2</c:v>
                </c:pt>
                <c:pt idx="4">
                  <c:v>111.6</c:v>
                </c:pt>
                <c:pt idx="5">
                  <c:v>105.1</c:v>
                </c:pt>
                <c:pt idx="6">
                  <c:v>91.6</c:v>
                </c:pt>
                <c:pt idx="7">
                  <c:v>86.5</c:v>
                </c:pt>
                <c:pt idx="8">
                  <c:v>78.400000000000006</c:v>
                </c:pt>
                <c:pt idx="9">
                  <c:v>73.3</c:v>
                </c:pt>
                <c:pt idx="10" formatCode="#\ ##0.0">
                  <c:v>73</c:v>
                </c:pt>
                <c:pt idx="11">
                  <c:v>69.900000000000006</c:v>
                </c:pt>
                <c:pt idx="12">
                  <c:v>68.400000000000006</c:v>
                </c:pt>
                <c:pt idx="13">
                  <c:v>66.3</c:v>
                </c:pt>
                <c:pt idx="14">
                  <c:v>57.8</c:v>
                </c:pt>
                <c:pt idx="15">
                  <c:v>53.4</c:v>
                </c:pt>
                <c:pt idx="16" formatCode="#\ ##0.0">
                  <c:v>51</c:v>
                </c:pt>
                <c:pt idx="17">
                  <c:v>49.1</c:v>
                </c:pt>
                <c:pt idx="18">
                  <c:v>47.3</c:v>
                </c:pt>
                <c:pt idx="19">
                  <c:v>44.7</c:v>
                </c:pt>
                <c:pt idx="20">
                  <c:v>44.1</c:v>
                </c:pt>
                <c:pt idx="21">
                  <c:v>40.799999999999997</c:v>
                </c:pt>
                <c:pt idx="22">
                  <c:v>38.4</c:v>
                </c:pt>
                <c:pt idx="23" formatCode="#\ ##0.0">
                  <c:v>33</c:v>
                </c:pt>
                <c:pt idx="24">
                  <c:v>30.1</c:v>
                </c:pt>
                <c:pt idx="25">
                  <c:v>24.6</c:v>
                </c:pt>
                <c:pt idx="26">
                  <c:v>22.9</c:v>
                </c:pt>
                <c:pt idx="27">
                  <c:v>18.399999999999999</c:v>
                </c:pt>
              </c:numCache>
            </c:numRef>
          </c:val>
          <c:extLst>
            <c:ext xmlns:c16="http://schemas.microsoft.com/office/drawing/2014/chart" uri="{C3380CC4-5D6E-409C-BE32-E72D297353CC}">
              <c16:uniqueId val="{0000000A-8E8E-4DE3-A5CA-5044F8C8E9A1}"/>
            </c:ext>
          </c:extLst>
        </c:ser>
        <c:dLbls>
          <c:showLegendKey val="0"/>
          <c:showVal val="0"/>
          <c:showCatName val="0"/>
          <c:showSerName val="0"/>
          <c:showPercent val="0"/>
          <c:showBubbleSize val="0"/>
        </c:dLbls>
        <c:gapWidth val="100"/>
        <c:axId val="1377750255"/>
        <c:axId val="1377733199"/>
      </c:barChart>
      <c:lineChart>
        <c:grouping val="standard"/>
        <c:varyColors val="0"/>
        <c:ser>
          <c:idx val="1"/>
          <c:order val="1"/>
          <c:tx>
            <c:strRef>
              <c:f>'Graf DLH_2'!$D$2</c:f>
              <c:strCache>
                <c:ptCount val="1"/>
                <c:pt idx="0">
                  <c:v>Priemer EÚ</c:v>
                </c:pt>
              </c:strCache>
            </c:strRef>
          </c:tx>
          <c:spPr>
            <a:ln w="25400" cap="rnd">
              <a:solidFill>
                <a:schemeClr val="tx2"/>
              </a:solidFill>
              <a:prstDash val="sysDash"/>
              <a:round/>
            </a:ln>
            <a:effectLst/>
          </c:spPr>
          <c:marker>
            <c:symbol val="none"/>
          </c:marker>
          <c:val>
            <c:numRef>
              <c:f>'Graf DLH_2'!$D$3:$D$30</c:f>
              <c:numCache>
                <c:formatCode>#\ ##0.0</c:formatCode>
                <c:ptCount val="28"/>
                <c:pt idx="0">
                  <c:v>84</c:v>
                </c:pt>
                <c:pt idx="1">
                  <c:v>84</c:v>
                </c:pt>
                <c:pt idx="2">
                  <c:v>84</c:v>
                </c:pt>
                <c:pt idx="3">
                  <c:v>84</c:v>
                </c:pt>
                <c:pt idx="4">
                  <c:v>84</c:v>
                </c:pt>
                <c:pt idx="5">
                  <c:v>84</c:v>
                </c:pt>
                <c:pt idx="6">
                  <c:v>84</c:v>
                </c:pt>
                <c:pt idx="7">
                  <c:v>84</c:v>
                </c:pt>
                <c:pt idx="8">
                  <c:v>84</c:v>
                </c:pt>
                <c:pt idx="9">
                  <c:v>84</c:v>
                </c:pt>
                <c:pt idx="10">
                  <c:v>84</c:v>
                </c:pt>
                <c:pt idx="11">
                  <c:v>84</c:v>
                </c:pt>
                <c:pt idx="12">
                  <c:v>84</c:v>
                </c:pt>
                <c:pt idx="13">
                  <c:v>84</c:v>
                </c:pt>
                <c:pt idx="14">
                  <c:v>84</c:v>
                </c:pt>
                <c:pt idx="15">
                  <c:v>84</c:v>
                </c:pt>
                <c:pt idx="16">
                  <c:v>84</c:v>
                </c:pt>
                <c:pt idx="17">
                  <c:v>84</c:v>
                </c:pt>
                <c:pt idx="18">
                  <c:v>84</c:v>
                </c:pt>
                <c:pt idx="19">
                  <c:v>84</c:v>
                </c:pt>
                <c:pt idx="20">
                  <c:v>84</c:v>
                </c:pt>
                <c:pt idx="21">
                  <c:v>84</c:v>
                </c:pt>
                <c:pt idx="22">
                  <c:v>84</c:v>
                </c:pt>
                <c:pt idx="23">
                  <c:v>84</c:v>
                </c:pt>
                <c:pt idx="24">
                  <c:v>84</c:v>
                </c:pt>
                <c:pt idx="25">
                  <c:v>84</c:v>
                </c:pt>
                <c:pt idx="26">
                  <c:v>84</c:v>
                </c:pt>
                <c:pt idx="27">
                  <c:v>84</c:v>
                </c:pt>
              </c:numCache>
            </c:numRef>
          </c:val>
          <c:smooth val="0"/>
          <c:extLst>
            <c:ext xmlns:c16="http://schemas.microsoft.com/office/drawing/2014/chart" uri="{C3380CC4-5D6E-409C-BE32-E72D297353CC}">
              <c16:uniqueId val="{0000000B-8E8E-4DE3-A5CA-5044F8C8E9A1}"/>
            </c:ext>
          </c:extLst>
        </c:ser>
        <c:dLbls>
          <c:showLegendKey val="0"/>
          <c:showVal val="0"/>
          <c:showCatName val="0"/>
          <c:showSerName val="0"/>
          <c:showPercent val="0"/>
          <c:showBubbleSize val="0"/>
        </c:dLbls>
        <c:marker val="1"/>
        <c:smooth val="0"/>
        <c:axId val="1377750255"/>
        <c:axId val="1377733199"/>
      </c:lineChart>
      <c:catAx>
        <c:axId val="1377750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77733199"/>
        <c:crosses val="autoZero"/>
        <c:auto val="1"/>
        <c:lblAlgn val="ctr"/>
        <c:lblOffset val="100"/>
        <c:noMultiLvlLbl val="0"/>
      </c:catAx>
      <c:valAx>
        <c:axId val="1377733199"/>
        <c:scaling>
          <c:orientation val="minMax"/>
          <c:max val="18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377750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'Graf DLH_3'!$B$4</c:f>
              <c:strCache>
                <c:ptCount val="1"/>
                <c:pt idx="0">
                  <c:v>Výdavky spojené so správou štátneho dlhu</c:v>
                </c:pt>
              </c:strCache>
            </c:strRef>
          </c:tx>
          <c:spPr>
            <a:solidFill>
              <a:srgbClr val="314364"/>
            </a:solidFill>
            <a:ln>
              <a:noFill/>
            </a:ln>
            <a:effectLst/>
          </c:spPr>
          <c:invertIfNegative val="0"/>
          <c:dLbls>
            <c:dLbl>
              <c:idx val="1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4B-4B74-A89D-D6639993FCF0}"/>
                </c:ext>
              </c:extLst>
            </c:dLbl>
            <c:dLbl>
              <c:idx val="1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4B-4B74-A89D-D6639993FCF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 DLH_3'!$C$2:$O$2</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'Graf DLH_3'!$C$4:$O$4</c:f>
              <c:numCache>
                <c:formatCode>#,##0</c:formatCode>
                <c:ptCount val="13"/>
                <c:pt idx="0">
                  <c:v>864</c:v>
                </c:pt>
                <c:pt idx="1">
                  <c:v>1007</c:v>
                </c:pt>
                <c:pt idx="2">
                  <c:v>1249</c:v>
                </c:pt>
                <c:pt idx="3">
                  <c:v>1166</c:v>
                </c:pt>
                <c:pt idx="4">
                  <c:v>1281</c:v>
                </c:pt>
                <c:pt idx="5">
                  <c:v>1160</c:v>
                </c:pt>
                <c:pt idx="6">
                  <c:v>1175</c:v>
                </c:pt>
                <c:pt idx="7">
                  <c:v>1167</c:v>
                </c:pt>
                <c:pt idx="8">
                  <c:v>1135</c:v>
                </c:pt>
                <c:pt idx="9">
                  <c:v>1037.1780000000001</c:v>
                </c:pt>
                <c:pt idx="10">
                  <c:v>796.97299999999996</c:v>
                </c:pt>
                <c:pt idx="11">
                  <c:v>657.48800000000006</c:v>
                </c:pt>
                <c:pt idx="12">
                  <c:v>1059.3309999999999</c:v>
                </c:pt>
              </c:numCache>
            </c:numRef>
          </c:val>
          <c:extLst xmlns:c15="http://schemas.microsoft.com/office/drawing/2012/chart">
            <c:ext xmlns:c16="http://schemas.microsoft.com/office/drawing/2014/chart" uri="{C3380CC4-5D6E-409C-BE32-E72D297353CC}">
              <c16:uniqueId val="{00000002-8F4B-4B74-A89D-D6639993FCF0}"/>
            </c:ext>
          </c:extLst>
        </c:ser>
        <c:dLbls>
          <c:showLegendKey val="0"/>
          <c:showVal val="0"/>
          <c:showCatName val="0"/>
          <c:showSerName val="0"/>
          <c:showPercent val="0"/>
          <c:showBubbleSize val="0"/>
        </c:dLbls>
        <c:gapWidth val="100"/>
        <c:axId val="1821113199"/>
        <c:axId val="1821115279"/>
        <c:extLst/>
      </c:barChart>
      <c:catAx>
        <c:axId val="182111319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821115279"/>
        <c:crosses val="autoZero"/>
        <c:auto val="1"/>
        <c:lblAlgn val="ctr"/>
        <c:lblOffset val="100"/>
        <c:noMultiLvlLbl val="0"/>
      </c:catAx>
      <c:valAx>
        <c:axId val="1821115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Segoe UI" panose="020B0502040204020203" pitchFamily="34" charset="0"/>
                <a:ea typeface="+mn-ea"/>
                <a:cs typeface="Segoe UI" panose="020B0502040204020203" pitchFamily="34" charset="0"/>
              </a:defRPr>
            </a:pPr>
            <a:endParaRPr lang="sk-SK"/>
          </a:p>
        </c:txPr>
        <c:crossAx val="1821113199"/>
        <c:crosses val="autoZero"/>
        <c:crossBetween val="between"/>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800">
          <a:solidFill>
            <a:schemeClr val="tx2"/>
          </a:solidFill>
          <a:latin typeface="Segoe UI" panose="020B0502040204020203" pitchFamily="34" charset="0"/>
          <a:cs typeface="Segoe UI" panose="020B0502040204020203" pitchFamily="34" charset="0"/>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0.4522</cdr:x>
      <cdr:y>0.5422</cdr:y>
    </cdr:from>
    <cdr:to>
      <cdr:x>0.45254</cdr:x>
      <cdr:y>0.65898</cdr:y>
    </cdr:to>
    <cdr:cxnSp macro="">
      <cdr:nvCxnSpPr>
        <cdr:cNvPr id="3" name="Rovná spojnica 2"/>
        <cdr:cNvCxnSpPr/>
      </cdr:nvCxnSpPr>
      <cdr:spPr>
        <a:xfrm xmlns:a="http://schemas.openxmlformats.org/drawingml/2006/main">
          <a:off x="2604423" y="962653"/>
          <a:ext cx="1977" cy="207347"/>
        </a:xfrm>
        <a:prstGeom xmlns:a="http://schemas.openxmlformats.org/drawingml/2006/main" prst="line">
          <a:avLst/>
        </a:prstGeom>
        <a:ln xmlns:a="http://schemas.openxmlformats.org/drawingml/2006/main" w="9525">
          <a:solidFill>
            <a:schemeClr val="accent6"/>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0.70614</cdr:x>
      <cdr:y>0.00614</cdr:y>
    </cdr:from>
    <cdr:to>
      <cdr:x>0.78743</cdr:x>
      <cdr:y>0.43797</cdr:y>
    </cdr:to>
    <cdr:sp macro="" textlink="">
      <cdr:nvSpPr>
        <cdr:cNvPr id="2" name="Šípka nahor 1"/>
        <cdr:cNvSpPr/>
      </cdr:nvSpPr>
      <cdr:spPr>
        <a:xfrm xmlns:a="http://schemas.openxmlformats.org/drawingml/2006/main">
          <a:off x="4066960" y="14454"/>
          <a:ext cx="468186" cy="1016778"/>
        </a:xfrm>
        <a:prstGeom xmlns:a="http://schemas.openxmlformats.org/drawingml/2006/main" prst="upArrow">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sk-SK" sz="1100"/>
        </a:p>
      </cdr:txBody>
    </cdr:sp>
  </cdr:relSizeAnchor>
  <cdr:relSizeAnchor xmlns:cdr="http://schemas.openxmlformats.org/drawingml/2006/chartDrawing">
    <cdr:from>
      <cdr:x>0.72138</cdr:x>
      <cdr:y>0.00614</cdr:y>
    </cdr:from>
    <cdr:to>
      <cdr:x>0.77091</cdr:x>
      <cdr:y>0.44843</cdr:y>
    </cdr:to>
    <cdr:sp macro="" textlink="">
      <cdr:nvSpPr>
        <cdr:cNvPr id="3" name="BlokTextu 3"/>
        <cdr:cNvSpPr txBox="1"/>
      </cdr:nvSpPr>
      <cdr:spPr>
        <a:xfrm xmlns:a="http://schemas.openxmlformats.org/drawingml/2006/main">
          <a:off x="4154735" y="14454"/>
          <a:ext cx="285265" cy="104140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0">
              <a:solidFill>
                <a:srgbClr val="FF0000"/>
              </a:solidFill>
            </a:rPr>
            <a:t>% </a:t>
          </a:r>
          <a:r>
            <a:rPr lang="sk-SK" sz="800" b="0">
              <a:solidFill>
                <a:srgbClr val="FF0000"/>
              </a:solidFill>
            </a:rPr>
            <a:t>č</a:t>
          </a:r>
          <a:r>
            <a:rPr lang="en-US" sz="800" b="0">
              <a:solidFill>
                <a:srgbClr val="FF0000"/>
              </a:solidFill>
            </a:rPr>
            <a:t>erpania </a:t>
          </a:r>
          <a:r>
            <a:rPr lang="sk-SK" sz="800" b="0">
              <a:solidFill>
                <a:srgbClr val="FF0000"/>
              </a:solidFill>
            </a:rPr>
            <a:t>2</a:t>
          </a:r>
          <a:r>
            <a:rPr lang="en-US" sz="800" b="0">
              <a:solidFill>
                <a:srgbClr val="FF0000"/>
              </a:solidFill>
            </a:rPr>
            <a:t> </a:t>
          </a:r>
          <a:r>
            <a:rPr lang="sk-SK" sz="800" b="0">
              <a:solidFill>
                <a:srgbClr val="FF0000"/>
              </a:solidFill>
            </a:rPr>
            <a:t>569 </a:t>
          </a:r>
          <a:r>
            <a:rPr lang="en-US" sz="800" b="0">
              <a:solidFill>
                <a:srgbClr val="FF0000"/>
              </a:solidFill>
            </a:rPr>
            <a:t>%</a:t>
          </a:r>
          <a:endParaRPr lang="sk-SK" sz="800" b="0">
            <a:solidFill>
              <a:srgbClr val="FF0000"/>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0.0882</cdr:x>
      <cdr:y>0.91775</cdr:y>
    </cdr:from>
    <cdr:to>
      <cdr:x>0.96219</cdr:x>
      <cdr:y>0.98305</cdr:y>
    </cdr:to>
    <cdr:sp macro="" textlink="">
      <cdr:nvSpPr>
        <cdr:cNvPr id="2" name="BlokTextu 1"/>
        <cdr:cNvSpPr txBox="1"/>
      </cdr:nvSpPr>
      <cdr:spPr>
        <a:xfrm xmlns:a="http://schemas.openxmlformats.org/drawingml/2006/main">
          <a:off x="508000" y="4038600"/>
          <a:ext cx="5033685" cy="2873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900">
              <a:solidFill>
                <a:schemeClr val="accent1"/>
              </a:solidFill>
              <a:effectLst/>
              <a:latin typeface="Segoe UI" panose="020B0502040204020203" pitchFamily="34" charset="0"/>
              <a:ea typeface="+mn-ea"/>
              <a:cs typeface="Segoe UI" panose="020B0502040204020203" pitchFamily="34" charset="0"/>
            </a:rPr>
            <a:t>▲      </a:t>
          </a:r>
          <a:r>
            <a:rPr lang="sk-SK" sz="900" baseline="0">
              <a:solidFill>
                <a:schemeClr val="accent1"/>
              </a:solidFill>
              <a:effectLst/>
              <a:latin typeface="Segoe UI" panose="020B0502040204020203" pitchFamily="34" charset="0"/>
              <a:ea typeface="+mn-ea"/>
              <a:cs typeface="Segoe UI" panose="020B0502040204020203" pitchFamily="34" charset="0"/>
            </a:rPr>
            <a:t> </a:t>
          </a:r>
          <a:r>
            <a:rPr lang="sk-SK" sz="900">
              <a:solidFill>
                <a:schemeClr val="accent1"/>
              </a:solidFill>
              <a:effectLst/>
              <a:latin typeface="Segoe UI" panose="020B0502040204020203" pitchFamily="34" charset="0"/>
              <a:ea typeface="+mn-ea"/>
              <a:cs typeface="Segoe UI" panose="020B0502040204020203" pitchFamily="34" charset="0"/>
            </a:rPr>
            <a:t>stav k 31.12.2021                                                     </a:t>
          </a:r>
          <a:r>
            <a:rPr lang="sk-SK" sz="900">
              <a:solidFill>
                <a:schemeClr val="accent1"/>
              </a:solidFill>
              <a:latin typeface="Segoe UI" panose="020B0502040204020203" pitchFamily="34" charset="0"/>
              <a:cs typeface="Segoe UI" panose="020B0502040204020203" pitchFamily="34" charset="0"/>
            </a:rPr>
            <a:t>●     stav k 31.12.2022  </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FA9320A03148E98EF733F7A917AECF"/>
        <w:category>
          <w:name w:val="Všeobecné"/>
          <w:gallery w:val="placeholder"/>
        </w:category>
        <w:types>
          <w:type w:val="bbPlcHdr"/>
        </w:types>
        <w:behaviors>
          <w:behavior w:val="content"/>
        </w:behaviors>
        <w:guid w:val="{EAF649BF-7601-4D14-95D7-FEA20E0734E3}"/>
      </w:docPartPr>
      <w:docPartBody>
        <w:p w:rsidR="00F869BD" w:rsidRDefault="000B5EA4">
          <w:pPr>
            <w:pStyle w:val="4CFA9320A03148E98EF733F7A917AECF"/>
          </w:pPr>
          <w:r w:rsidRPr="00F539EB">
            <w:t>Názov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ontserrat">
    <w:panose1 w:val="00000500000000000000"/>
    <w:charset w:val="EE"/>
    <w:family w:val="auto"/>
    <w:pitch w:val="variable"/>
    <w:sig w:usb0="2000020F" w:usb1="00000003" w:usb2="00000000" w:usb3="00000000" w:csb0="00000197" w:csb1="00000000"/>
  </w:font>
  <w:font w:name="Ebrima">
    <w:panose1 w:val="02000000000000000000"/>
    <w:charset w:val="EE"/>
    <w:family w:val="auto"/>
    <w:pitch w:val="variable"/>
    <w:sig w:usb0="A000005F" w:usb1="02000041" w:usb2="000008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A4"/>
    <w:rsid w:val="000155BB"/>
    <w:rsid w:val="00057075"/>
    <w:rsid w:val="000662D0"/>
    <w:rsid w:val="00074CD0"/>
    <w:rsid w:val="000757F3"/>
    <w:rsid w:val="00084DC9"/>
    <w:rsid w:val="00090411"/>
    <w:rsid w:val="000B5EA4"/>
    <w:rsid w:val="000E0014"/>
    <w:rsid w:val="001068C9"/>
    <w:rsid w:val="00135665"/>
    <w:rsid w:val="001510FC"/>
    <w:rsid w:val="001553B3"/>
    <w:rsid w:val="00161F43"/>
    <w:rsid w:val="001702EC"/>
    <w:rsid w:val="00173F9A"/>
    <w:rsid w:val="00182719"/>
    <w:rsid w:val="001A2E48"/>
    <w:rsid w:val="001A5900"/>
    <w:rsid w:val="001C3668"/>
    <w:rsid w:val="001C4599"/>
    <w:rsid w:val="001C7FFB"/>
    <w:rsid w:val="001D407D"/>
    <w:rsid w:val="001D6AB0"/>
    <w:rsid w:val="001F0BD9"/>
    <w:rsid w:val="00232571"/>
    <w:rsid w:val="002611D6"/>
    <w:rsid w:val="002636A4"/>
    <w:rsid w:val="0027791D"/>
    <w:rsid w:val="00292AE7"/>
    <w:rsid w:val="002A283B"/>
    <w:rsid w:val="002C0C35"/>
    <w:rsid w:val="003118CD"/>
    <w:rsid w:val="0032329F"/>
    <w:rsid w:val="00334CD9"/>
    <w:rsid w:val="0035249B"/>
    <w:rsid w:val="00366538"/>
    <w:rsid w:val="003737E2"/>
    <w:rsid w:val="0039618E"/>
    <w:rsid w:val="0040595D"/>
    <w:rsid w:val="00417AA4"/>
    <w:rsid w:val="00422D76"/>
    <w:rsid w:val="0042491C"/>
    <w:rsid w:val="00425470"/>
    <w:rsid w:val="0042620F"/>
    <w:rsid w:val="004E1FCD"/>
    <w:rsid w:val="004E364E"/>
    <w:rsid w:val="004F277A"/>
    <w:rsid w:val="005318E5"/>
    <w:rsid w:val="00542D8C"/>
    <w:rsid w:val="00574A98"/>
    <w:rsid w:val="00581C8A"/>
    <w:rsid w:val="0059222F"/>
    <w:rsid w:val="005A6CD2"/>
    <w:rsid w:val="005A7CFF"/>
    <w:rsid w:val="005C05BA"/>
    <w:rsid w:val="005D5943"/>
    <w:rsid w:val="00617F99"/>
    <w:rsid w:val="00633546"/>
    <w:rsid w:val="00647234"/>
    <w:rsid w:val="00652B14"/>
    <w:rsid w:val="00664ED5"/>
    <w:rsid w:val="006826E8"/>
    <w:rsid w:val="006850A5"/>
    <w:rsid w:val="00693988"/>
    <w:rsid w:val="006B5F9E"/>
    <w:rsid w:val="006C1D70"/>
    <w:rsid w:val="007153BF"/>
    <w:rsid w:val="00765C74"/>
    <w:rsid w:val="007703C8"/>
    <w:rsid w:val="00771B8A"/>
    <w:rsid w:val="00785750"/>
    <w:rsid w:val="007A4FCA"/>
    <w:rsid w:val="007D13D5"/>
    <w:rsid w:val="007F1475"/>
    <w:rsid w:val="0082313E"/>
    <w:rsid w:val="00830374"/>
    <w:rsid w:val="008317C9"/>
    <w:rsid w:val="00854BE8"/>
    <w:rsid w:val="00857BE3"/>
    <w:rsid w:val="0086424E"/>
    <w:rsid w:val="0086572A"/>
    <w:rsid w:val="00874A05"/>
    <w:rsid w:val="00875292"/>
    <w:rsid w:val="00893148"/>
    <w:rsid w:val="008A3A6F"/>
    <w:rsid w:val="008A4B3A"/>
    <w:rsid w:val="008B771C"/>
    <w:rsid w:val="008C2469"/>
    <w:rsid w:val="008D3958"/>
    <w:rsid w:val="008E1B2D"/>
    <w:rsid w:val="008E6453"/>
    <w:rsid w:val="00903514"/>
    <w:rsid w:val="00914754"/>
    <w:rsid w:val="00934470"/>
    <w:rsid w:val="00967812"/>
    <w:rsid w:val="009779C3"/>
    <w:rsid w:val="00984A3D"/>
    <w:rsid w:val="00996F0F"/>
    <w:rsid w:val="009B5CFD"/>
    <w:rsid w:val="009B7235"/>
    <w:rsid w:val="009F3446"/>
    <w:rsid w:val="00A4130A"/>
    <w:rsid w:val="00A43C2B"/>
    <w:rsid w:val="00A51F3C"/>
    <w:rsid w:val="00A535C9"/>
    <w:rsid w:val="00A73A88"/>
    <w:rsid w:val="00A73C83"/>
    <w:rsid w:val="00A8256A"/>
    <w:rsid w:val="00A97925"/>
    <w:rsid w:val="00AA6427"/>
    <w:rsid w:val="00AC0E09"/>
    <w:rsid w:val="00AF1584"/>
    <w:rsid w:val="00B22B71"/>
    <w:rsid w:val="00B648A8"/>
    <w:rsid w:val="00B73C80"/>
    <w:rsid w:val="00B76AA4"/>
    <w:rsid w:val="00B81EF4"/>
    <w:rsid w:val="00BA7077"/>
    <w:rsid w:val="00BB308D"/>
    <w:rsid w:val="00BC5436"/>
    <w:rsid w:val="00BC5B29"/>
    <w:rsid w:val="00BD40E4"/>
    <w:rsid w:val="00BF19D2"/>
    <w:rsid w:val="00C060B5"/>
    <w:rsid w:val="00C379C5"/>
    <w:rsid w:val="00C55C53"/>
    <w:rsid w:val="00C60099"/>
    <w:rsid w:val="00CC0DE8"/>
    <w:rsid w:val="00CC199A"/>
    <w:rsid w:val="00CC2EDC"/>
    <w:rsid w:val="00CD6F64"/>
    <w:rsid w:val="00CD74B6"/>
    <w:rsid w:val="00CE5507"/>
    <w:rsid w:val="00CE6B8B"/>
    <w:rsid w:val="00D2242A"/>
    <w:rsid w:val="00D30162"/>
    <w:rsid w:val="00DF0F28"/>
    <w:rsid w:val="00DF6948"/>
    <w:rsid w:val="00E20D93"/>
    <w:rsid w:val="00E33D43"/>
    <w:rsid w:val="00E42234"/>
    <w:rsid w:val="00E63FA6"/>
    <w:rsid w:val="00E81E61"/>
    <w:rsid w:val="00E9217C"/>
    <w:rsid w:val="00E94C6C"/>
    <w:rsid w:val="00EA3C7A"/>
    <w:rsid w:val="00EB6F97"/>
    <w:rsid w:val="00EB7026"/>
    <w:rsid w:val="00EC3E2D"/>
    <w:rsid w:val="00ED18B2"/>
    <w:rsid w:val="00ED2999"/>
    <w:rsid w:val="00EE76E0"/>
    <w:rsid w:val="00EF49B7"/>
    <w:rsid w:val="00F219F2"/>
    <w:rsid w:val="00F34EAB"/>
    <w:rsid w:val="00F357CC"/>
    <w:rsid w:val="00F37566"/>
    <w:rsid w:val="00F46DEB"/>
    <w:rsid w:val="00F51AB5"/>
    <w:rsid w:val="00F869BD"/>
    <w:rsid w:val="00FD3FB1"/>
    <w:rsid w:val="00FD704C"/>
    <w:rsid w:val="00FD7993"/>
    <w:rsid w:val="00FF3C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4CFA9320A03148E98EF733F7A917AECF">
    <w:name w:val="4CFA9320A03148E98EF733F7A917AECF"/>
  </w:style>
  <w:style w:type="paragraph" w:customStyle="1" w:styleId="7C6366C82C584D8FA858719D311CFF6A">
    <w:name w:val="7C6366C82C584D8FA858719D311CFF6A"/>
    <w:rsid w:val="002611D6"/>
  </w:style>
  <w:style w:type="paragraph" w:customStyle="1" w:styleId="19A6733DCC0946EBB7675A731F83BA7B">
    <w:name w:val="19A6733DCC0946EBB7675A731F83BA7B"/>
    <w:rsid w:val="002611D6"/>
  </w:style>
  <w:style w:type="paragraph" w:customStyle="1" w:styleId="2B49A7EB9CD846E49B8AA4C0750B68CC">
    <w:name w:val="2B49A7EB9CD846E49B8AA4C0750B68CC"/>
    <w:rsid w:val="002611D6"/>
  </w:style>
  <w:style w:type="paragraph" w:customStyle="1" w:styleId="027BFAEB5B5A4654A10A0D628F9E51DA">
    <w:name w:val="027BFAEB5B5A4654A10A0D628F9E51DA"/>
    <w:rsid w:val="002611D6"/>
  </w:style>
  <w:style w:type="paragraph" w:customStyle="1" w:styleId="D3BCA478441348B08E29E312997591DE">
    <w:name w:val="D3BCA478441348B08E29E312997591DE"/>
    <w:rsid w:val="002611D6"/>
  </w:style>
  <w:style w:type="paragraph" w:customStyle="1" w:styleId="0F9D0EEE52FF4AB8BD5155973D8DD1DE">
    <w:name w:val="0F9D0EEE52FF4AB8BD5155973D8DD1DE"/>
    <w:rsid w:val="00261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NKÚ">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NKÚ SR">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NKÚ">
    <a:dk1>
      <a:sysClr val="windowText" lastClr="000000"/>
    </a:dk1>
    <a:lt1>
      <a:sysClr val="window" lastClr="FFFFFF"/>
    </a:lt1>
    <a:dk2>
      <a:srgbClr val="314364"/>
    </a:dk2>
    <a:lt2>
      <a:srgbClr val="9CB9EC"/>
    </a:lt2>
    <a:accent1>
      <a:srgbClr val="314364"/>
    </a:accent1>
    <a:accent2>
      <a:srgbClr val="9CB9EC"/>
    </a:accent2>
    <a:accent3>
      <a:srgbClr val="6D87B7"/>
    </a:accent3>
    <a:accent4>
      <a:srgbClr val="B3BECF"/>
    </a:accent4>
    <a:accent5>
      <a:srgbClr val="B7706D"/>
    </a:accent5>
    <a:accent6>
      <a:srgbClr val="F55647"/>
    </a:accent6>
    <a:hlink>
      <a:srgbClr val="314364"/>
    </a:hlink>
    <a:folHlink>
      <a:srgbClr val="3143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81A48-F68D-4470-A6CE-F183ED038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Stanovisko OSA</Template>
  <TotalTime>129</TotalTime>
  <Pages>1</Pages>
  <Words>22174</Words>
  <Characters>126392</Characters>
  <Application>Microsoft Office Word</Application>
  <DocSecurity>0</DocSecurity>
  <Lines>1053</Lines>
  <Paragraphs>296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Onisik Milan</dc:creator>
  <cp:keywords/>
  <dc:description/>
  <cp:lastModifiedBy>Onisik Milan</cp:lastModifiedBy>
  <cp:revision>41</cp:revision>
  <cp:lastPrinted>2023-05-31T08:26:00Z</cp:lastPrinted>
  <dcterms:created xsi:type="dcterms:W3CDTF">2023-05-31T05:31:00Z</dcterms:created>
  <dcterms:modified xsi:type="dcterms:W3CDTF">2023-05-31T08:26:00Z</dcterms:modified>
</cp:coreProperties>
</file>