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9BA" w:rsidRPr="00F71166" w:rsidRDefault="00E16270" w:rsidP="001A7716">
      <w:pPr>
        <w:jc w:val="both"/>
        <w:rPr>
          <w:rFonts w:ascii="Book Antiqua" w:hAnsi="Book Antiqua" w:cs="Arial"/>
          <w:b/>
        </w:rPr>
      </w:pPr>
      <w:r w:rsidRPr="00F71166">
        <w:rPr>
          <w:rFonts w:ascii="Book Antiqua" w:hAnsi="Book Antiqua" w:cs="Arial"/>
          <w:b/>
        </w:rPr>
        <w:t>Dôvodová správa</w:t>
      </w:r>
    </w:p>
    <w:p w:rsidR="00F319BA" w:rsidRPr="00F71166" w:rsidRDefault="00E16270" w:rsidP="001A7716">
      <w:pPr>
        <w:numPr>
          <w:ilvl w:val="0"/>
          <w:numId w:val="3"/>
        </w:numPr>
        <w:ind w:left="270" w:hanging="180"/>
        <w:jc w:val="both"/>
        <w:rPr>
          <w:rFonts w:ascii="Book Antiqua" w:hAnsi="Book Antiqua" w:cs="Arial"/>
          <w:b/>
          <w:i/>
        </w:rPr>
      </w:pPr>
      <w:r w:rsidRPr="00F71166">
        <w:rPr>
          <w:rFonts w:ascii="Book Antiqua" w:hAnsi="Book Antiqua" w:cs="Arial"/>
          <w:b/>
          <w:i/>
        </w:rPr>
        <w:t>Všeobecná časť</w:t>
      </w:r>
    </w:p>
    <w:p w:rsidR="00F319BA" w:rsidRPr="00F71166" w:rsidRDefault="00902CAE" w:rsidP="001A7716">
      <w:pPr>
        <w:ind w:left="360"/>
        <w:jc w:val="both"/>
        <w:rPr>
          <w:rFonts w:ascii="Book Antiqua" w:hAnsi="Book Antiqua" w:cs="Arial"/>
        </w:rPr>
      </w:pPr>
      <w:r w:rsidRPr="00F71166">
        <w:rPr>
          <w:rFonts w:ascii="Book Antiqua" w:hAnsi="Book Antiqua"/>
          <w:noProof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-.35pt;margin-top:2.75pt;width:45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aF0Hg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FXiCkSId&#10;SPR88DpWRg9hPL1xOUSVamdDg/SkXs2Lpt8dUrpsiWp4DH47G8jNQkbyLiVcnIEi+/6zZhBDAD/O&#10;6lTbLkDCFNApSnK+ScJPHlH4OHt8XMxSUI4OvoTkQ6Kxzn/iukPBKLDzloim9aVWCoTXNotlyPHF&#10;+UCL5ENCqKr0VkgZ9ZcK9QVeziazmOC0FCw4Q5izzb6UFh1J2KD4iz2C5z7M6oNiEazlhG2utidC&#10;XmwoLlXAg8aAztW6rMiPZbrcLDaL6Wg6mW9G07SqRs/bcjqab7PHWfVQlWWV/QzUsmneCsa4CuyG&#10;dc2mf7cO14dzWbTbwt7GkLxHj/MCssN/JB2VDWJe1mKv2XlnB8VhQ2Pw9TWFJ3B/B/v+za9/AQAA&#10;//8DAFBLAwQUAAYACAAAACEAOu+oydoAAAAFAQAADwAAAGRycy9kb3ducmV2LnhtbEyOTU/DMBBE&#10;70j9D9YicUGt3aIACdlUVSUOHPshcXXjJQnE6yh2mtBfj8sFjqMZvXn5erKtOFPvG8cIy4UCQVw6&#10;03CFcDy8zp9B+KDZ6NYxIXyTh3Uxu8l1ZtzIOzrvQyUihH2mEeoQukxKX9ZktV+4jjh2H663OsTY&#10;V9L0eoxw28qVUo/S6objQ6072tZUfu0Hi0B+SJZqk9rq+HYZ799Xl8+xOyDe3U6bFxCBpvA3hqt+&#10;VIciOp3cwMaLFmH+FIcISQIitqlKH0CcfrMscvnfvvgBAAD//wMAUEsBAi0AFAAGAAgAAAAhALaD&#10;OJL+AAAA4QEAABMAAAAAAAAAAAAAAAAAAAAAAFtDb250ZW50X1R5cGVzXS54bWxQSwECLQAUAAYA&#10;CAAAACEAOP0h/9YAAACUAQAACwAAAAAAAAAAAAAAAAAvAQAAX3JlbHMvLnJlbHNQSwECLQAUAAYA&#10;CAAAACEAHz2hdB4CAAA7BAAADgAAAAAAAAAAAAAAAAAuAgAAZHJzL2Uyb0RvYy54bWxQSwECLQAU&#10;AAYACAAAACEAOu+oydoAAAAFAQAADwAAAAAAAAAAAAAAAAB4BAAAZHJzL2Rvd25yZXYueG1sUEsF&#10;BgAAAAAEAAQA8wAAAH8FAAAAAA==&#10;"/>
        </w:pict>
      </w:r>
    </w:p>
    <w:p w:rsidR="00534CA8" w:rsidRPr="00F71166" w:rsidRDefault="000D7B3C" w:rsidP="008B3422">
      <w:pPr>
        <w:ind w:firstLine="708"/>
        <w:jc w:val="both"/>
        <w:rPr>
          <w:rFonts w:ascii="Book Antiqua" w:hAnsi="Book Antiqua" w:cs="Book Antiqua"/>
        </w:rPr>
      </w:pPr>
      <w:r w:rsidRPr="00F71166">
        <w:rPr>
          <w:rFonts w:ascii="Book Antiqua" w:hAnsi="Book Antiqua" w:cs="Book Antiqua"/>
        </w:rPr>
        <w:t>Poslanec</w:t>
      </w:r>
      <w:r w:rsidR="00E16270" w:rsidRPr="00F71166">
        <w:rPr>
          <w:rFonts w:ascii="Book Antiqua" w:hAnsi="Book Antiqua" w:cs="Book Antiqua"/>
        </w:rPr>
        <w:t xml:space="preserve"> za </w:t>
      </w:r>
      <w:r w:rsidR="00D4292D" w:rsidRPr="00F71166">
        <w:rPr>
          <w:rFonts w:ascii="Book Antiqua" w:hAnsi="Book Antiqua" w:cs="Book Antiqua"/>
        </w:rPr>
        <w:t>Ľudovú stranu</w:t>
      </w:r>
      <w:r w:rsidR="001E3480" w:rsidRPr="00F71166">
        <w:rPr>
          <w:rFonts w:ascii="Book Antiqua" w:hAnsi="Book Antiqua" w:cs="Book Antiqua"/>
        </w:rPr>
        <w:t xml:space="preserve"> </w:t>
      </w:r>
      <w:r w:rsidR="00E16270" w:rsidRPr="00F71166">
        <w:rPr>
          <w:rFonts w:ascii="Book Antiqua" w:hAnsi="Book Antiqua" w:cs="Book Antiqua"/>
        </w:rPr>
        <w:t>Naše Slovensko Martin Beluský</w:t>
      </w:r>
      <w:r w:rsidR="003778B8" w:rsidRPr="00F71166">
        <w:rPr>
          <w:rFonts w:ascii="Book Antiqua" w:hAnsi="Book Antiqua" w:cs="Book Antiqua"/>
        </w:rPr>
        <w:t xml:space="preserve"> </w:t>
      </w:r>
      <w:r w:rsidRPr="00F71166">
        <w:rPr>
          <w:rFonts w:ascii="Book Antiqua" w:hAnsi="Book Antiqua" w:cs="Book Antiqua"/>
        </w:rPr>
        <w:t>predkladá</w:t>
      </w:r>
      <w:r w:rsidR="00E16270" w:rsidRPr="00F71166">
        <w:rPr>
          <w:rFonts w:ascii="Book Antiqua" w:hAnsi="Book Antiqua" w:cs="Book Antiqua"/>
        </w:rPr>
        <w:t xml:space="preserve"> do Národnej rady Slovenskej republiky návrh zákona, ktorým sa mení a dopĺňa zákon </w:t>
      </w:r>
      <w:r w:rsidR="0017220B" w:rsidRPr="0017220B">
        <w:rPr>
          <w:rFonts w:ascii="Book Antiqua" w:hAnsi="Book Antiqua" w:cs="Book Antiqua"/>
        </w:rPr>
        <w:t>č. 222/2004 Z. z. o dani z pridanej hodnoty</w:t>
      </w:r>
      <w:r w:rsidR="0017220B">
        <w:rPr>
          <w:rFonts w:ascii="Book Antiqua" w:hAnsi="Book Antiqua" w:cs="Book Antiqua"/>
        </w:rPr>
        <w:t>.</w:t>
      </w:r>
    </w:p>
    <w:p w:rsidR="00D4292D" w:rsidRPr="00F71166" w:rsidRDefault="002F1BB6" w:rsidP="008B3422">
      <w:pPr>
        <w:ind w:firstLine="708"/>
        <w:jc w:val="both"/>
        <w:rPr>
          <w:rFonts w:ascii="Book Antiqua" w:hAnsi="Book Antiqua" w:cs="Book Antiqua"/>
        </w:rPr>
      </w:pPr>
      <w:r w:rsidRPr="00F71166">
        <w:rPr>
          <w:rFonts w:ascii="Book Antiqua" w:hAnsi="Book Antiqua" w:cs="Book Antiqua"/>
          <w:b/>
        </w:rPr>
        <w:t>Základným c</w:t>
      </w:r>
      <w:r w:rsidR="00D4292D" w:rsidRPr="00F71166">
        <w:rPr>
          <w:rFonts w:ascii="Book Antiqua" w:hAnsi="Book Antiqua" w:cs="Book Antiqua"/>
          <w:b/>
        </w:rPr>
        <w:t>ieľom predloženého návrhu zákona je</w:t>
      </w:r>
      <w:r w:rsidRPr="00F71166">
        <w:rPr>
          <w:rFonts w:ascii="Book Antiqua" w:hAnsi="Book Antiqua" w:cs="Book Antiqua"/>
          <w:b/>
        </w:rPr>
        <w:t xml:space="preserve"> </w:t>
      </w:r>
      <w:r w:rsidR="002C6E5C" w:rsidRPr="00F71166">
        <w:rPr>
          <w:rFonts w:ascii="Book Antiqua" w:hAnsi="Book Antiqua" w:cs="Book Antiqua"/>
          <w:b/>
        </w:rPr>
        <w:t xml:space="preserve">eliminovať daňové úniky pri výbere DPH a </w:t>
      </w:r>
      <w:r w:rsidRPr="00F71166">
        <w:rPr>
          <w:rFonts w:ascii="Book Antiqua" w:hAnsi="Book Antiqua" w:cs="Book Antiqua"/>
          <w:b/>
        </w:rPr>
        <w:t>znížiť sadzbu DPH zo súčasných 20 % na navrhovaných 15 %.</w:t>
      </w:r>
    </w:p>
    <w:p w:rsidR="00A41960" w:rsidRPr="00F71166" w:rsidRDefault="00A41960" w:rsidP="00A41960">
      <w:pPr>
        <w:ind w:firstLine="708"/>
        <w:jc w:val="both"/>
        <w:rPr>
          <w:rFonts w:ascii="Book Antiqua" w:hAnsi="Book Antiqua" w:cs="Book Antiqua"/>
        </w:rPr>
      </w:pPr>
      <w:r w:rsidRPr="00F71166">
        <w:rPr>
          <w:rFonts w:ascii="Book Antiqua" w:hAnsi="Book Antiqua" w:cs="Book Antiqua"/>
        </w:rPr>
        <w:t>Systém fungovania DPH je pomerne náchylný na daňové úniky, čo DPH v kombinácii s vysokým objemom domácich a medzinárodných transakcií radí medzi najrizikovejšie dane.</w:t>
      </w:r>
      <w:r w:rsidR="00C56EFC" w:rsidRPr="00F71166">
        <w:rPr>
          <w:rFonts w:ascii="Book Antiqua" w:hAnsi="Book Antiqua" w:cs="Book Antiqua"/>
        </w:rPr>
        <w:t xml:space="preserve"> </w:t>
      </w:r>
      <w:r w:rsidR="00F54A61" w:rsidRPr="00F71166">
        <w:rPr>
          <w:rFonts w:ascii="Book Antiqua" w:hAnsi="Book Antiqua" w:cs="Book Antiqua"/>
        </w:rPr>
        <w:t xml:space="preserve">V ideálnom systéme by DPH nemala </w:t>
      </w:r>
      <w:r w:rsidR="0006453D" w:rsidRPr="00F71166">
        <w:rPr>
          <w:rFonts w:ascii="Book Antiqua" w:hAnsi="Book Antiqua" w:cs="Book Antiqua"/>
        </w:rPr>
        <w:t xml:space="preserve">vôbec </w:t>
      </w:r>
      <w:r w:rsidR="00F54A61" w:rsidRPr="00F71166">
        <w:rPr>
          <w:rFonts w:ascii="Book Antiqua" w:hAnsi="Book Antiqua" w:cs="Book Antiqua"/>
        </w:rPr>
        <w:t>existovať</w:t>
      </w:r>
      <w:r w:rsidR="0006453D" w:rsidRPr="00F71166">
        <w:rPr>
          <w:rFonts w:ascii="Book Antiqua" w:hAnsi="Book Antiqua" w:cs="Book Antiqua"/>
        </w:rPr>
        <w:t>, keďže si obyvatelia nakupujú tovary a služby za už zdanené peniaze. DPH je preto dvojitým zdanením. Ďalšou nevýhodou je, že cez DPH sa robí množstvo podvodov a štát každý rok vyberie o zhruba 20 % menej (viac ako 1,5 miliardy eur)</w:t>
      </w:r>
      <w:r w:rsidR="006B5041" w:rsidRPr="00F71166">
        <w:rPr>
          <w:rFonts w:ascii="Book Antiqua" w:hAnsi="Book Antiqua" w:cs="Book Antiqua"/>
        </w:rPr>
        <w:t>.</w:t>
      </w:r>
    </w:p>
    <w:p w:rsidR="006B5041" w:rsidRPr="00F71166" w:rsidRDefault="006B5041" w:rsidP="006B5041">
      <w:pPr>
        <w:ind w:firstLine="708"/>
        <w:jc w:val="both"/>
        <w:rPr>
          <w:rFonts w:ascii="Book Antiqua" w:hAnsi="Book Antiqua" w:cs="Book Antiqua"/>
        </w:rPr>
      </w:pPr>
      <w:r w:rsidRPr="00F71166">
        <w:rPr>
          <w:rFonts w:ascii="Book Antiqua" w:hAnsi="Book Antiqua" w:cs="Book Antiqua"/>
        </w:rPr>
        <w:t>V súčasnom s</w:t>
      </w:r>
      <w:r w:rsidRPr="00F71166">
        <w:rPr>
          <w:rFonts w:ascii="Book Antiqua" w:hAnsi="Book Antiqua" w:cs="Book Antiqua"/>
        </w:rPr>
        <w:t xml:space="preserve">ystém DPH funguje tak, že konečný spotrebiteľ daň predpísanú pre daný výrobok, resp. službu zaplatí v cene výrobku, ale daň štátu v konečnom dôsledku „zaňho“ odvedú všetci „členovia“ distribučného kanála prostredníctvom </w:t>
      </w:r>
      <w:r w:rsidRPr="00F71166">
        <w:rPr>
          <w:rFonts w:ascii="Book Antiqua" w:hAnsi="Book Antiqua" w:cs="Book Antiqua"/>
        </w:rPr>
        <w:t xml:space="preserve">systému platieb. </w:t>
      </w:r>
      <w:r w:rsidRPr="00F71166">
        <w:rPr>
          <w:rFonts w:ascii="Book Antiqua" w:hAnsi="Book Antiqua" w:cs="Book Antiqua"/>
        </w:rPr>
        <w:t>Ak napr</w:t>
      </w:r>
      <w:r w:rsidRPr="00F71166">
        <w:rPr>
          <w:rFonts w:ascii="Book Antiqua" w:hAnsi="Book Antiqua" w:cs="Book Antiqua"/>
        </w:rPr>
        <w:t xml:space="preserve">íklad koncový spotrebiteľ kúpi </w:t>
      </w:r>
      <w:r w:rsidRPr="00F71166">
        <w:rPr>
          <w:rFonts w:ascii="Book Antiqua" w:hAnsi="Book Antiqua" w:cs="Book Antiqua"/>
        </w:rPr>
        <w:t>u maloobchodníka predmet za 3 000 EUR (vrátane 20 %DPH vo výške 500 EUR, teda 2500 bez DPH + 20% = 3 000 EUR), tak uvedených 500 EUR fyzicky zaplatí koncový spotrebiteľ maloobchodníkovi, ale do štátneho rozpočtu túto sumu (500 EUR) fyzicky odvedú v konečnom dôsledku spolu členovia distribučného kanála (napríklad výrobca + veľkoobchodník + maloobchodník) ako tzv. platitelia dane rozličnými predpísanými platbami.</w:t>
      </w:r>
    </w:p>
    <w:p w:rsidR="006B5041" w:rsidRPr="00F71166" w:rsidRDefault="006B5041" w:rsidP="006B5041">
      <w:pPr>
        <w:ind w:firstLine="708"/>
        <w:jc w:val="both"/>
        <w:rPr>
          <w:rFonts w:ascii="Book Antiqua" w:hAnsi="Book Antiqua" w:cs="Book Antiqua"/>
        </w:rPr>
      </w:pPr>
      <w:r w:rsidRPr="00F71166">
        <w:rPr>
          <w:rFonts w:ascii="Book Antiqua" w:hAnsi="Book Antiqua" w:cs="Book Antiqua"/>
        </w:rPr>
        <w:t>Pri zjednodušenom pohľade sa touto daňou v konečnom dôsledku vždy zaťažuje hodnota (teda cena), o ktorú každý jednotlivý člen distribučného kanála zvýšil hodnotu (teda cenu), ktorú zaplatil predchádzajúcemu členovi distribučného kanála (napríklad veľkoobchodník maloobchodníkovi, keď mu predal daný predmet). Odtiaľ pochádza názov „daň z pridanej hodnoty“.</w:t>
      </w:r>
    </w:p>
    <w:p w:rsidR="006B5041" w:rsidRPr="00F71166" w:rsidRDefault="006B5041" w:rsidP="006B5041">
      <w:pPr>
        <w:ind w:firstLine="708"/>
        <w:jc w:val="both"/>
        <w:rPr>
          <w:rFonts w:ascii="Book Antiqua" w:hAnsi="Book Antiqua" w:cs="Book Antiqua"/>
        </w:rPr>
      </w:pPr>
      <w:r w:rsidRPr="00F71166">
        <w:rPr>
          <w:rFonts w:ascii="Book Antiqua" w:hAnsi="Book Antiqua" w:cs="Book Antiqua"/>
        </w:rPr>
        <w:t xml:space="preserve">Tento systém umožňuje dodávateľom žiadať o tzv. </w:t>
      </w:r>
      <w:proofErr w:type="spellStart"/>
      <w:r w:rsidRPr="00F71166">
        <w:rPr>
          <w:rFonts w:ascii="Book Antiqua" w:hAnsi="Book Antiqua" w:cs="Book Antiqua"/>
        </w:rPr>
        <w:t>vratky</w:t>
      </w:r>
      <w:proofErr w:type="spellEnd"/>
      <w:r w:rsidRPr="00F71166">
        <w:rPr>
          <w:rFonts w:ascii="Book Antiqua" w:hAnsi="Book Antiqua" w:cs="Book Antiqua"/>
        </w:rPr>
        <w:t xml:space="preserve"> DPH</w:t>
      </w:r>
      <w:r w:rsidR="00B920B3" w:rsidRPr="00F71166">
        <w:rPr>
          <w:rFonts w:ascii="Book Antiqua" w:hAnsi="Book Antiqua" w:cs="Book Antiqua"/>
        </w:rPr>
        <w:t xml:space="preserve"> (nadmerný odpočet), čo v praxi spôsobuje na jednej strane enormnú administratívnu záťaž vo forme kontroly zo strany štátu a na druhej strane sa tento inštitút využíva na nelegálne vyberanie peňazí zo štátneho rozpočtu.</w:t>
      </w:r>
    </w:p>
    <w:p w:rsidR="003D7C26" w:rsidRPr="00F71166" w:rsidRDefault="003D7C26" w:rsidP="00B920B3">
      <w:pPr>
        <w:jc w:val="both"/>
        <w:rPr>
          <w:rFonts w:ascii="Book Antiqua" w:hAnsi="Book Antiqua" w:cs="Arial"/>
          <w:b/>
        </w:rPr>
      </w:pPr>
    </w:p>
    <w:p w:rsidR="00B920B3" w:rsidRPr="00F71166" w:rsidRDefault="00B920B3" w:rsidP="00B920B3">
      <w:pPr>
        <w:jc w:val="both"/>
        <w:rPr>
          <w:rFonts w:ascii="Book Antiqua" w:hAnsi="Book Antiqua" w:cs="Arial"/>
          <w:b/>
        </w:rPr>
      </w:pPr>
      <w:r w:rsidRPr="00F71166">
        <w:rPr>
          <w:rFonts w:ascii="Book Antiqua" w:hAnsi="Book Antiqua" w:cs="Arial"/>
          <w:b/>
        </w:rPr>
        <w:t>Prenesenie daňovej povinnosti</w:t>
      </w:r>
    </w:p>
    <w:p w:rsidR="00B920B3" w:rsidRPr="00F71166" w:rsidRDefault="00B920B3" w:rsidP="00B920B3">
      <w:pPr>
        <w:ind w:firstLine="708"/>
        <w:jc w:val="both"/>
        <w:rPr>
          <w:rFonts w:ascii="Book Antiqua" w:hAnsi="Book Antiqua" w:cs="Arial"/>
        </w:rPr>
      </w:pPr>
      <w:r w:rsidRPr="00F71166">
        <w:rPr>
          <w:rFonts w:ascii="Book Antiqua" w:hAnsi="Book Antiqua" w:cs="Arial"/>
        </w:rPr>
        <w:t xml:space="preserve">Ako riešenie na elimináciu daňových podvodov sa používa inštitút prenesenia daňovej povinnosti (tzv. </w:t>
      </w:r>
      <w:proofErr w:type="spellStart"/>
      <w:r w:rsidRPr="00F71166">
        <w:rPr>
          <w:rFonts w:ascii="Book Antiqua" w:hAnsi="Book Antiqua" w:cs="Arial"/>
        </w:rPr>
        <w:t>reverse</w:t>
      </w:r>
      <w:proofErr w:type="spellEnd"/>
      <w:r w:rsidRPr="00F71166">
        <w:rPr>
          <w:rFonts w:ascii="Book Antiqua" w:hAnsi="Book Antiqua" w:cs="Arial"/>
        </w:rPr>
        <w:t xml:space="preserve"> </w:t>
      </w:r>
      <w:proofErr w:type="spellStart"/>
      <w:r w:rsidRPr="00F71166">
        <w:rPr>
          <w:rFonts w:ascii="Book Antiqua" w:hAnsi="Book Antiqua" w:cs="Arial"/>
        </w:rPr>
        <w:t>charge</w:t>
      </w:r>
      <w:proofErr w:type="spellEnd"/>
      <w:r w:rsidRPr="00F71166">
        <w:rPr>
          <w:rFonts w:ascii="Book Antiqua" w:hAnsi="Book Antiqua" w:cs="Arial"/>
        </w:rPr>
        <w:t xml:space="preserve">). Bývalá Matovičova aj Hegerova vláda si do PVV dala na strane 59 záväzok: „Zanalyzujeme možnosti zavedenia tzv. </w:t>
      </w:r>
      <w:proofErr w:type="spellStart"/>
      <w:r w:rsidRPr="00F71166">
        <w:rPr>
          <w:rFonts w:ascii="Book Antiqua" w:hAnsi="Book Antiqua" w:cs="Arial"/>
        </w:rPr>
        <w:t>reverse</w:t>
      </w:r>
      <w:proofErr w:type="spellEnd"/>
      <w:r w:rsidRPr="00F71166">
        <w:rPr>
          <w:rFonts w:ascii="Book Antiqua" w:hAnsi="Book Antiqua" w:cs="Arial"/>
        </w:rPr>
        <w:t xml:space="preserve"> </w:t>
      </w:r>
      <w:proofErr w:type="spellStart"/>
      <w:r w:rsidRPr="00F71166">
        <w:rPr>
          <w:rFonts w:ascii="Book Antiqua" w:hAnsi="Book Antiqua" w:cs="Arial"/>
        </w:rPr>
        <w:t>charge</w:t>
      </w:r>
      <w:proofErr w:type="spellEnd"/>
      <w:r w:rsidRPr="00F71166">
        <w:rPr>
          <w:rFonts w:ascii="Book Antiqua" w:hAnsi="Book Antiqua" w:cs="Arial"/>
        </w:rPr>
        <w:t>.“, avšak reálne sa v tejto oblasti nič neurobilo.</w:t>
      </w:r>
    </w:p>
    <w:p w:rsidR="00B920B3" w:rsidRPr="00F71166" w:rsidRDefault="00B920B3" w:rsidP="00B920B3">
      <w:pPr>
        <w:ind w:firstLine="708"/>
        <w:jc w:val="both"/>
        <w:rPr>
          <w:rFonts w:ascii="Book Antiqua" w:hAnsi="Book Antiqua" w:cs="Arial"/>
        </w:rPr>
      </w:pPr>
      <w:r w:rsidRPr="00F71166">
        <w:rPr>
          <w:rFonts w:ascii="Book Antiqua" w:hAnsi="Book Antiqua" w:cs="Arial"/>
        </w:rPr>
        <w:lastRenderedPageBreak/>
        <w:t>V Slovenskej republik</w:t>
      </w:r>
      <w:r w:rsidR="005C708B" w:rsidRPr="00F71166">
        <w:rPr>
          <w:rFonts w:ascii="Book Antiqua" w:hAnsi="Book Antiqua" w:cs="Arial"/>
        </w:rPr>
        <w:t xml:space="preserve">e sa prenos daňovej povinnosti </w:t>
      </w:r>
      <w:r w:rsidRPr="00F71166">
        <w:rPr>
          <w:rFonts w:ascii="Book Antiqua" w:hAnsi="Book Antiqua" w:cs="Arial"/>
        </w:rPr>
        <w:t>týka iba tovarov a služieb uvedených v § 69 ods. 10 až 12 zákona č. 222/2004 Z. z. o dani z pridanej hodnoty v znení neskorších predpisov (ďalej „zákon o DPH“) s miestom dodania v tuzemsku, ak dodávateľ aj odberateľ tovaru alebo služby sú registrovanými platiteľmi dane v tuzemsku podľa § 4, § 4b, § 5 a § 6 zákona o DPH. Bol zavedený s cieľom eliminácie daňových podvodov pri obchodovaní s vybranými tovarmi a službami.</w:t>
      </w:r>
    </w:p>
    <w:p w:rsidR="00B920B3" w:rsidRPr="00F71166" w:rsidRDefault="00B920B3" w:rsidP="00B920B3">
      <w:pPr>
        <w:ind w:firstLine="708"/>
        <w:jc w:val="both"/>
        <w:rPr>
          <w:rFonts w:ascii="Book Antiqua" w:hAnsi="Book Antiqua" w:cs="Arial"/>
        </w:rPr>
      </w:pPr>
      <w:r w:rsidRPr="00F71166">
        <w:rPr>
          <w:rFonts w:ascii="Book Antiqua" w:hAnsi="Book Antiqua" w:cs="Arial"/>
        </w:rPr>
        <w:t xml:space="preserve">Podľa všeobecného pravidla uvedeného v ustanovení § 69 ods. 1 zákona o DPH je pri dodaní tovaru alebo služby v tuzemsku povinný </w:t>
      </w:r>
      <w:r w:rsidRPr="00F71166">
        <w:rPr>
          <w:rFonts w:ascii="Book Antiqua" w:hAnsi="Book Antiqua" w:cs="Arial"/>
          <w:b/>
        </w:rPr>
        <w:t>platiť daň dodávateľ</w:t>
      </w:r>
      <w:r w:rsidRPr="00F71166">
        <w:rPr>
          <w:rFonts w:ascii="Book Antiqua" w:hAnsi="Book Antiqua" w:cs="Arial"/>
        </w:rPr>
        <w:t xml:space="preserve"> (bežný režim).</w:t>
      </w:r>
    </w:p>
    <w:p w:rsidR="00B920B3" w:rsidRPr="00F71166" w:rsidRDefault="00B920B3" w:rsidP="00B920B3">
      <w:pPr>
        <w:ind w:firstLine="708"/>
        <w:jc w:val="both"/>
        <w:rPr>
          <w:rFonts w:ascii="Book Antiqua" w:hAnsi="Book Antiqua" w:cs="Arial"/>
        </w:rPr>
      </w:pPr>
      <w:r w:rsidRPr="00F71166">
        <w:rPr>
          <w:rFonts w:ascii="Book Antiqua" w:hAnsi="Book Antiqua" w:cs="Arial"/>
        </w:rPr>
        <w:t xml:space="preserve">V režime prenosu daňovej povinnosti (výnimky zo všeobecného pravidla) je daňová povinnosť z dodania tovaru alebo služby v tuzemsku prenesená z dodávateľa tovaru alebo služby </w:t>
      </w:r>
      <w:r w:rsidRPr="00F71166">
        <w:rPr>
          <w:rFonts w:ascii="Book Antiqua" w:hAnsi="Book Antiqua" w:cs="Arial"/>
          <w:b/>
        </w:rPr>
        <w:t>na príjemcu plnenia</w:t>
      </w:r>
      <w:r w:rsidRPr="00F71166">
        <w:rPr>
          <w:rFonts w:ascii="Book Antiqua" w:hAnsi="Book Antiqua" w:cs="Arial"/>
        </w:rPr>
        <w:t>. V režime prenosu daňovej povinnosti si platiteľ dane môže po splnení podmienok uplatniť právo na odpočítanie dane podľa § 49 až § 51 zákona o DPH, ak ním uplatnenú daň uviedol v záznamoch na účely DPH podľa § 70 zákona o DPH.</w:t>
      </w:r>
    </w:p>
    <w:p w:rsidR="005C708B" w:rsidRPr="00F71166" w:rsidRDefault="00B920B3" w:rsidP="005C708B">
      <w:pPr>
        <w:ind w:firstLine="708"/>
        <w:jc w:val="both"/>
        <w:rPr>
          <w:rFonts w:ascii="Book Antiqua" w:hAnsi="Book Antiqua" w:cs="Arial"/>
        </w:rPr>
      </w:pPr>
      <w:r w:rsidRPr="00F71166">
        <w:rPr>
          <w:rFonts w:ascii="Book Antiqua" w:hAnsi="Book Antiqua" w:cs="Arial"/>
        </w:rPr>
        <w:t>Mechanizmus prenesenia daňovej povinnosti uvedený v článku 199 ods. 1 smernice EÚ o DPH je veľmi účinným a efektívnym nástrojom na boj proti podvodom v oblasti DPH. Vďaka zavedeniu mechanizmu prenesenia daňovej povinnosti sa podvody vo vymedzených sektoroch výrazne obmedzili alebo úplne zmizli. Tento názor vyjadrili vo svojich odpovediach aj oslovené zainteresované strany z podnikateľského prostredia.</w:t>
      </w:r>
    </w:p>
    <w:p w:rsidR="00B920B3" w:rsidRPr="00F71166" w:rsidRDefault="00B920B3" w:rsidP="005C708B">
      <w:pPr>
        <w:ind w:firstLine="708"/>
        <w:jc w:val="both"/>
        <w:rPr>
          <w:rFonts w:ascii="Book Antiqua" w:hAnsi="Book Antiqua" w:cs="Arial"/>
        </w:rPr>
      </w:pPr>
      <w:r w:rsidRPr="00F71166">
        <w:rPr>
          <w:rFonts w:ascii="Book Antiqua" w:hAnsi="Book Antiqua" w:cs="Arial"/>
        </w:rPr>
        <w:t>Štáty ju najčastejšie uplatňujú na tovary s náchylnosťou na odliv DPH, smernica flexibilne umožňuje rýchle a dočasné pridanie a odobranie tovarov aj na základe nízkeho výberu DPH v oblasti (napríklad Portugalsko vymedzilo na korok, drevo a šišky na dva roky (2020 – 2022) tzv. mechanizmus rýchlej reakcie, podľa článku 199b smernice o DPH).</w:t>
      </w:r>
    </w:p>
    <w:p w:rsidR="005C708B" w:rsidRPr="00F71166" w:rsidRDefault="005C708B" w:rsidP="000A1675">
      <w:pPr>
        <w:ind w:firstLine="708"/>
        <w:jc w:val="both"/>
        <w:rPr>
          <w:rFonts w:ascii="Book Antiqua" w:hAnsi="Book Antiqua" w:cs="Arial"/>
        </w:rPr>
      </w:pPr>
      <w:r w:rsidRPr="00F71166">
        <w:rPr>
          <w:rFonts w:ascii="Book Antiqua" w:hAnsi="Book Antiqua" w:cs="Arial"/>
        </w:rPr>
        <w:t xml:space="preserve">Z vyššie uvedených dôvodov </w:t>
      </w:r>
      <w:r w:rsidR="000A1675" w:rsidRPr="00F71166">
        <w:rPr>
          <w:rFonts w:ascii="Book Antiqua" w:hAnsi="Book Antiqua" w:cs="Arial"/>
          <w:b/>
        </w:rPr>
        <w:t xml:space="preserve">predkladateľ </w:t>
      </w:r>
      <w:r w:rsidRPr="00F71166">
        <w:rPr>
          <w:rFonts w:ascii="Book Antiqua" w:hAnsi="Book Antiqua" w:cs="Arial"/>
          <w:b/>
        </w:rPr>
        <w:t>na</w:t>
      </w:r>
      <w:r w:rsidR="000A1675" w:rsidRPr="00F71166">
        <w:rPr>
          <w:rFonts w:ascii="Book Antiqua" w:hAnsi="Book Antiqua" w:cs="Arial"/>
          <w:b/>
        </w:rPr>
        <w:t>vrhuje</w:t>
      </w:r>
      <w:r w:rsidRPr="00F71166">
        <w:rPr>
          <w:rFonts w:ascii="Book Antiqua" w:hAnsi="Book Antiqua" w:cs="Arial"/>
          <w:b/>
        </w:rPr>
        <w:t xml:space="preserve"> rozšíriť aplikáci</w:t>
      </w:r>
      <w:r w:rsidR="00FD2C36" w:rsidRPr="00F71166">
        <w:rPr>
          <w:rFonts w:ascii="Book Antiqua" w:hAnsi="Book Antiqua" w:cs="Arial"/>
          <w:b/>
        </w:rPr>
        <w:t xml:space="preserve">u prenosu daňovej povinnosti </w:t>
      </w:r>
      <w:r w:rsidRPr="00F71166">
        <w:rPr>
          <w:rFonts w:ascii="Book Antiqua" w:hAnsi="Book Antiqua" w:cs="Arial"/>
          <w:b/>
        </w:rPr>
        <w:t xml:space="preserve">na </w:t>
      </w:r>
      <w:r w:rsidR="000A1675" w:rsidRPr="00F71166">
        <w:rPr>
          <w:rFonts w:ascii="Book Antiqua" w:hAnsi="Book Antiqua" w:cs="Arial"/>
          <w:b/>
        </w:rPr>
        <w:t>všetky tovary a služby</w:t>
      </w:r>
      <w:r w:rsidRPr="00F71166">
        <w:rPr>
          <w:rFonts w:ascii="Book Antiqua" w:hAnsi="Book Antiqua" w:cs="Arial"/>
        </w:rPr>
        <w:t>, čiže z výnimky zo všeobecného pravidla urobiť „bežnú prax“. Na zamedzenie potenciálneho rizika využitia</w:t>
      </w:r>
      <w:r w:rsidR="000A1675" w:rsidRPr="00F71166">
        <w:rPr>
          <w:rFonts w:ascii="Book Antiqua" w:hAnsi="Book Antiqua" w:cs="Arial"/>
        </w:rPr>
        <w:t xml:space="preserve"> takýchto nákup</w:t>
      </w:r>
      <w:r w:rsidR="00B22B5F" w:rsidRPr="00F71166">
        <w:rPr>
          <w:rFonts w:ascii="Book Antiqua" w:hAnsi="Book Antiqua" w:cs="Arial"/>
        </w:rPr>
        <w:t>ov (s prenosom daňovej povinnosti</w:t>
      </w:r>
      <w:r w:rsidRPr="00F71166">
        <w:rPr>
          <w:rFonts w:ascii="Book Antiqua" w:hAnsi="Book Antiqua" w:cs="Arial"/>
        </w:rPr>
        <w:t>) na súkromnú konečnú spotrebu slúži predo</w:t>
      </w:r>
      <w:r w:rsidR="000A1675" w:rsidRPr="00F71166">
        <w:rPr>
          <w:rFonts w:ascii="Book Antiqua" w:hAnsi="Book Antiqua" w:cs="Arial"/>
        </w:rPr>
        <w:t>všetkým skutočnosť, že kupujúci</w:t>
      </w:r>
      <w:r w:rsidRPr="00F71166">
        <w:rPr>
          <w:rFonts w:ascii="Book Antiqua" w:hAnsi="Book Antiqua" w:cs="Arial"/>
        </w:rPr>
        <w:t xml:space="preserve"> deklaruje pri kúpe tovaru svoje IČ DPH platiteľa, t.</w:t>
      </w:r>
      <w:r w:rsidR="00B22B5F" w:rsidRPr="00F71166">
        <w:rPr>
          <w:rFonts w:ascii="Book Antiqua" w:hAnsi="Book Antiqua" w:cs="Arial"/>
        </w:rPr>
        <w:t xml:space="preserve"> </w:t>
      </w:r>
      <w:r w:rsidRPr="00F71166">
        <w:rPr>
          <w:rFonts w:ascii="Book Antiqua" w:hAnsi="Book Antiqua" w:cs="Arial"/>
        </w:rPr>
        <w:t>j. nejde o kúpu na jeho spotrebu, ale na jeho podnikanie.</w:t>
      </w:r>
    </w:p>
    <w:p w:rsidR="003D7C26" w:rsidRPr="00F71166" w:rsidRDefault="003D7C26" w:rsidP="005C708B">
      <w:pPr>
        <w:jc w:val="both"/>
        <w:rPr>
          <w:rFonts w:ascii="Book Antiqua" w:hAnsi="Book Antiqua" w:cs="Arial"/>
          <w:b/>
        </w:rPr>
      </w:pPr>
    </w:p>
    <w:p w:rsidR="005C708B" w:rsidRPr="00F71166" w:rsidRDefault="005C708B" w:rsidP="005C708B">
      <w:pPr>
        <w:jc w:val="both"/>
        <w:rPr>
          <w:rFonts w:ascii="Book Antiqua" w:hAnsi="Book Antiqua" w:cs="Arial"/>
          <w:b/>
        </w:rPr>
      </w:pPr>
      <w:r w:rsidRPr="00F71166">
        <w:rPr>
          <w:rFonts w:ascii="Book Antiqua" w:hAnsi="Book Antiqua" w:cs="Arial"/>
          <w:b/>
        </w:rPr>
        <w:t>Zníženie sadzby DPH</w:t>
      </w:r>
    </w:p>
    <w:p w:rsidR="0005697F" w:rsidRPr="00F71166" w:rsidRDefault="0005697F" w:rsidP="0005697F">
      <w:pPr>
        <w:ind w:firstLine="708"/>
        <w:jc w:val="both"/>
        <w:rPr>
          <w:rFonts w:ascii="Book Antiqua" w:hAnsi="Book Antiqua" w:cs="Arial"/>
        </w:rPr>
      </w:pPr>
      <w:r w:rsidRPr="00F71166">
        <w:rPr>
          <w:rFonts w:ascii="Book Antiqua" w:hAnsi="Book Antiqua" w:cs="Arial"/>
        </w:rPr>
        <w:t>Dňa 5. apríla 202</w:t>
      </w:r>
      <w:r w:rsidRPr="00F71166">
        <w:rPr>
          <w:rFonts w:ascii="Book Antiqua" w:hAnsi="Book Antiqua" w:cs="Arial"/>
        </w:rPr>
        <w:t>2 ministri financií EÚ (ECOFIN)</w:t>
      </w:r>
      <w:r w:rsidRPr="00F71166">
        <w:rPr>
          <w:rFonts w:ascii="Book Antiqua" w:hAnsi="Book Antiqua" w:cs="Arial"/>
        </w:rPr>
        <w:t xml:space="preserve"> formálne prijali zmeny smernice EÚ č. 2022/542 o DPH s cieľom poskytnúť členským štátom širšie práva na používanie znížených sadzieb DPH, vrátane možnosti zaviesť novú sadzbu nižšiu ako 5 % na obmedzený rozsah kategórii tovarov a služieb. Zmeny musia členské štáty implementovať najneskôr do 1. januára 2025:</w:t>
      </w:r>
    </w:p>
    <w:p w:rsidR="0005697F" w:rsidRPr="00F71166" w:rsidRDefault="0005697F" w:rsidP="0005697F">
      <w:pPr>
        <w:pStyle w:val="Odsekzoznamu"/>
        <w:numPr>
          <w:ilvl w:val="0"/>
          <w:numId w:val="8"/>
        </w:numPr>
        <w:jc w:val="both"/>
        <w:rPr>
          <w:rFonts w:ascii="Book Antiqua" w:hAnsi="Book Antiqua" w:cs="Arial"/>
        </w:rPr>
      </w:pPr>
      <w:r w:rsidRPr="00F71166">
        <w:rPr>
          <w:rFonts w:ascii="Book Antiqua" w:hAnsi="Book Antiqua" w:cs="Arial"/>
        </w:rPr>
        <w:t xml:space="preserve">Členské štáty môžu uplatňovať novú zníženú sadzbu nižšiu ako 5 % na sedem zo zoznamu 24 kategórií výrobkov a služieb. </w:t>
      </w:r>
    </w:p>
    <w:p w:rsidR="0005697F" w:rsidRPr="00F71166" w:rsidRDefault="0005697F" w:rsidP="0005697F">
      <w:pPr>
        <w:pStyle w:val="Odsekzoznamu"/>
        <w:numPr>
          <w:ilvl w:val="0"/>
          <w:numId w:val="8"/>
        </w:numPr>
        <w:jc w:val="both"/>
        <w:rPr>
          <w:rFonts w:ascii="Book Antiqua" w:hAnsi="Book Antiqua" w:cs="Arial"/>
        </w:rPr>
      </w:pPr>
      <w:r w:rsidRPr="00F71166">
        <w:rPr>
          <w:rFonts w:ascii="Book Antiqua" w:hAnsi="Book Antiqua" w:cs="Arial"/>
        </w:rPr>
        <w:t xml:space="preserve">Potom by tiež mohli uplatniť znížené sadzby vo výške 5 % alebo vyššie na zvyšných 24 kategórií toho istého zoznamu. Opatrenie sa týka najmä dodávky potravín, vody, liekov, farmaceutických výrobkov, zdravotníckych a hygienických výrobkov, dopravy osôb a niektorých predmetov kultúrnej hodnoty (knihy, noviny a periodiká) alebo iné dodávky </w:t>
      </w:r>
      <w:r w:rsidRPr="00F71166">
        <w:rPr>
          <w:rFonts w:ascii="Book Antiqua" w:hAnsi="Book Antiqua" w:cs="Arial"/>
        </w:rPr>
        <w:lastRenderedPageBreak/>
        <w:t xml:space="preserve">tovaru a služieb uvedených v prílohe III. </w:t>
      </w:r>
    </w:p>
    <w:p w:rsidR="0005697F" w:rsidRPr="00F71166" w:rsidRDefault="0005697F" w:rsidP="0005697F">
      <w:pPr>
        <w:pStyle w:val="Odsekzoznamu"/>
        <w:numPr>
          <w:ilvl w:val="0"/>
          <w:numId w:val="8"/>
        </w:numPr>
        <w:jc w:val="both"/>
        <w:rPr>
          <w:rFonts w:ascii="Book Antiqua" w:hAnsi="Book Antiqua" w:cs="Arial"/>
        </w:rPr>
      </w:pPr>
      <w:r w:rsidRPr="00F71166">
        <w:rPr>
          <w:rFonts w:ascii="Book Antiqua" w:hAnsi="Book Antiqua" w:cs="Arial"/>
        </w:rPr>
        <w:t>Tento zoznam sa doplní o dodávky vrátane: prístupu na internet a živého vysielania kultúrnych a športových podujatí; ekologického tovaru; zdravotníckych ochranných prostriedkov ako sú tvárové masky; a tovar osobnej hygieny (tampóny). Každý členský štát môže znížené sadzby pod existujúcou úrovňou 5 % zahrnúť do svojho no</w:t>
      </w:r>
      <w:r w:rsidRPr="00F71166">
        <w:rPr>
          <w:rFonts w:ascii="Book Antiqua" w:hAnsi="Book Antiqua" w:cs="Arial"/>
        </w:rPr>
        <w:t>vého limitu siedmich kategórií.</w:t>
      </w:r>
    </w:p>
    <w:p w:rsidR="00D35B4C" w:rsidRPr="00F71166" w:rsidRDefault="00D35B4C" w:rsidP="0081215B">
      <w:pPr>
        <w:ind w:firstLine="708"/>
        <w:jc w:val="both"/>
        <w:rPr>
          <w:rFonts w:ascii="Book Antiqua" w:hAnsi="Book Antiqua" w:cs="Arial"/>
        </w:rPr>
      </w:pPr>
      <w:r w:rsidRPr="00F71166">
        <w:rPr>
          <w:rFonts w:ascii="Book Antiqua" w:hAnsi="Book Antiqua" w:cs="Arial"/>
        </w:rPr>
        <w:t xml:space="preserve">Znížené sadzby DPH aspoň na niektoré kategórie tovarov a služieb majú zavedené takmer všetky štáty. </w:t>
      </w:r>
    </w:p>
    <w:p w:rsidR="00D35B4C" w:rsidRPr="00F71166" w:rsidRDefault="00D35B4C" w:rsidP="0081215B">
      <w:pPr>
        <w:ind w:firstLine="708"/>
        <w:jc w:val="both"/>
        <w:rPr>
          <w:rFonts w:ascii="Book Antiqua" w:hAnsi="Book Antiqua" w:cs="Arial"/>
        </w:rPr>
      </w:pPr>
      <w:r w:rsidRPr="00F71166">
        <w:rPr>
          <w:rFonts w:ascii="Book Antiqua" w:hAnsi="Book Antiqua" w:cs="Arial"/>
        </w:rPr>
        <w:t xml:space="preserve">Na </w:t>
      </w:r>
      <w:r w:rsidRPr="00F71166">
        <w:rPr>
          <w:rFonts w:ascii="Book Antiqua" w:hAnsi="Book Antiqua" w:cs="Arial"/>
          <w:b/>
        </w:rPr>
        <w:t>potraviny</w:t>
      </w:r>
      <w:r w:rsidRPr="00F71166">
        <w:rPr>
          <w:rFonts w:ascii="Book Antiqua" w:hAnsi="Book Antiqua" w:cs="Arial"/>
        </w:rPr>
        <w:t xml:space="preserve"> zaviedli znížené sadzby DPH: Belgicko 6 %, Cyprus 5 %, Česká republika 10 %, Fínsko 14 %, Francúzsko 5,5 %, Grécko 13 %, Holandsko 9 %, Chorvátsko 5 %, Írsko 9 %, Luxembursko 12 %, Lotyšsko 5 %, Maďarsko 5 %, Malta 0 %, Nemecko 7 %, Nórsko 15 %, Poľsko 5 %, Portugalsko 6 %, Rakúsko 10 %, Slovinsko 9,5 %, Španielsko 10 %, Švédsko 12 %, Taliansko 5 %.</w:t>
      </w:r>
    </w:p>
    <w:p w:rsidR="00D35B4C" w:rsidRPr="00F71166" w:rsidRDefault="00D35B4C" w:rsidP="0081215B">
      <w:pPr>
        <w:ind w:firstLine="708"/>
        <w:jc w:val="both"/>
        <w:rPr>
          <w:rFonts w:ascii="Book Antiqua" w:hAnsi="Book Antiqua" w:cs="Arial"/>
        </w:rPr>
      </w:pPr>
      <w:r w:rsidRPr="00F71166">
        <w:rPr>
          <w:rFonts w:ascii="Book Antiqua" w:hAnsi="Book Antiqua" w:cs="Arial"/>
        </w:rPr>
        <w:t xml:space="preserve">Znížené sadzby DPH na </w:t>
      </w:r>
      <w:r w:rsidRPr="00F71166">
        <w:rPr>
          <w:rFonts w:ascii="Book Antiqua" w:hAnsi="Book Antiqua" w:cs="Arial"/>
          <w:b/>
        </w:rPr>
        <w:t>energiu</w:t>
      </w:r>
      <w:r w:rsidRPr="00F71166">
        <w:rPr>
          <w:rFonts w:ascii="Book Antiqua" w:hAnsi="Book Antiqua" w:cs="Arial"/>
        </w:rPr>
        <w:t xml:space="preserve"> majú zavedené: Grécko 6 %, Chorvátsko 13 %, Litva 5 %, Luxembursko 7 %, Lotyšsko 5 % a Rakúsko 13 %. </w:t>
      </w:r>
    </w:p>
    <w:p w:rsidR="00D35B4C" w:rsidRPr="00F71166" w:rsidRDefault="00D35B4C" w:rsidP="0081215B">
      <w:pPr>
        <w:ind w:firstLine="708"/>
        <w:jc w:val="both"/>
        <w:rPr>
          <w:rFonts w:ascii="Book Antiqua" w:hAnsi="Book Antiqua" w:cs="Arial"/>
        </w:rPr>
      </w:pPr>
      <w:r w:rsidRPr="00F71166">
        <w:rPr>
          <w:rFonts w:ascii="Book Antiqua" w:hAnsi="Book Antiqua" w:cs="Arial"/>
        </w:rPr>
        <w:t xml:space="preserve">Niektoré krajiny tiež zaviedli zníženie DPH na </w:t>
      </w:r>
      <w:r w:rsidRPr="00F71166">
        <w:rPr>
          <w:rFonts w:ascii="Book Antiqua" w:hAnsi="Book Antiqua" w:cs="Arial"/>
          <w:b/>
        </w:rPr>
        <w:t>farmaceutické výrobky</w:t>
      </w:r>
      <w:r w:rsidRPr="00F71166">
        <w:rPr>
          <w:rFonts w:ascii="Book Antiqua" w:hAnsi="Book Antiqua" w:cs="Arial"/>
        </w:rPr>
        <w:t xml:space="preserve">: Cyprus 5 %, Česká republika 10 %, Chorvátsko 5 %, Estónsko 9 %, Fínsko 10 %, Francúzsko 10 % – 2,1 %, Grécko 6 %, Írsko 13 %, Litva 9 %, Luxembursko 3 %, Lotyšsko 12 %, Maďarsko 5 %, Portugalsko 6 %, Rakúsko 10 %, Rumunsko 9 %, Slovinsko 9,5 %, Španielsko 10 %, Taliansko 10 %. </w:t>
      </w:r>
    </w:p>
    <w:p w:rsidR="00D35B4C" w:rsidRPr="00F71166" w:rsidRDefault="00D35B4C" w:rsidP="00F71166">
      <w:pPr>
        <w:ind w:firstLine="708"/>
        <w:jc w:val="both"/>
        <w:rPr>
          <w:rFonts w:ascii="Book Antiqua" w:hAnsi="Book Antiqua" w:cs="Arial"/>
        </w:rPr>
      </w:pPr>
      <w:r w:rsidRPr="00F71166">
        <w:rPr>
          <w:rFonts w:ascii="Book Antiqua" w:hAnsi="Book Antiqua" w:cs="Arial"/>
        </w:rPr>
        <w:t xml:space="preserve">Zníženie DPH na sortiment </w:t>
      </w:r>
      <w:r w:rsidRPr="00F71166">
        <w:rPr>
          <w:rFonts w:ascii="Book Antiqua" w:hAnsi="Book Antiqua" w:cs="Arial"/>
          <w:b/>
        </w:rPr>
        <w:t>lokálne vypestovanej zeleniny a ovocia</w:t>
      </w:r>
      <w:r w:rsidRPr="00F71166">
        <w:rPr>
          <w:rFonts w:ascii="Book Antiqua" w:hAnsi="Book Antiqua" w:cs="Arial"/>
        </w:rPr>
        <w:t xml:space="preserve"> zaviedlo Lotyšsko (5 %). Fínsko zaviedlo dočasne 0% DPH na </w:t>
      </w:r>
      <w:r w:rsidRPr="00F71166">
        <w:rPr>
          <w:rFonts w:ascii="Book Antiqua" w:hAnsi="Book Antiqua" w:cs="Arial"/>
          <w:b/>
        </w:rPr>
        <w:t>hromadnú dopravu</w:t>
      </w:r>
      <w:r w:rsidRPr="00F71166">
        <w:rPr>
          <w:rFonts w:ascii="Book Antiqua" w:hAnsi="Book Antiqua" w:cs="Arial"/>
        </w:rPr>
        <w:t xml:space="preserve">. </w:t>
      </w:r>
    </w:p>
    <w:p w:rsidR="0005697F" w:rsidRPr="00F71166" w:rsidRDefault="00D35B4C" w:rsidP="0081215B">
      <w:pPr>
        <w:ind w:firstLine="708"/>
        <w:jc w:val="both"/>
        <w:rPr>
          <w:rFonts w:ascii="Book Antiqua" w:hAnsi="Book Antiqua" w:cs="Arial"/>
        </w:rPr>
      </w:pPr>
      <w:r w:rsidRPr="00F71166">
        <w:rPr>
          <w:rFonts w:ascii="Book Antiqua" w:hAnsi="Book Antiqua" w:cs="Arial"/>
          <w:b/>
        </w:rPr>
        <w:t>Dočasne znížené sadzby DPH</w:t>
      </w:r>
      <w:r w:rsidRPr="00F71166">
        <w:rPr>
          <w:rFonts w:ascii="Book Antiqua" w:hAnsi="Book Antiqua" w:cs="Arial"/>
        </w:rPr>
        <w:t xml:space="preserve"> zaviedli: Belgicko, Bulharsko, Cyprus, Fínsko, Grécko, Holandsko, Írsko, Litva, Maďarsko, Nemecko, Nórsko, Poľsko, Portugalsko, Rakúsko, Španielsko, Švédsko či Taliansko, z toho:</w:t>
      </w:r>
    </w:p>
    <w:p w:rsidR="00D35B4C" w:rsidRPr="00F71166" w:rsidRDefault="00D35B4C" w:rsidP="00D35B4C">
      <w:pPr>
        <w:pStyle w:val="Odsekzoznamu"/>
        <w:numPr>
          <w:ilvl w:val="0"/>
          <w:numId w:val="9"/>
        </w:numPr>
        <w:jc w:val="both"/>
        <w:rPr>
          <w:rFonts w:ascii="Book Antiqua" w:hAnsi="Book Antiqua" w:cs="Arial"/>
        </w:rPr>
      </w:pPr>
      <w:r w:rsidRPr="00F71166">
        <w:rPr>
          <w:rFonts w:ascii="Book Antiqua" w:hAnsi="Book Antiqua" w:cs="Arial"/>
        </w:rPr>
        <w:t xml:space="preserve">na </w:t>
      </w:r>
      <w:r w:rsidRPr="00F71166">
        <w:rPr>
          <w:rFonts w:ascii="Book Antiqua" w:hAnsi="Book Antiqua" w:cs="Arial"/>
          <w:b/>
        </w:rPr>
        <w:t>energiu</w:t>
      </w:r>
      <w:r w:rsidRPr="00F71166">
        <w:rPr>
          <w:rFonts w:ascii="Book Antiqua" w:hAnsi="Book Antiqua" w:cs="Arial"/>
        </w:rPr>
        <w:t xml:space="preserve"> dočasne znížili sadzby DPH: Belgicko 6 %, Bulharsko 9 %, Cyprus 5 – 9 %, Fínsko 10 %, Grécko 6 %, Holandsko 9 %, Nemecko, Portugalsko 6 %, Slovinsko 9,2 %, Španielsko 10 %, Švédsko 5 % , Taliansko 5 %; </w:t>
      </w:r>
    </w:p>
    <w:p w:rsidR="00D35B4C" w:rsidRPr="00F71166" w:rsidRDefault="00D35B4C" w:rsidP="00D35B4C">
      <w:pPr>
        <w:pStyle w:val="Odsekzoznamu"/>
        <w:numPr>
          <w:ilvl w:val="0"/>
          <w:numId w:val="9"/>
        </w:numPr>
        <w:jc w:val="both"/>
        <w:rPr>
          <w:rFonts w:ascii="Book Antiqua" w:hAnsi="Book Antiqua" w:cs="Arial"/>
        </w:rPr>
      </w:pPr>
      <w:r w:rsidRPr="00F71166">
        <w:rPr>
          <w:rFonts w:ascii="Book Antiqua" w:hAnsi="Book Antiqua" w:cs="Arial"/>
        </w:rPr>
        <w:t xml:space="preserve">na </w:t>
      </w:r>
      <w:r w:rsidRPr="00F71166">
        <w:rPr>
          <w:rFonts w:ascii="Book Antiqua" w:hAnsi="Book Antiqua" w:cs="Arial"/>
          <w:b/>
        </w:rPr>
        <w:t>potraviny</w:t>
      </w:r>
      <w:r w:rsidRPr="00F71166">
        <w:rPr>
          <w:rFonts w:ascii="Book Antiqua" w:hAnsi="Book Antiqua" w:cs="Arial"/>
        </w:rPr>
        <w:t xml:space="preserve"> – Poľsko dočasne zaviedlo 0% DPH; </w:t>
      </w:r>
    </w:p>
    <w:p w:rsidR="00D35B4C" w:rsidRPr="00F71166" w:rsidRDefault="00D35B4C" w:rsidP="00D35B4C">
      <w:pPr>
        <w:pStyle w:val="Odsekzoznamu"/>
        <w:numPr>
          <w:ilvl w:val="0"/>
          <w:numId w:val="9"/>
        </w:numPr>
        <w:jc w:val="both"/>
        <w:rPr>
          <w:rFonts w:ascii="Book Antiqua" w:hAnsi="Book Antiqua" w:cs="Arial"/>
        </w:rPr>
      </w:pPr>
      <w:r w:rsidRPr="00F71166">
        <w:rPr>
          <w:rFonts w:ascii="Book Antiqua" w:hAnsi="Book Antiqua" w:cs="Arial"/>
        </w:rPr>
        <w:t xml:space="preserve">štyri krajiny rokujú o znížení DPH (na </w:t>
      </w:r>
      <w:r w:rsidRPr="00F71166">
        <w:rPr>
          <w:rFonts w:ascii="Book Antiqua" w:hAnsi="Book Antiqua" w:cs="Arial"/>
          <w:b/>
        </w:rPr>
        <w:t>potraviny</w:t>
      </w:r>
      <w:r w:rsidRPr="00F71166">
        <w:rPr>
          <w:rFonts w:ascii="Book Antiqua" w:hAnsi="Book Antiqua" w:cs="Arial"/>
        </w:rPr>
        <w:t xml:space="preserve"> a na </w:t>
      </w:r>
      <w:r w:rsidRPr="00F71166">
        <w:rPr>
          <w:rFonts w:ascii="Book Antiqua" w:hAnsi="Book Antiqua" w:cs="Arial"/>
          <w:b/>
        </w:rPr>
        <w:t>energiu</w:t>
      </w:r>
      <w:r w:rsidRPr="00F71166">
        <w:rPr>
          <w:rFonts w:ascii="Book Antiqua" w:hAnsi="Book Antiqua" w:cs="Arial"/>
        </w:rPr>
        <w:t xml:space="preserve">): Estónsko, Chorvátsko, Rumunsko a Slovinsko. </w:t>
      </w:r>
    </w:p>
    <w:p w:rsidR="00CB279F" w:rsidRDefault="00D35B4C" w:rsidP="00CB279F">
      <w:pPr>
        <w:ind w:firstLine="708"/>
        <w:jc w:val="both"/>
        <w:rPr>
          <w:rFonts w:ascii="Book Antiqua" w:hAnsi="Book Antiqua" w:cs="Arial"/>
        </w:rPr>
      </w:pPr>
      <w:r w:rsidRPr="00F71166">
        <w:rPr>
          <w:rFonts w:ascii="Book Antiqua" w:hAnsi="Book Antiqua" w:cs="Arial"/>
        </w:rPr>
        <w:t>Dočasné zníženia DPH sa v niektorých štátoch týkajú tiež osobnej dopravy, vstupného na športové podujatia, do kín, zábavných parkov a zážitkových centier, hotelov, pohostinstiev, kníh a iného.</w:t>
      </w:r>
    </w:p>
    <w:p w:rsidR="00D16CCA" w:rsidRDefault="00D16CCA" w:rsidP="00CB279F">
      <w:pPr>
        <w:ind w:firstLine="708"/>
        <w:jc w:val="both"/>
        <w:rPr>
          <w:rFonts w:ascii="Book Antiqua" w:hAnsi="Book Antiqua"/>
        </w:rPr>
      </w:pPr>
      <w:r w:rsidRPr="00F71166">
        <w:rPr>
          <w:rFonts w:ascii="Book Antiqua" w:hAnsi="Book Antiqua"/>
        </w:rPr>
        <w:t xml:space="preserve">Z dôvodu enormného nárastu koncových cien tovarov a služieb, ktorý zaťažuje extrémnym spôsobom konečných spotrebiteľov (občanov) </w:t>
      </w:r>
      <w:r w:rsidR="00CB279F">
        <w:rPr>
          <w:rFonts w:ascii="Book Antiqua" w:hAnsi="Book Antiqua"/>
        </w:rPr>
        <w:t>predkladateľ navrhuje</w:t>
      </w:r>
      <w:r w:rsidRPr="00F71166">
        <w:rPr>
          <w:rFonts w:ascii="Book Antiqua" w:hAnsi="Book Antiqua"/>
        </w:rPr>
        <w:t xml:space="preserve"> (v súlade so Smernicou Rady (EÚ) 2022/542 a Smernicou Rady 2006/112/ES </w:t>
      </w:r>
      <w:r w:rsidRPr="00CB279F">
        <w:rPr>
          <w:rFonts w:ascii="Book Antiqua" w:hAnsi="Book Antiqua"/>
          <w:b/>
        </w:rPr>
        <w:t>zníženie základnej sadzby DPH</w:t>
      </w:r>
      <w:r w:rsidR="00CB279F" w:rsidRPr="00CB279F">
        <w:rPr>
          <w:rFonts w:ascii="Book Antiqua" w:hAnsi="Book Antiqua"/>
          <w:b/>
        </w:rPr>
        <w:t xml:space="preserve"> </w:t>
      </w:r>
      <w:r w:rsidR="00CB279F">
        <w:rPr>
          <w:rFonts w:ascii="Book Antiqua" w:hAnsi="Book Antiqua"/>
          <w:b/>
        </w:rPr>
        <w:t>na minimálnu základnú sadzb</w:t>
      </w:r>
      <w:r w:rsidRPr="00CB279F">
        <w:rPr>
          <w:rFonts w:ascii="Book Antiqua" w:hAnsi="Book Antiqua"/>
          <w:b/>
        </w:rPr>
        <w:t xml:space="preserve">u DPH v zmysle Smernice Rady 2006/112/ES </w:t>
      </w:r>
      <w:r w:rsidR="00CB279F">
        <w:rPr>
          <w:rFonts w:ascii="Book Antiqua" w:hAnsi="Book Antiqua"/>
          <w:b/>
        </w:rPr>
        <w:t>na</w:t>
      </w:r>
      <w:r w:rsidRPr="00CB279F">
        <w:rPr>
          <w:rFonts w:ascii="Book Antiqua" w:hAnsi="Book Antiqua"/>
          <w:b/>
        </w:rPr>
        <w:t xml:space="preserve"> </w:t>
      </w:r>
      <w:r w:rsidRPr="00CB279F">
        <w:rPr>
          <w:rFonts w:ascii="Book Antiqua" w:hAnsi="Book Antiqua"/>
          <w:b/>
          <w:bCs/>
          <w:color w:val="FF0000"/>
        </w:rPr>
        <w:t>15 %</w:t>
      </w:r>
      <w:r w:rsidRPr="00CB279F">
        <w:rPr>
          <w:rFonts w:ascii="Book Antiqua" w:hAnsi="Book Antiqua"/>
          <w:color w:val="FF0000"/>
        </w:rPr>
        <w:t>.</w:t>
      </w:r>
      <w:r w:rsidRPr="00F71166">
        <w:rPr>
          <w:rFonts w:ascii="Book Antiqua" w:hAnsi="Book Antiqua"/>
        </w:rPr>
        <w:t xml:space="preserve"> </w:t>
      </w:r>
      <w:r w:rsidR="00CB279F">
        <w:rPr>
          <w:rFonts w:ascii="Book Antiqua" w:hAnsi="Book Antiqua"/>
        </w:rPr>
        <w:t>Taktiež predkladateľ necháva otvorenú otázku na ďalšie znižovanie ostatných sadzieb DPH, resp. zaradenie ďalších tovarov do nižších sadzieb DPH na riešenie v druhom čítaní navrhovaného zákona.</w:t>
      </w:r>
    </w:p>
    <w:p w:rsidR="00CB279F" w:rsidRPr="00CB279F" w:rsidRDefault="00CB279F" w:rsidP="00CB279F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/>
        </w:rPr>
        <w:lastRenderedPageBreak/>
        <w:t>Tento návrh v spojení s aplikáciou systému prenesenej daňovej povinnosti prinesie nižší negatívny efekt na celkový výber DPH. Najväčším efektom bude pozitívny vplyv na hospodárenie obyvateľstva, ktorí si budú môcť dovoliť nakúpiť viac tovarov a služieb, čo zmierni negatívne dopady stále prebiehajúcej inflácie.</w:t>
      </w:r>
    </w:p>
    <w:p w:rsidR="00CB279F" w:rsidRDefault="00CB279F" w:rsidP="00D16CCA">
      <w:pPr>
        <w:jc w:val="both"/>
        <w:rPr>
          <w:rFonts w:ascii="Book Antiqua" w:hAnsi="Book Antiqua"/>
          <w:b/>
          <w:bCs/>
          <w:u w:val="single"/>
        </w:rPr>
      </w:pPr>
    </w:p>
    <w:p w:rsidR="00D16CCA" w:rsidRPr="005245B8" w:rsidRDefault="00D16CCA" w:rsidP="00D16CCA">
      <w:pPr>
        <w:jc w:val="both"/>
        <w:rPr>
          <w:rFonts w:ascii="Book Antiqua" w:hAnsi="Book Antiqua"/>
          <w:b/>
          <w:bCs/>
        </w:rPr>
      </w:pPr>
      <w:r w:rsidRPr="005245B8">
        <w:rPr>
          <w:rFonts w:ascii="Book Antiqua" w:hAnsi="Book Antiqua"/>
          <w:b/>
          <w:bCs/>
        </w:rPr>
        <w:t>Zvýšenie obratu pre povinnú registráciu DPH a zosúladenie s obratom pre využitie inštitútu mikrodaňovníka</w:t>
      </w:r>
    </w:p>
    <w:p w:rsidR="00D16CCA" w:rsidRPr="00F71166" w:rsidRDefault="00712F01" w:rsidP="005245B8">
      <w:pPr>
        <w:spacing w:after="0"/>
        <w:ind w:firstLine="708"/>
        <w:jc w:val="both"/>
        <w:rPr>
          <w:rFonts w:ascii="Book Antiqua" w:hAnsi="Book Antiqua"/>
        </w:rPr>
      </w:pPr>
      <w:r w:rsidRPr="00712F01">
        <w:rPr>
          <w:rFonts w:ascii="Book Antiqua" w:hAnsi="Book Antiqua"/>
          <w:bCs/>
        </w:rPr>
        <w:t>Predkladateľ</w:t>
      </w:r>
      <w:r>
        <w:rPr>
          <w:rFonts w:ascii="Book Antiqua" w:hAnsi="Book Antiqua"/>
          <w:b/>
          <w:bCs/>
        </w:rPr>
        <w:t xml:space="preserve"> </w:t>
      </w:r>
      <w:r>
        <w:rPr>
          <w:rFonts w:ascii="Book Antiqua" w:hAnsi="Book Antiqua"/>
        </w:rPr>
        <w:t>ďalej navrhuje</w:t>
      </w:r>
      <w:r w:rsidR="00D16CCA" w:rsidRPr="00F71166">
        <w:rPr>
          <w:rFonts w:ascii="Book Antiqua" w:hAnsi="Book Antiqua"/>
        </w:rPr>
        <w:t xml:space="preserve"> úpravu § 4 ods. 1 zákona o DPH (</w:t>
      </w:r>
      <w:r w:rsidR="00D16CCA" w:rsidRPr="00F71166">
        <w:rPr>
          <w:rFonts w:ascii="Book Antiqua" w:hAnsi="Book Antiqua"/>
          <w:b/>
          <w:bCs/>
        </w:rPr>
        <w:t>registračná povinnosť</w:t>
      </w:r>
      <w:r w:rsidR="00D16CCA" w:rsidRPr="00F71166">
        <w:rPr>
          <w:rFonts w:ascii="Book Antiqua" w:hAnsi="Book Antiqua"/>
        </w:rPr>
        <w:t>)</w:t>
      </w:r>
      <w:r w:rsidR="00D16CCA" w:rsidRPr="00F71166">
        <w:rPr>
          <w:rFonts w:ascii="Book Antiqua" w:hAnsi="Book Antiqua"/>
          <w:b/>
          <w:bCs/>
        </w:rPr>
        <w:t xml:space="preserve"> </w:t>
      </w:r>
      <w:r w:rsidR="00D16CCA" w:rsidRPr="00F71166">
        <w:rPr>
          <w:rFonts w:ascii="Book Antiqua" w:hAnsi="Book Antiqua"/>
        </w:rPr>
        <w:t xml:space="preserve"> – zvýšenie sumy obratu za posledných 12 mesiacov (povinnosť registrácie) z </w:t>
      </w:r>
      <w:r w:rsidR="00D16CCA" w:rsidRPr="00F71166">
        <w:rPr>
          <w:rFonts w:ascii="Book Antiqua" w:hAnsi="Book Antiqua"/>
          <w:b/>
          <w:bCs/>
        </w:rPr>
        <w:t>49 790 EUR</w:t>
      </w:r>
      <w:r w:rsidR="00D16CCA" w:rsidRPr="00F71166">
        <w:rPr>
          <w:rFonts w:ascii="Book Antiqua" w:hAnsi="Book Antiqua"/>
        </w:rPr>
        <w:t xml:space="preserve"> na </w:t>
      </w:r>
      <w:r w:rsidR="00D16CCA" w:rsidRPr="00F71166">
        <w:rPr>
          <w:rFonts w:ascii="Book Antiqua" w:hAnsi="Book Antiqua"/>
          <w:b/>
          <w:bCs/>
        </w:rPr>
        <w:t>100 000 EUR</w:t>
      </w:r>
      <w:r w:rsidR="00D16CCA" w:rsidRPr="00F71166">
        <w:rPr>
          <w:rFonts w:ascii="Book Antiqua" w:hAnsi="Book Antiqua"/>
        </w:rPr>
        <w:t>.</w:t>
      </w:r>
      <w:r w:rsidR="005245B8">
        <w:rPr>
          <w:rFonts w:ascii="Book Antiqua" w:hAnsi="Book Antiqua"/>
        </w:rPr>
        <w:t xml:space="preserve"> </w:t>
      </w:r>
      <w:r w:rsidR="00D16CCA" w:rsidRPr="00F71166">
        <w:rPr>
          <w:rFonts w:ascii="Book Antiqua" w:hAnsi="Book Antiqua"/>
        </w:rPr>
        <w:t xml:space="preserve">V tejto súvislosti </w:t>
      </w:r>
      <w:r w:rsidR="005245B8">
        <w:rPr>
          <w:rFonts w:ascii="Book Antiqua" w:hAnsi="Book Antiqua"/>
        </w:rPr>
        <w:t>sa automaticky upraví aj</w:t>
      </w:r>
      <w:r w:rsidR="00D16CCA" w:rsidRPr="00F71166">
        <w:rPr>
          <w:rFonts w:ascii="Book Antiqua" w:hAnsi="Book Antiqua"/>
        </w:rPr>
        <w:t xml:space="preserve"> § 2 písm. w) zákona č. 595/2003 o dani z príjmov – v nadväznosti na návrh na zvýšenie minimálneho obratu na povinnú registráciu DPH (nakoľko východiskom pre stanovenie max. obratu mikrodaňovníka sa stal min. obrat na povinnú registráciu DPH) </w:t>
      </w:r>
      <w:r w:rsidR="005245B8">
        <w:rPr>
          <w:rFonts w:ascii="Book Antiqua" w:hAnsi="Book Antiqua"/>
        </w:rPr>
        <w:t>sa zvýši</w:t>
      </w:r>
      <w:r w:rsidR="00D16CCA" w:rsidRPr="00F71166">
        <w:rPr>
          <w:rFonts w:ascii="Book Antiqua" w:hAnsi="Book Antiqua"/>
        </w:rPr>
        <w:t xml:space="preserve"> </w:t>
      </w:r>
      <w:r w:rsidR="005245B8">
        <w:rPr>
          <w:rFonts w:ascii="Book Antiqua" w:hAnsi="Book Antiqua"/>
        </w:rPr>
        <w:t>maximálna hranica</w:t>
      </w:r>
      <w:r w:rsidR="00D16CCA" w:rsidRPr="00F71166">
        <w:rPr>
          <w:rFonts w:ascii="Book Antiqua" w:hAnsi="Book Antiqua"/>
        </w:rPr>
        <w:t xml:space="preserve"> obratu pre využitie inštitútu mikrodaňovníka z </w:t>
      </w:r>
      <w:r w:rsidR="00D16CCA" w:rsidRPr="00F71166">
        <w:rPr>
          <w:rFonts w:ascii="Book Antiqua" w:hAnsi="Book Antiqua"/>
          <w:b/>
          <w:bCs/>
        </w:rPr>
        <w:t>49 720 EUR</w:t>
      </w:r>
      <w:r w:rsidR="00D16CCA" w:rsidRPr="00F71166">
        <w:rPr>
          <w:rFonts w:ascii="Book Antiqua" w:hAnsi="Book Antiqua"/>
        </w:rPr>
        <w:t xml:space="preserve"> na </w:t>
      </w:r>
      <w:r w:rsidR="00D16CCA" w:rsidRPr="00F71166">
        <w:rPr>
          <w:rFonts w:ascii="Book Antiqua" w:hAnsi="Book Antiqua"/>
          <w:b/>
          <w:bCs/>
        </w:rPr>
        <w:t>100 000 EUR</w:t>
      </w:r>
      <w:r w:rsidR="00D16CCA" w:rsidRPr="00F71166">
        <w:rPr>
          <w:rFonts w:ascii="Book Antiqua" w:hAnsi="Book Antiqua"/>
        </w:rPr>
        <w:t xml:space="preserve">.  </w:t>
      </w:r>
    </w:p>
    <w:p w:rsidR="00D16CCA" w:rsidRPr="00F71166" w:rsidRDefault="00D16CCA" w:rsidP="00D16CCA">
      <w:pPr>
        <w:spacing w:after="0"/>
        <w:jc w:val="both"/>
        <w:rPr>
          <w:rFonts w:ascii="Book Antiqua" w:hAnsi="Book Antiqua"/>
        </w:rPr>
      </w:pPr>
    </w:p>
    <w:p w:rsidR="00D16CCA" w:rsidRPr="00F71166" w:rsidRDefault="00D16CCA" w:rsidP="005245B8">
      <w:pPr>
        <w:ind w:firstLine="708"/>
        <w:jc w:val="both"/>
        <w:rPr>
          <w:rFonts w:ascii="Book Antiqua" w:hAnsi="Book Antiqua"/>
        </w:rPr>
      </w:pPr>
      <w:r w:rsidRPr="00F71166">
        <w:rPr>
          <w:rFonts w:ascii="Book Antiqua" w:hAnsi="Book Antiqua"/>
        </w:rPr>
        <w:t xml:space="preserve">Výhodami inštitútu mikrodaňovníka sú zvýhodnené podmienky pre odpisovanie hmotného majetku, zvýhodnené pravidlá odpočtu daňovej straty, zavedenie možnosti tvorby daňových opravných položiek k pohľadávkam v súlade s účtovnými a predovšetkým použitie zníženej </w:t>
      </w:r>
      <w:r w:rsidRPr="00F71166">
        <w:rPr>
          <w:rFonts w:ascii="Book Antiqua" w:hAnsi="Book Antiqua"/>
          <w:b/>
          <w:bCs/>
        </w:rPr>
        <w:t>15%</w:t>
      </w:r>
      <w:r w:rsidRPr="00F71166">
        <w:rPr>
          <w:rFonts w:ascii="Book Antiqua" w:hAnsi="Book Antiqua"/>
        </w:rPr>
        <w:t> sadzby dane z príjmov.</w:t>
      </w:r>
    </w:p>
    <w:p w:rsidR="00D16CCA" w:rsidRPr="00F71166" w:rsidRDefault="005245B8" w:rsidP="005245B8">
      <w:pPr>
        <w:spacing w:after="0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>Z</w:t>
      </w:r>
      <w:r w:rsidR="00D16CCA" w:rsidRPr="00F71166">
        <w:rPr>
          <w:rFonts w:ascii="Book Antiqua" w:hAnsi="Book Antiqua"/>
        </w:rPr>
        <w:t>výšením ročného obratu na 100 000 EUR v oboch prípadoch by sa potenciálne znížil počet daňových podvodov, potenciálne zvýšil výber daní (dane z príjmov), podporilo sa malé podnikanie a </w:t>
      </w:r>
      <w:proofErr w:type="spellStart"/>
      <w:r w:rsidR="00D16CCA" w:rsidRPr="00F71166">
        <w:rPr>
          <w:rFonts w:ascii="Book Antiqua" w:hAnsi="Book Antiqua"/>
        </w:rPr>
        <w:t>mikropodnikanie</w:t>
      </w:r>
      <w:proofErr w:type="spellEnd"/>
      <w:r w:rsidR="00D16CCA" w:rsidRPr="00F71166">
        <w:rPr>
          <w:rFonts w:ascii="Book Antiqua" w:hAnsi="Book Antiqua"/>
        </w:rPr>
        <w:t xml:space="preserve">, zároveň by sa odbúrala nadmerná byrokracia pre </w:t>
      </w:r>
      <w:proofErr w:type="spellStart"/>
      <w:r w:rsidR="00D16CCA" w:rsidRPr="00F71166">
        <w:rPr>
          <w:rFonts w:ascii="Book Antiqua" w:hAnsi="Book Antiqua"/>
        </w:rPr>
        <w:t>mikropodnikateľov</w:t>
      </w:r>
      <w:proofErr w:type="spellEnd"/>
      <w:r w:rsidR="00D16CCA" w:rsidRPr="00F71166">
        <w:rPr>
          <w:rFonts w:ascii="Book Antiqua" w:hAnsi="Book Antiqua"/>
        </w:rPr>
        <w:t xml:space="preserve">, ktorí nechcú/nepotrebujú byť platiteľmi DPH. </w:t>
      </w:r>
    </w:p>
    <w:p w:rsidR="006358E0" w:rsidRPr="00F71166" w:rsidRDefault="006358E0" w:rsidP="0081215B">
      <w:pPr>
        <w:ind w:firstLine="708"/>
        <w:jc w:val="both"/>
        <w:rPr>
          <w:rFonts w:ascii="Book Antiqua" w:hAnsi="Book Antiqua" w:cs="Arial"/>
        </w:rPr>
      </w:pPr>
    </w:p>
    <w:p w:rsidR="007F0B6E" w:rsidRPr="00F71166" w:rsidRDefault="007F0B6E" w:rsidP="0081215B">
      <w:pPr>
        <w:ind w:firstLine="708"/>
        <w:jc w:val="both"/>
        <w:rPr>
          <w:rFonts w:ascii="Book Antiqua" w:hAnsi="Book Antiqua" w:cs="Arial"/>
        </w:rPr>
      </w:pPr>
      <w:r w:rsidRPr="00F71166">
        <w:rPr>
          <w:rFonts w:ascii="Book Antiqua" w:hAnsi="Book Antiqua" w:cs="Arial"/>
        </w:rPr>
        <w:t xml:space="preserve">Návrh zákona je v súlade s Ústavou Slovenskej republiky, ústavnými zákonmi, inými zákonmi, nálezmi Ústavného súdu Slovenskej republiky, medzinárodnými zmluvami a inými medzinárodnými dokumentmi, ktorými </w:t>
      </w:r>
      <w:r w:rsidR="00433E3C" w:rsidRPr="00F71166">
        <w:rPr>
          <w:rFonts w:ascii="Book Antiqua" w:hAnsi="Book Antiqua" w:cs="Arial"/>
        </w:rPr>
        <w:t>je Slovenská republika viazaná.</w:t>
      </w:r>
    </w:p>
    <w:p w:rsidR="00F319BA" w:rsidRPr="00F71166" w:rsidRDefault="00E16270" w:rsidP="001A7716">
      <w:pPr>
        <w:jc w:val="both"/>
        <w:rPr>
          <w:rFonts w:ascii="Book Antiqua" w:hAnsi="Book Antiqua" w:cs="Arial"/>
        </w:rPr>
      </w:pPr>
      <w:r w:rsidRPr="00F71166">
        <w:rPr>
          <w:rFonts w:ascii="Book Antiqua" w:hAnsi="Book Antiqua" w:cs="Arial"/>
          <w:b/>
          <w:i/>
        </w:rPr>
        <w:br w:type="page"/>
      </w:r>
      <w:r w:rsidRPr="00F71166">
        <w:rPr>
          <w:rFonts w:ascii="Book Antiqua" w:hAnsi="Book Antiqua" w:cs="Arial"/>
          <w:b/>
          <w:i/>
        </w:rPr>
        <w:lastRenderedPageBreak/>
        <w:t>II. Osobitná časť</w:t>
      </w:r>
    </w:p>
    <w:p w:rsidR="00F319BA" w:rsidRPr="00F71166" w:rsidRDefault="00902CAE" w:rsidP="001A7716">
      <w:pPr>
        <w:ind w:left="360"/>
        <w:jc w:val="both"/>
        <w:rPr>
          <w:rFonts w:ascii="Book Antiqua" w:hAnsi="Book Antiqua" w:cs="Arial"/>
        </w:rPr>
      </w:pPr>
      <w:r w:rsidRPr="00F71166">
        <w:rPr>
          <w:rFonts w:ascii="Book Antiqua" w:hAnsi="Book Antiqua"/>
          <w:noProof/>
          <w:lang w:eastAsia="sk-SK"/>
        </w:rPr>
        <w:pict>
          <v:shape id="AutoShape 2" o:spid="_x0000_s1027" type="#_x0000_t32" style="position:absolute;left:0;text-align:left;margin-left:-.35pt;margin-top:2.75pt;width:45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Ez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D48zKcpKEevvoQU10Rjnf/MdY+CUWLnLRFt5yutFAivbRbLkMOz&#10;84EWKa4JoarSGyFl1F8qNJR4MZ1MY4LTUrDgDGHOtrtKWnQgYYPiL/YInvswq/eKRbCOE7a+2J4I&#10;ebahuFQBDxoDOhfrvCI/FuliPV/P81E+ma1HeVrXo6dNlY9mm+xhWn+qq6rOfgZqWV50gjGuArvr&#10;umb5363D5eGcF+22sLcxJO/R47yA7PU/ko7KBjHPa7HT7LS1V8VhQ2Pw5TWFJ3B/B/v+za9+AQAA&#10;//8DAFBLAwQUAAYACAAAACEAOu+oydoAAAAFAQAADwAAAGRycy9kb3ducmV2LnhtbEyOTU/DMBBE&#10;70j9D9YicUGt3aIACdlUVSUOHPshcXXjJQnE6yh2mtBfj8sFjqMZvXn5erKtOFPvG8cIy4UCQVw6&#10;03CFcDy8zp9B+KDZ6NYxIXyTh3Uxu8l1ZtzIOzrvQyUihH2mEeoQukxKX9ZktV+4jjh2H663OsTY&#10;V9L0eoxw28qVUo/S6objQ6072tZUfu0Hi0B+SJZqk9rq+HYZ799Xl8+xOyDe3U6bFxCBpvA3hqt+&#10;VIciOp3cwMaLFmH+FIcISQIitqlKH0CcfrMscvnfvvgBAAD//wMAUEsBAi0AFAAGAAgAAAAhALaD&#10;OJL+AAAA4QEAABMAAAAAAAAAAAAAAAAAAAAAAFtDb250ZW50X1R5cGVzXS54bWxQSwECLQAUAAYA&#10;CAAAACEAOP0h/9YAAACUAQAACwAAAAAAAAAAAAAAAAAvAQAAX3JlbHMvLnJlbHNQSwECLQAUAAYA&#10;CAAAACEAUF6hMx4CAAA7BAAADgAAAAAAAAAAAAAAAAAuAgAAZHJzL2Uyb0RvYy54bWxQSwECLQAU&#10;AAYACAAAACEAOu+oydoAAAAFAQAADwAAAAAAAAAAAAAAAAB4BAAAZHJzL2Rvd25yZXYueG1sUEsF&#10;BgAAAAAEAAQA8wAAAH8FAAAAAA==&#10;"/>
        </w:pict>
      </w:r>
    </w:p>
    <w:p w:rsidR="00284EB9" w:rsidRPr="00F71166" w:rsidRDefault="00E16270" w:rsidP="001A7716">
      <w:pPr>
        <w:jc w:val="both"/>
        <w:rPr>
          <w:rFonts w:ascii="Book Antiqua" w:hAnsi="Book Antiqua" w:cs="Book Antiqua"/>
          <w:b/>
          <w:bCs/>
        </w:rPr>
      </w:pPr>
      <w:r w:rsidRPr="00F71166">
        <w:rPr>
          <w:rFonts w:ascii="Book Antiqua" w:hAnsi="Book Antiqua" w:cs="Book Antiqua"/>
          <w:b/>
          <w:bCs/>
        </w:rPr>
        <w:t>Čl. I</w:t>
      </w:r>
    </w:p>
    <w:p w:rsidR="00265C56" w:rsidRPr="00F71166" w:rsidRDefault="00DE5E2F" w:rsidP="001A7716">
      <w:pPr>
        <w:jc w:val="both"/>
        <w:rPr>
          <w:rFonts w:ascii="Book Antiqua" w:hAnsi="Book Antiqua" w:cs="Book Antiqua"/>
          <w:u w:val="single"/>
        </w:rPr>
      </w:pPr>
      <w:r w:rsidRPr="00F71166">
        <w:rPr>
          <w:rFonts w:ascii="Book Antiqua" w:hAnsi="Book Antiqua" w:cs="Book Antiqua"/>
          <w:u w:val="single"/>
        </w:rPr>
        <w:t xml:space="preserve">K ods. 1 </w:t>
      </w:r>
    </w:p>
    <w:p w:rsidR="00284EB9" w:rsidRPr="00F71166" w:rsidRDefault="00284EB9" w:rsidP="001A7716">
      <w:pPr>
        <w:jc w:val="both"/>
        <w:rPr>
          <w:rFonts w:ascii="Book Antiqua" w:hAnsi="Book Antiqua" w:cs="Book Antiqua"/>
        </w:rPr>
      </w:pPr>
      <w:r w:rsidRPr="00F71166">
        <w:rPr>
          <w:rFonts w:ascii="Book Antiqua" w:hAnsi="Book Antiqua" w:cs="Book Antiqua"/>
        </w:rPr>
        <w:tab/>
      </w:r>
      <w:r w:rsidR="00F1149A">
        <w:rPr>
          <w:rFonts w:ascii="Book Antiqua" w:hAnsi="Book Antiqua" w:cs="Book Antiqua"/>
        </w:rPr>
        <w:t>Navrhuje sa, aby z</w:t>
      </w:r>
      <w:r w:rsidR="00F1149A" w:rsidRPr="00F1149A">
        <w:rPr>
          <w:rFonts w:ascii="Book Antiqua" w:hAnsi="Book Antiqua" w:cs="Book Antiqua"/>
        </w:rPr>
        <w:t xml:space="preserve">daniteľná osoba, ktorá má sídlo, miesto podnikania alebo prevádzkareň v tuzemsku, a ak nemá takéto miesto, ale má bydlisko v tuzemsku alebo sa v tuzemsku obvykle zdržiava, a ktorá dosiahla za najviac 12 predchádzajúcich po sebe nasledujúcich kalendárnych mesiacov </w:t>
      </w:r>
      <w:r w:rsidR="00F1149A">
        <w:rPr>
          <w:rFonts w:ascii="Book Antiqua" w:hAnsi="Book Antiqua" w:cs="Book Antiqua"/>
        </w:rPr>
        <w:t>bola</w:t>
      </w:r>
      <w:r w:rsidR="00F1149A" w:rsidRPr="00F1149A">
        <w:rPr>
          <w:rFonts w:ascii="Book Antiqua" w:hAnsi="Book Antiqua" w:cs="Book Antiqua"/>
        </w:rPr>
        <w:t xml:space="preserve"> povinná podať daňovému úrad</w:t>
      </w:r>
      <w:r w:rsidR="00F1149A">
        <w:rPr>
          <w:rFonts w:ascii="Book Antiqua" w:hAnsi="Book Antiqua" w:cs="Book Antiqua"/>
        </w:rPr>
        <w:t>u žiadosť o registráciu pre daň v prípade, ak dosiahne obrat 100 000 eur namiesto pôvodných 49 790 eur.</w:t>
      </w:r>
    </w:p>
    <w:p w:rsidR="00DE5E2F" w:rsidRPr="00F71166" w:rsidRDefault="00DE5E2F" w:rsidP="001A7716">
      <w:pPr>
        <w:jc w:val="both"/>
        <w:rPr>
          <w:rFonts w:ascii="Book Antiqua" w:hAnsi="Book Antiqua" w:cs="Book Antiqua"/>
          <w:u w:val="single"/>
        </w:rPr>
      </w:pPr>
      <w:r w:rsidRPr="00F71166">
        <w:rPr>
          <w:rFonts w:ascii="Book Antiqua" w:hAnsi="Book Antiqua" w:cs="Book Antiqua"/>
          <w:u w:val="single"/>
        </w:rPr>
        <w:t>K ods. 2</w:t>
      </w:r>
    </w:p>
    <w:p w:rsidR="00DE5E2F" w:rsidRDefault="00DE5E2F" w:rsidP="001110DC">
      <w:pPr>
        <w:jc w:val="both"/>
        <w:rPr>
          <w:rFonts w:ascii="Book Antiqua" w:hAnsi="Book Antiqua" w:cs="Book Antiqua"/>
          <w:bCs/>
        </w:rPr>
      </w:pPr>
      <w:r w:rsidRPr="00F71166">
        <w:rPr>
          <w:rFonts w:ascii="Book Antiqua" w:hAnsi="Book Antiqua" w:cs="Book Antiqua"/>
          <w:b/>
          <w:bCs/>
        </w:rPr>
        <w:tab/>
      </w:r>
      <w:r w:rsidR="004F608A">
        <w:rPr>
          <w:rFonts w:ascii="Book Antiqua" w:hAnsi="Book Antiqua" w:cs="Book Antiqua"/>
          <w:bCs/>
        </w:rPr>
        <w:t>Znižuje sa základná sadzba DPH z 20 % na 15 %.</w:t>
      </w:r>
    </w:p>
    <w:p w:rsidR="00902CAE" w:rsidRPr="00F71166" w:rsidRDefault="00902CAE" w:rsidP="00902CAE">
      <w:pPr>
        <w:jc w:val="both"/>
        <w:rPr>
          <w:rFonts w:ascii="Book Antiqua" w:hAnsi="Book Antiqua" w:cs="Book Antiqua"/>
          <w:u w:val="single"/>
        </w:rPr>
      </w:pPr>
      <w:r>
        <w:rPr>
          <w:rFonts w:ascii="Book Antiqua" w:hAnsi="Book Antiqua" w:cs="Book Antiqua"/>
          <w:u w:val="single"/>
        </w:rPr>
        <w:t>K ods. 4 až 13</w:t>
      </w:r>
    </w:p>
    <w:p w:rsidR="00902CAE" w:rsidRDefault="00902CAE" w:rsidP="00902CAE">
      <w:pPr>
        <w:jc w:val="both"/>
        <w:rPr>
          <w:rFonts w:ascii="Book Antiqua" w:hAnsi="Book Antiqua" w:cs="Book Antiqua"/>
          <w:bCs/>
        </w:rPr>
      </w:pPr>
      <w:r w:rsidRPr="00F71166">
        <w:rPr>
          <w:rFonts w:ascii="Book Antiqua" w:hAnsi="Book Antiqua" w:cs="Book Antiqua"/>
          <w:b/>
          <w:bCs/>
        </w:rPr>
        <w:tab/>
      </w:r>
      <w:r>
        <w:rPr>
          <w:rFonts w:ascii="Book Antiqua" w:hAnsi="Book Antiqua" w:cs="Book Antiqua"/>
          <w:bCs/>
        </w:rPr>
        <w:t>Zavádza sa režim prenosu daňovej povinnosti na všetky tovary a služby.</w:t>
      </w:r>
    </w:p>
    <w:p w:rsidR="00902CAE" w:rsidRPr="00F71166" w:rsidRDefault="00902CAE" w:rsidP="00902CAE">
      <w:pPr>
        <w:jc w:val="both"/>
        <w:rPr>
          <w:rFonts w:ascii="Book Antiqua" w:hAnsi="Book Antiqua" w:cs="Book Antiqua"/>
          <w:u w:val="single"/>
        </w:rPr>
      </w:pPr>
      <w:r>
        <w:rPr>
          <w:rFonts w:ascii="Book Antiqua" w:hAnsi="Book Antiqua" w:cs="Book Antiqua"/>
          <w:u w:val="single"/>
        </w:rPr>
        <w:t xml:space="preserve">K ods. </w:t>
      </w:r>
      <w:r>
        <w:rPr>
          <w:rFonts w:ascii="Book Antiqua" w:hAnsi="Book Antiqua" w:cs="Book Antiqua"/>
          <w:u w:val="single"/>
        </w:rPr>
        <w:t>14</w:t>
      </w:r>
    </w:p>
    <w:p w:rsidR="00902CAE" w:rsidRPr="00F71166" w:rsidRDefault="00902CAE" w:rsidP="001110DC">
      <w:pPr>
        <w:jc w:val="both"/>
        <w:rPr>
          <w:rFonts w:ascii="Book Antiqua" w:hAnsi="Book Antiqua" w:cs="Book Antiqua"/>
          <w:bCs/>
        </w:rPr>
      </w:pPr>
      <w:r w:rsidRPr="00F71166">
        <w:rPr>
          <w:rFonts w:ascii="Book Antiqua" w:hAnsi="Book Antiqua" w:cs="Book Antiqua"/>
          <w:b/>
          <w:bCs/>
        </w:rPr>
        <w:tab/>
      </w:r>
      <w:r>
        <w:rPr>
          <w:rFonts w:ascii="Book Antiqua" w:hAnsi="Book Antiqua" w:cs="Book Antiqua"/>
          <w:bCs/>
        </w:rPr>
        <w:t>Legislatívna úprava v súvislosti s ods. 1.</w:t>
      </w:r>
    </w:p>
    <w:p w:rsidR="00DE5E2F" w:rsidRPr="00F71166" w:rsidRDefault="00DE5E2F" w:rsidP="001110DC">
      <w:pPr>
        <w:jc w:val="both"/>
        <w:rPr>
          <w:rFonts w:ascii="Book Antiqua" w:hAnsi="Book Antiqua" w:cs="Book Antiqua"/>
          <w:b/>
          <w:bCs/>
        </w:rPr>
      </w:pPr>
    </w:p>
    <w:p w:rsidR="001110DC" w:rsidRPr="00F71166" w:rsidRDefault="00E16270" w:rsidP="001110DC">
      <w:pPr>
        <w:jc w:val="both"/>
        <w:rPr>
          <w:rFonts w:ascii="Book Antiqua" w:hAnsi="Book Antiqua" w:cs="Book Antiqua"/>
        </w:rPr>
      </w:pPr>
      <w:r w:rsidRPr="00F71166">
        <w:rPr>
          <w:rFonts w:ascii="Book Antiqua" w:hAnsi="Book Antiqua" w:cs="Book Antiqua"/>
          <w:b/>
          <w:bCs/>
        </w:rPr>
        <w:t>Čl. II</w:t>
      </w:r>
    </w:p>
    <w:p w:rsidR="001110DC" w:rsidRPr="00F71166" w:rsidRDefault="00E16270" w:rsidP="00E16270">
      <w:pPr>
        <w:jc w:val="both"/>
        <w:rPr>
          <w:rFonts w:ascii="Book Antiqua" w:hAnsi="Book Antiqua" w:cs="Book Antiqua"/>
          <w:b/>
          <w:bCs/>
          <w:caps/>
          <w:spacing w:val="30"/>
        </w:rPr>
      </w:pPr>
      <w:r w:rsidRPr="00F71166">
        <w:rPr>
          <w:rFonts w:ascii="Book Antiqua" w:hAnsi="Book Antiqua" w:cs="Book Antiqua"/>
        </w:rPr>
        <w:tab/>
        <w:t xml:space="preserve">Navrhuje sa účinnosť zákona </w:t>
      </w:r>
      <w:r w:rsidR="00902CAE">
        <w:rPr>
          <w:rFonts w:ascii="Book Antiqua" w:hAnsi="Book Antiqua" w:cs="Book Antiqua"/>
        </w:rPr>
        <w:t>1. januára 2024.</w:t>
      </w:r>
      <w:bookmarkStart w:id="0" w:name="_GoBack"/>
      <w:bookmarkEnd w:id="0"/>
    </w:p>
    <w:p w:rsidR="001110DC" w:rsidRPr="00F71166" w:rsidRDefault="001110DC" w:rsidP="001110DC">
      <w:pPr>
        <w:jc w:val="both"/>
        <w:rPr>
          <w:rFonts w:ascii="Book Antiqua" w:hAnsi="Book Antiqua" w:cs="Book Antiqua"/>
        </w:rPr>
      </w:pPr>
    </w:p>
    <w:sectPr w:rsidR="001110DC" w:rsidRPr="00F71166" w:rsidSect="00F319BA">
      <w:pgSz w:w="11906" w:h="16838"/>
      <w:pgMar w:top="1138" w:right="1138" w:bottom="1138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 w15:restartNumberingAfterBreak="0">
    <w:nsid w:val="0733660D"/>
    <w:multiLevelType w:val="hybridMultilevel"/>
    <w:tmpl w:val="EBAA69B8"/>
    <w:lvl w:ilvl="0" w:tplc="24985B6C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 w:tplc="AB045D30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87728D38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3FA4CA30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342A8C18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EC96F4A6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23C82B7C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A908294C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D6C4D01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19A62937"/>
    <w:multiLevelType w:val="hybridMultilevel"/>
    <w:tmpl w:val="261C6696"/>
    <w:lvl w:ilvl="0" w:tplc="F162EE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 w:tplc="B84840DC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A15251DC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BCDCFAA2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D9B81D02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45762DE2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7B96D008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81423BFC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9EB03514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2D9A35AA"/>
    <w:multiLevelType w:val="hybridMultilevel"/>
    <w:tmpl w:val="8140D330"/>
    <w:lvl w:ilvl="0" w:tplc="86247EC2">
      <w:start w:val="1"/>
      <w:numFmt w:val="bullet"/>
      <w:lvlText w:val="-"/>
      <w:lvlJc w:val="left"/>
      <w:pPr>
        <w:ind w:left="420" w:hanging="360"/>
      </w:pPr>
      <w:rPr>
        <w:rFonts w:ascii="Book Antiqua" w:eastAsia="Times New Roman" w:hAnsi="Book Antiqua" w:cs="Calibri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F0B62EA"/>
    <w:multiLevelType w:val="multilevel"/>
    <w:tmpl w:val="DCCAC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C0834"/>
    <w:multiLevelType w:val="hybridMultilevel"/>
    <w:tmpl w:val="9F1CA23C"/>
    <w:lvl w:ilvl="0" w:tplc="92E4B3E6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 w:tplc="2AF6A480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 w:tplc="4C0E469E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 w:tplc="AF66893E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 w:tplc="7B087348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 w:tplc="0CBCC7BA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 w:tplc="B718B97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 w:tplc="5E568A46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 w:tplc="34D40B14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6" w15:restartNumberingAfterBreak="0">
    <w:nsid w:val="56AD6E6C"/>
    <w:multiLevelType w:val="hybridMultilevel"/>
    <w:tmpl w:val="289EA2EA"/>
    <w:lvl w:ilvl="0" w:tplc="1F5A251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1E2685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DB365E3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83E4DC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04C064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846614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CEE236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790153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5FA188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5AE72BEE"/>
    <w:multiLevelType w:val="hybridMultilevel"/>
    <w:tmpl w:val="F9FC04F4"/>
    <w:lvl w:ilvl="0" w:tplc="92D6B4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075A09"/>
    <w:multiLevelType w:val="hybridMultilevel"/>
    <w:tmpl w:val="8C74D58E"/>
    <w:lvl w:ilvl="0" w:tplc="92D6B4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3408172">
      <w:start w:val="4"/>
      <w:numFmt w:val="bullet"/>
      <w:lvlText w:val=""/>
      <w:lvlJc w:val="left"/>
      <w:pPr>
        <w:ind w:left="1080" w:hanging="360"/>
      </w:pPr>
      <w:rPr>
        <w:rFonts w:ascii="Book Antiqua" w:eastAsia="Times New Roman" w:hAnsi="Book Antiqua" w:cs="Arial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3C52AD"/>
    <w:multiLevelType w:val="hybridMultilevel"/>
    <w:tmpl w:val="D6E0CD2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A94A2F"/>
    <w:multiLevelType w:val="hybridMultilevel"/>
    <w:tmpl w:val="C362FB18"/>
    <w:lvl w:ilvl="0" w:tplc="92D6B4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9"/>
  </w:num>
  <w:num w:numId="8">
    <w:abstractNumId w:val="7"/>
  </w:num>
  <w:num w:numId="9">
    <w:abstractNumId w:val="8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5238B"/>
    <w:rsid w:val="00011AEB"/>
    <w:rsid w:val="0001450F"/>
    <w:rsid w:val="00015E2D"/>
    <w:rsid w:val="0001721A"/>
    <w:rsid w:val="00024802"/>
    <w:rsid w:val="00040665"/>
    <w:rsid w:val="00045362"/>
    <w:rsid w:val="0005697F"/>
    <w:rsid w:val="000577D7"/>
    <w:rsid w:val="0006453D"/>
    <w:rsid w:val="00070965"/>
    <w:rsid w:val="0008540B"/>
    <w:rsid w:val="000A1675"/>
    <w:rsid w:val="000B2069"/>
    <w:rsid w:val="000B2FAE"/>
    <w:rsid w:val="000C3DB2"/>
    <w:rsid w:val="000C560D"/>
    <w:rsid w:val="000C67DC"/>
    <w:rsid w:val="000D7B3C"/>
    <w:rsid w:val="000E6793"/>
    <w:rsid w:val="00105F0A"/>
    <w:rsid w:val="001110DC"/>
    <w:rsid w:val="00114D93"/>
    <w:rsid w:val="00117A38"/>
    <w:rsid w:val="00126CC1"/>
    <w:rsid w:val="00146001"/>
    <w:rsid w:val="001632E7"/>
    <w:rsid w:val="00170248"/>
    <w:rsid w:val="0017220B"/>
    <w:rsid w:val="00172725"/>
    <w:rsid w:val="001807D2"/>
    <w:rsid w:val="001817CB"/>
    <w:rsid w:val="001A2BB5"/>
    <w:rsid w:val="001A4D0B"/>
    <w:rsid w:val="001A5EA9"/>
    <w:rsid w:val="001A7716"/>
    <w:rsid w:val="001B7D07"/>
    <w:rsid w:val="001C2B91"/>
    <w:rsid w:val="001C329B"/>
    <w:rsid w:val="001D6065"/>
    <w:rsid w:val="001D68AD"/>
    <w:rsid w:val="001E3480"/>
    <w:rsid w:val="001E4F2D"/>
    <w:rsid w:val="001F0225"/>
    <w:rsid w:val="001F16FA"/>
    <w:rsid w:val="001F271E"/>
    <w:rsid w:val="001F7790"/>
    <w:rsid w:val="0023374A"/>
    <w:rsid w:val="00235235"/>
    <w:rsid w:val="00245E4C"/>
    <w:rsid w:val="00250D00"/>
    <w:rsid w:val="00265C56"/>
    <w:rsid w:val="00284EB9"/>
    <w:rsid w:val="002A1FAD"/>
    <w:rsid w:val="002C6E5C"/>
    <w:rsid w:val="002D686D"/>
    <w:rsid w:val="002F1BB6"/>
    <w:rsid w:val="002F5864"/>
    <w:rsid w:val="00303177"/>
    <w:rsid w:val="003118FF"/>
    <w:rsid w:val="00324F40"/>
    <w:rsid w:val="00331803"/>
    <w:rsid w:val="00333AB8"/>
    <w:rsid w:val="00334AA1"/>
    <w:rsid w:val="00350B12"/>
    <w:rsid w:val="00361A79"/>
    <w:rsid w:val="00377562"/>
    <w:rsid w:val="003778B8"/>
    <w:rsid w:val="00380774"/>
    <w:rsid w:val="00395203"/>
    <w:rsid w:val="003A504A"/>
    <w:rsid w:val="003C4CC2"/>
    <w:rsid w:val="003C5321"/>
    <w:rsid w:val="003D5D63"/>
    <w:rsid w:val="003D7C26"/>
    <w:rsid w:val="003E0D9A"/>
    <w:rsid w:val="003F12C5"/>
    <w:rsid w:val="003F268E"/>
    <w:rsid w:val="00415201"/>
    <w:rsid w:val="00422E02"/>
    <w:rsid w:val="0042757B"/>
    <w:rsid w:val="00430035"/>
    <w:rsid w:val="00431B37"/>
    <w:rsid w:val="00433E3C"/>
    <w:rsid w:val="00462133"/>
    <w:rsid w:val="00465DA3"/>
    <w:rsid w:val="004A2390"/>
    <w:rsid w:val="004A2C28"/>
    <w:rsid w:val="004B6815"/>
    <w:rsid w:val="004B7FAB"/>
    <w:rsid w:val="004C50CF"/>
    <w:rsid w:val="004D2B56"/>
    <w:rsid w:val="004D6CAB"/>
    <w:rsid w:val="004F09B2"/>
    <w:rsid w:val="004F608A"/>
    <w:rsid w:val="005226EF"/>
    <w:rsid w:val="005245B8"/>
    <w:rsid w:val="005342D8"/>
    <w:rsid w:val="00534CA8"/>
    <w:rsid w:val="00571FAE"/>
    <w:rsid w:val="00586024"/>
    <w:rsid w:val="005A5940"/>
    <w:rsid w:val="005B4FBA"/>
    <w:rsid w:val="005C708B"/>
    <w:rsid w:val="005E3ACF"/>
    <w:rsid w:val="005F27B6"/>
    <w:rsid w:val="005F29A1"/>
    <w:rsid w:val="0060509C"/>
    <w:rsid w:val="00606E2B"/>
    <w:rsid w:val="006144EE"/>
    <w:rsid w:val="00620DDD"/>
    <w:rsid w:val="00634B93"/>
    <w:rsid w:val="006358E0"/>
    <w:rsid w:val="00636433"/>
    <w:rsid w:val="006524C7"/>
    <w:rsid w:val="006728FA"/>
    <w:rsid w:val="0067581A"/>
    <w:rsid w:val="0068433C"/>
    <w:rsid w:val="00687D5E"/>
    <w:rsid w:val="006974DD"/>
    <w:rsid w:val="006A3B14"/>
    <w:rsid w:val="006B5041"/>
    <w:rsid w:val="006C1AE0"/>
    <w:rsid w:val="006C34CB"/>
    <w:rsid w:val="006C7F0F"/>
    <w:rsid w:val="00711A1B"/>
    <w:rsid w:val="00712F01"/>
    <w:rsid w:val="007379A3"/>
    <w:rsid w:val="00770F2B"/>
    <w:rsid w:val="00771C80"/>
    <w:rsid w:val="00774B9F"/>
    <w:rsid w:val="00781F28"/>
    <w:rsid w:val="0078553F"/>
    <w:rsid w:val="00786005"/>
    <w:rsid w:val="00793840"/>
    <w:rsid w:val="007A2A45"/>
    <w:rsid w:val="007B60D0"/>
    <w:rsid w:val="007D04B2"/>
    <w:rsid w:val="007D6DD8"/>
    <w:rsid w:val="007F0B6E"/>
    <w:rsid w:val="007F79AB"/>
    <w:rsid w:val="0080073A"/>
    <w:rsid w:val="00802365"/>
    <w:rsid w:val="00803564"/>
    <w:rsid w:val="0081215B"/>
    <w:rsid w:val="00812F93"/>
    <w:rsid w:val="008156E4"/>
    <w:rsid w:val="00820496"/>
    <w:rsid w:val="00830AA4"/>
    <w:rsid w:val="0083579B"/>
    <w:rsid w:val="00855B1B"/>
    <w:rsid w:val="00870F02"/>
    <w:rsid w:val="008977E9"/>
    <w:rsid w:val="008A2276"/>
    <w:rsid w:val="008B3422"/>
    <w:rsid w:val="008B5E0B"/>
    <w:rsid w:val="008D4FF3"/>
    <w:rsid w:val="008E63F3"/>
    <w:rsid w:val="0090156B"/>
    <w:rsid w:val="00902CAE"/>
    <w:rsid w:val="00914DA3"/>
    <w:rsid w:val="00923346"/>
    <w:rsid w:val="00931C28"/>
    <w:rsid w:val="00953681"/>
    <w:rsid w:val="00957E5D"/>
    <w:rsid w:val="00964A0A"/>
    <w:rsid w:val="0098178F"/>
    <w:rsid w:val="00983126"/>
    <w:rsid w:val="00997F90"/>
    <w:rsid w:val="009D1309"/>
    <w:rsid w:val="009E2AC6"/>
    <w:rsid w:val="009E375B"/>
    <w:rsid w:val="009F1DD7"/>
    <w:rsid w:val="009F70C4"/>
    <w:rsid w:val="00A215B8"/>
    <w:rsid w:val="00A33CA0"/>
    <w:rsid w:val="00A41960"/>
    <w:rsid w:val="00A43730"/>
    <w:rsid w:val="00A71D1A"/>
    <w:rsid w:val="00A740AB"/>
    <w:rsid w:val="00A85356"/>
    <w:rsid w:val="00A946D6"/>
    <w:rsid w:val="00A95782"/>
    <w:rsid w:val="00A975CB"/>
    <w:rsid w:val="00AC1244"/>
    <w:rsid w:val="00AC7C7A"/>
    <w:rsid w:val="00B105A0"/>
    <w:rsid w:val="00B16201"/>
    <w:rsid w:val="00B22B5F"/>
    <w:rsid w:val="00B41560"/>
    <w:rsid w:val="00B41921"/>
    <w:rsid w:val="00B46365"/>
    <w:rsid w:val="00B53019"/>
    <w:rsid w:val="00B5595C"/>
    <w:rsid w:val="00B61158"/>
    <w:rsid w:val="00B7005C"/>
    <w:rsid w:val="00B7651C"/>
    <w:rsid w:val="00B8182C"/>
    <w:rsid w:val="00B845D6"/>
    <w:rsid w:val="00B920B3"/>
    <w:rsid w:val="00BA7515"/>
    <w:rsid w:val="00BC22BA"/>
    <w:rsid w:val="00BC2902"/>
    <w:rsid w:val="00BC53D6"/>
    <w:rsid w:val="00BD682F"/>
    <w:rsid w:val="00C15CFA"/>
    <w:rsid w:val="00C21AB4"/>
    <w:rsid w:val="00C23A64"/>
    <w:rsid w:val="00C35199"/>
    <w:rsid w:val="00C5238B"/>
    <w:rsid w:val="00C56EFC"/>
    <w:rsid w:val="00C75266"/>
    <w:rsid w:val="00C83B35"/>
    <w:rsid w:val="00C84EED"/>
    <w:rsid w:val="00CA0881"/>
    <w:rsid w:val="00CA57D3"/>
    <w:rsid w:val="00CB0BBF"/>
    <w:rsid w:val="00CB279F"/>
    <w:rsid w:val="00CB2903"/>
    <w:rsid w:val="00CC1B81"/>
    <w:rsid w:val="00CD64D4"/>
    <w:rsid w:val="00CD76D1"/>
    <w:rsid w:val="00CE284D"/>
    <w:rsid w:val="00CF0ECB"/>
    <w:rsid w:val="00CF6858"/>
    <w:rsid w:val="00D02AC5"/>
    <w:rsid w:val="00D16CCA"/>
    <w:rsid w:val="00D2356B"/>
    <w:rsid w:val="00D35B4C"/>
    <w:rsid w:val="00D3747D"/>
    <w:rsid w:val="00D4292D"/>
    <w:rsid w:val="00D63EA2"/>
    <w:rsid w:val="00D6509C"/>
    <w:rsid w:val="00D6790F"/>
    <w:rsid w:val="00D70F0C"/>
    <w:rsid w:val="00D87B4F"/>
    <w:rsid w:val="00D90E2D"/>
    <w:rsid w:val="00D93BED"/>
    <w:rsid w:val="00DA7778"/>
    <w:rsid w:val="00DB0B22"/>
    <w:rsid w:val="00DB0F83"/>
    <w:rsid w:val="00DB755C"/>
    <w:rsid w:val="00DC0AF7"/>
    <w:rsid w:val="00DE5E2F"/>
    <w:rsid w:val="00E02C8C"/>
    <w:rsid w:val="00E14DEF"/>
    <w:rsid w:val="00E16270"/>
    <w:rsid w:val="00E24988"/>
    <w:rsid w:val="00E54C31"/>
    <w:rsid w:val="00E622B5"/>
    <w:rsid w:val="00E63291"/>
    <w:rsid w:val="00E651ED"/>
    <w:rsid w:val="00E92958"/>
    <w:rsid w:val="00E93C27"/>
    <w:rsid w:val="00EA1E00"/>
    <w:rsid w:val="00EA4D0A"/>
    <w:rsid w:val="00EA5884"/>
    <w:rsid w:val="00EB6B76"/>
    <w:rsid w:val="00EC3DE4"/>
    <w:rsid w:val="00ED368F"/>
    <w:rsid w:val="00EE281C"/>
    <w:rsid w:val="00EE2E98"/>
    <w:rsid w:val="00EF30E7"/>
    <w:rsid w:val="00EF4EF8"/>
    <w:rsid w:val="00EF5E57"/>
    <w:rsid w:val="00EF71AB"/>
    <w:rsid w:val="00F008D9"/>
    <w:rsid w:val="00F1024F"/>
    <w:rsid w:val="00F1149A"/>
    <w:rsid w:val="00F11ECA"/>
    <w:rsid w:val="00F1503E"/>
    <w:rsid w:val="00F319BA"/>
    <w:rsid w:val="00F34106"/>
    <w:rsid w:val="00F450DA"/>
    <w:rsid w:val="00F54A61"/>
    <w:rsid w:val="00F668EC"/>
    <w:rsid w:val="00F71166"/>
    <w:rsid w:val="00F74ED6"/>
    <w:rsid w:val="00F81AD3"/>
    <w:rsid w:val="00F85B69"/>
    <w:rsid w:val="00F944C7"/>
    <w:rsid w:val="00FA155D"/>
    <w:rsid w:val="00FB2EEB"/>
    <w:rsid w:val="00FB47A1"/>
    <w:rsid w:val="00FC0320"/>
    <w:rsid w:val="00FC508D"/>
    <w:rsid w:val="00FC7663"/>
    <w:rsid w:val="00FD2C36"/>
    <w:rsid w:val="00FE7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AutoShape 3"/>
        <o:r id="V:Rule2" type="connector" idref="#AutoShape 2"/>
      </o:rules>
    </o:shapelayout>
  </w:shapeDefaults>
  <w:decimalSymbol w:val=","/>
  <w:listSeparator w:val=";"/>
  <w14:docId w14:val="251C728A"/>
  <w15:docId w15:val="{BEDD7B84-3249-44CB-B802-37D0B4DE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szCs w:val="22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rtl w:val="0"/>
      <w:cs w:val="0"/>
      <w:lang w:eastAsia="zh-CN"/>
    </w:rPr>
  </w:style>
  <w:style w:type="paragraph" w:customStyle="1" w:styleId="Default">
    <w:name w:val="Default"/>
    <w:rsid w:val="00C5238B"/>
    <w:pPr>
      <w:widowControl w:val="0"/>
      <w:suppressAutoHyphens/>
      <w:autoSpaceDE w:val="0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/>
      <w:u w:val="single"/>
      <w:rtl w:val="0"/>
      <w:cs w:val="0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eastAsia="zh-CN"/>
    </w:rPr>
  </w:style>
  <w:style w:type="table" w:styleId="Mriekatabuky">
    <w:name w:val="Table Grid"/>
    <w:basedOn w:val="Normlnatabuka"/>
    <w:uiPriority w:val="39"/>
    <w:rsid w:val="00D70F0C"/>
    <w:rPr>
      <w:rFonts w:ascii="Times New Roman" w:hAnsi="Times New Roman" w:cs="Times New Roman"/>
      <w:sz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983126"/>
    <w:rPr>
      <w:rFonts w:cs="Times New Roman"/>
      <w:sz w:val="16"/>
      <w:szCs w:val="16"/>
      <w:rtl w:val="0"/>
      <w:cs w:val="0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8312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983126"/>
    <w:rPr>
      <w:rFonts w:ascii="Calibri" w:hAnsi="Calibri" w:cs="Times New Roman"/>
      <w:sz w:val="20"/>
      <w:szCs w:val="20"/>
      <w:rtl w:val="0"/>
      <w:cs w:val="0"/>
      <w:lang w:eastAsia="zh-CN"/>
    </w:rPr>
  </w:style>
  <w:style w:type="paragraph" w:styleId="Bezriadkovania">
    <w:name w:val="No Spacing"/>
    <w:uiPriority w:val="1"/>
    <w:qFormat/>
    <w:rsid w:val="00953681"/>
    <w:rPr>
      <w:rFonts w:cs="Times New Roman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312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983126"/>
    <w:rPr>
      <w:rFonts w:ascii="Calibri" w:hAnsi="Calibri" w:cs="Times New Roman"/>
      <w:b/>
      <w:bCs/>
      <w:sz w:val="20"/>
      <w:szCs w:val="20"/>
      <w:rtl w:val="0"/>
      <w:cs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AB70E-D5F3-4AE5-802A-1BF1FBA41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5</Pages>
  <Words>1626</Words>
  <Characters>9273</Characters>
  <Application>Microsoft Office Word</Application>
  <DocSecurity>0</DocSecurity>
  <Lines>77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Beluský, Martin</cp:lastModifiedBy>
  <cp:revision>109</cp:revision>
  <cp:lastPrinted>2017-01-11T18:32:00Z</cp:lastPrinted>
  <dcterms:created xsi:type="dcterms:W3CDTF">2018-12-29T08:37:00Z</dcterms:created>
  <dcterms:modified xsi:type="dcterms:W3CDTF">2023-05-24T16:29:00Z</dcterms:modified>
</cp:coreProperties>
</file>