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4EB3F" w14:textId="77777777" w:rsidR="003D05F8" w:rsidRDefault="003D05F8" w:rsidP="00890796">
      <w:pPr>
        <w:spacing w:line="336" w:lineRule="auto"/>
        <w:ind w:left="426"/>
        <w:jc w:val="center"/>
        <w:rPr>
          <w:b/>
        </w:rPr>
      </w:pPr>
      <w:r>
        <w:rPr>
          <w:b/>
        </w:rPr>
        <w:t>Predkladacia správa</w:t>
      </w:r>
    </w:p>
    <w:p w14:paraId="46D18AEE" w14:textId="77777777" w:rsidR="003D05F8" w:rsidRDefault="003D05F8" w:rsidP="00890796">
      <w:pPr>
        <w:spacing w:line="336" w:lineRule="auto"/>
        <w:jc w:val="center"/>
        <w:rPr>
          <w:b/>
        </w:rPr>
      </w:pPr>
    </w:p>
    <w:p w14:paraId="17997D94" w14:textId="4785658B" w:rsidR="00522BC2" w:rsidRDefault="003D05F8" w:rsidP="00890796">
      <w:pPr>
        <w:spacing w:before="60" w:after="60" w:line="336" w:lineRule="auto"/>
        <w:ind w:firstLine="426"/>
        <w:jc w:val="both"/>
      </w:pPr>
      <w:r w:rsidRPr="00986AEA">
        <w:t xml:space="preserve">Štátny záverečný účet </w:t>
      </w:r>
      <w:r w:rsidR="00522BC2">
        <w:t xml:space="preserve">podľa § 29 zákona č. 523/2004 Z. z. o rozpočtových pravidlách verejnej správy a o zmene a doplnení niektorých zákonov prezentuje údaje o </w:t>
      </w:r>
      <w:r w:rsidR="00522BC2" w:rsidRPr="00522BC2">
        <w:t>príjmoch, výdavkoch a výsledku rozpočtového hospodárenia subjektov verejnej správy a o stave dlhu verejnej správy k 31. decembru rozpočtového roka v jednotnej metodike platnej pre Európsku úniu vykázané Európskej komisii do 1. apríla bežného roka</w:t>
      </w:r>
      <w:r w:rsidR="00522BC2">
        <w:t>. Ďalej obsahuje vyhodnotenie zamerania a opatrení rozpočtovej politiky, údaje o príjmoch, výdavkoch a výsledku hospodárenia štátneho rozpočtu na hotovostnej báze a iné údaje o plnení rozpočtu verejnej správy.</w:t>
      </w:r>
    </w:p>
    <w:p w14:paraId="6FCBAB64" w14:textId="6E7CD44A" w:rsidR="003D05F8" w:rsidRPr="00986AEA" w:rsidRDefault="00AF7E82" w:rsidP="00890796">
      <w:pPr>
        <w:spacing w:before="60" w:after="60" w:line="336" w:lineRule="auto"/>
        <w:ind w:firstLine="426"/>
        <w:jc w:val="both"/>
      </w:pPr>
      <w:r>
        <w:t>Eurostat zverejnil výsledky všetkých členských krajín EÚ 2</w:t>
      </w:r>
      <w:r w:rsidR="00A50823">
        <w:t>1</w:t>
      </w:r>
      <w:r>
        <w:t>. apríla tohto roka a pot</w:t>
      </w:r>
      <w:r w:rsidR="007C35D4">
        <w:t xml:space="preserve">vrdil </w:t>
      </w:r>
      <w:r w:rsidR="007C35D4" w:rsidRPr="00341A13">
        <w:t>predbežné údaje o</w:t>
      </w:r>
      <w:r w:rsidR="00522BC2" w:rsidRPr="00341A13">
        <w:t> </w:t>
      </w:r>
      <w:r w:rsidR="007C35D4" w:rsidRPr="00341A13">
        <w:t>deficite</w:t>
      </w:r>
      <w:r w:rsidR="00522BC2" w:rsidRPr="00341A13">
        <w:t xml:space="preserve"> Slovenskej republiky</w:t>
      </w:r>
      <w:r w:rsidR="007C35D4" w:rsidRPr="00341A13">
        <w:t xml:space="preserve"> </w:t>
      </w:r>
      <w:r w:rsidRPr="00341A13">
        <w:t xml:space="preserve">na úrovni </w:t>
      </w:r>
      <w:r w:rsidR="00341A13" w:rsidRPr="00341A13">
        <w:t>2,0</w:t>
      </w:r>
      <w:r w:rsidRPr="00341A13">
        <w:t xml:space="preserve"> % </w:t>
      </w:r>
      <w:r w:rsidR="00522BC2" w:rsidRPr="00341A13">
        <w:t xml:space="preserve">HDP </w:t>
      </w:r>
      <w:r w:rsidR="00FB0225" w:rsidRPr="00341A13">
        <w:t>a</w:t>
      </w:r>
      <w:r w:rsidR="00522BC2" w:rsidRPr="00341A13">
        <w:t xml:space="preserve"> výšku </w:t>
      </w:r>
      <w:r w:rsidR="00FB0225" w:rsidRPr="00341A13">
        <w:t xml:space="preserve">dlhu </w:t>
      </w:r>
      <w:r w:rsidR="007C35D4" w:rsidRPr="00341A13">
        <w:t>na úrovni</w:t>
      </w:r>
      <w:r w:rsidR="00522BC2" w:rsidRPr="00341A13">
        <w:br/>
      </w:r>
      <w:r w:rsidR="00341A13" w:rsidRPr="00341A13">
        <w:t>57,8</w:t>
      </w:r>
      <w:r w:rsidRPr="00341A13">
        <w:t xml:space="preserve"> % HDP.</w:t>
      </w:r>
      <w:r>
        <w:t xml:space="preserve"> </w:t>
      </w:r>
    </w:p>
    <w:p w14:paraId="75EE3BC4" w14:textId="47272051" w:rsidR="00181B6D" w:rsidRDefault="007A288B" w:rsidP="00890796">
      <w:pPr>
        <w:spacing w:before="60" w:after="60" w:line="33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Rozpočet na rok </w:t>
      </w:r>
      <w:r w:rsidR="00162AB7" w:rsidRPr="004C4AFD">
        <w:rPr>
          <w:color w:val="000000" w:themeColor="text1"/>
        </w:rPr>
        <w:t>202</w:t>
      </w:r>
      <w:r w:rsidR="00A50823">
        <w:rPr>
          <w:color w:val="000000" w:themeColor="text1"/>
        </w:rPr>
        <w:t>2</w:t>
      </w:r>
      <w:r w:rsidR="00162AB7" w:rsidRPr="004C4AFD">
        <w:rPr>
          <w:color w:val="000000" w:themeColor="text1"/>
        </w:rPr>
        <w:t xml:space="preserve"> </w:t>
      </w:r>
      <w:r>
        <w:rPr>
          <w:color w:val="000000" w:themeColor="text1"/>
        </w:rPr>
        <w:t>ešte stále počítal s výdavkami na boj s</w:t>
      </w:r>
      <w:r w:rsidR="00AA3F43" w:rsidRPr="004C4AFD">
        <w:rPr>
          <w:color w:val="000000" w:themeColor="text1"/>
        </w:rPr>
        <w:t xml:space="preserve"> pandémi</w:t>
      </w:r>
      <w:r>
        <w:rPr>
          <w:color w:val="000000" w:themeColor="text1"/>
        </w:rPr>
        <w:t>ou ochorenia</w:t>
      </w:r>
      <w:r>
        <w:rPr>
          <w:color w:val="000000" w:themeColor="text1"/>
        </w:rPr>
        <w:br/>
      </w:r>
      <w:r w:rsidR="00AA3F43" w:rsidRPr="004C4AFD">
        <w:rPr>
          <w:color w:val="000000" w:themeColor="text1"/>
        </w:rPr>
        <w:t xml:space="preserve">COVID-19, </w:t>
      </w:r>
      <w:r>
        <w:rPr>
          <w:color w:val="000000" w:themeColor="text1"/>
        </w:rPr>
        <w:t>aj keď už v menšej miere ako tomu bolo v roku 2020 a 2021.</w:t>
      </w:r>
      <w:r w:rsidR="00181B6D">
        <w:rPr>
          <w:color w:val="000000" w:themeColor="text1"/>
        </w:rPr>
        <w:t xml:space="preserve"> Od septembra 2021 do približne mája 2022 si Slovensko prechádzalo v poradí treťou vlnou šírenia sa koronavírusu a jeho mutácií.</w:t>
      </w:r>
      <w:r w:rsidR="0019355C">
        <w:rPr>
          <w:color w:val="000000" w:themeColor="text1"/>
        </w:rPr>
        <w:t xml:space="preserve"> Čo však nebolo možné zohľadniť v návrhu rozpočtu pripravovanom v roku 2021, bolo vypuknutie vojnového konfliktu na Ukrajine spôsobeného inváziou ruských vojsk na územie Ukrajiny 24. februára 2022.</w:t>
      </w:r>
      <w:r w:rsidR="0015112C">
        <w:rPr>
          <w:color w:val="000000" w:themeColor="text1"/>
        </w:rPr>
        <w:t xml:space="preserve"> Vojenský konflikt vniesol do globálnej ekonomiky ako aj na finančné trhy opäť výraznú neistotu. Sankcie Európskej komisie voči Rusku ako významnému exportérovi plynu a ropy do členských krajín EÚ, oživujúci sa dopyt spotrebiteľov po tovaroch a službách po dvoch rokoch pandémie, nedostatok niektorých materiálov dôležitých vo výrobe strojov, zariadení (napr. au</w:t>
      </w:r>
      <w:r w:rsidR="00341A13">
        <w:rPr>
          <w:color w:val="000000" w:themeColor="text1"/>
        </w:rPr>
        <w:t>tomobilový priemysel, IT sektor</w:t>
      </w:r>
      <w:r w:rsidR="0015112C">
        <w:rPr>
          <w:color w:val="000000" w:themeColor="text1"/>
        </w:rPr>
        <w:t xml:space="preserve">) prispeli k výraznému zvýšeniu spotrebiteľských cien. Miera inflácie meraná indexom spotrebiteľských cien dosiahla v roku 2022 oproti predchádzajúcemu roku v priemere 12,8 %. Rozpočet predpokladal rast </w:t>
      </w:r>
      <w:r w:rsidR="004533EE">
        <w:rPr>
          <w:color w:val="000000" w:themeColor="text1"/>
        </w:rPr>
        <w:t xml:space="preserve">cien </w:t>
      </w:r>
      <w:r w:rsidR="0015112C">
        <w:rPr>
          <w:color w:val="000000" w:themeColor="text1"/>
        </w:rPr>
        <w:t>na úrovni 4,2 %.</w:t>
      </w:r>
      <w:r w:rsidR="003B2A61">
        <w:rPr>
          <w:color w:val="000000" w:themeColor="text1"/>
        </w:rPr>
        <w:t xml:space="preserve"> Vláda SR tak musela pristúpiť k novele zákona o štátnom rozpočte</w:t>
      </w:r>
      <w:r w:rsidR="00BE1241">
        <w:rPr>
          <w:color w:val="000000" w:themeColor="text1"/>
        </w:rPr>
        <w:t xml:space="preserve"> na rok 2022, aby mohla vytvoriť primeraný manévrovací priestor pre riešenie </w:t>
      </w:r>
      <w:r w:rsidR="00341A13">
        <w:rPr>
          <w:color w:val="000000" w:themeColor="text1"/>
        </w:rPr>
        <w:t xml:space="preserve">rodiacej sa </w:t>
      </w:r>
      <w:r w:rsidR="00BE1241">
        <w:rPr>
          <w:color w:val="000000" w:themeColor="text1"/>
        </w:rPr>
        <w:t>energetickej krízy, pandémie a zároveň vyvolaných výdavkov spojených s vojnou na Ukrajine.</w:t>
      </w:r>
      <w:r w:rsidR="003B2A61">
        <w:rPr>
          <w:color w:val="000000" w:themeColor="text1"/>
        </w:rPr>
        <w:t xml:space="preserve"> </w:t>
      </w:r>
      <w:r w:rsidR="0019355C">
        <w:rPr>
          <w:color w:val="000000" w:themeColor="text1"/>
        </w:rPr>
        <w:t xml:space="preserve">   </w:t>
      </w:r>
      <w:r w:rsidR="00181B6D">
        <w:rPr>
          <w:color w:val="000000" w:themeColor="text1"/>
        </w:rPr>
        <w:t xml:space="preserve"> </w:t>
      </w:r>
    </w:p>
    <w:p w14:paraId="55A8190B" w14:textId="13A2DA50" w:rsidR="00BA7A70" w:rsidRDefault="003A0971" w:rsidP="00890796">
      <w:pPr>
        <w:spacing w:before="60" w:after="60" w:line="336" w:lineRule="auto"/>
        <w:ind w:firstLine="426"/>
        <w:jc w:val="both"/>
        <w:rPr>
          <w:color w:val="000000" w:themeColor="text1"/>
        </w:rPr>
      </w:pPr>
      <w:r w:rsidRPr="004C4AFD">
        <w:rPr>
          <w:color w:val="000000" w:themeColor="text1"/>
        </w:rPr>
        <w:t xml:space="preserve">Pôvodne schválený rozpočet </w:t>
      </w:r>
      <w:r w:rsidR="00522BC2">
        <w:rPr>
          <w:color w:val="000000" w:themeColor="text1"/>
        </w:rPr>
        <w:t xml:space="preserve">verejnej správy </w:t>
      </w:r>
      <w:r w:rsidR="008A224E">
        <w:rPr>
          <w:color w:val="000000" w:themeColor="text1"/>
        </w:rPr>
        <w:t xml:space="preserve">v decembri 2021 </w:t>
      </w:r>
      <w:r w:rsidR="00425AF2" w:rsidRPr="004C4AFD">
        <w:rPr>
          <w:color w:val="000000" w:themeColor="text1"/>
        </w:rPr>
        <w:t>predpokladal schodok</w:t>
      </w:r>
      <w:r w:rsidR="0099001A" w:rsidRPr="004C4AFD">
        <w:rPr>
          <w:color w:val="000000" w:themeColor="text1"/>
        </w:rPr>
        <w:t xml:space="preserve"> </w:t>
      </w:r>
      <w:r w:rsidR="00522BC2">
        <w:rPr>
          <w:color w:val="000000" w:themeColor="text1"/>
        </w:rPr>
        <w:t xml:space="preserve">za celý okruh verejných financií </w:t>
      </w:r>
      <w:r w:rsidR="0099001A" w:rsidRPr="004C4AFD">
        <w:rPr>
          <w:color w:val="000000" w:themeColor="text1"/>
        </w:rPr>
        <w:t xml:space="preserve">na úrovni </w:t>
      </w:r>
      <w:r w:rsidR="000B3BB0">
        <w:rPr>
          <w:color w:val="000000" w:themeColor="text1"/>
        </w:rPr>
        <w:t>4,94</w:t>
      </w:r>
      <w:r w:rsidR="0099001A" w:rsidRPr="004C4AFD">
        <w:rPr>
          <w:color w:val="000000" w:themeColor="text1"/>
        </w:rPr>
        <w:t xml:space="preserve"> % HDP</w:t>
      </w:r>
      <w:r w:rsidR="000B3BB0">
        <w:rPr>
          <w:color w:val="000000" w:themeColor="text1"/>
        </w:rPr>
        <w:t xml:space="preserve"> a výhľadovo v roku 2023 sa mal schodok dostať opäť pod hranicu 3 % HDP.</w:t>
      </w:r>
      <w:r w:rsidR="0099001A" w:rsidRPr="004C4AFD">
        <w:rPr>
          <w:color w:val="000000" w:themeColor="text1"/>
        </w:rPr>
        <w:t xml:space="preserve"> </w:t>
      </w:r>
      <w:r w:rsidR="000B3BB0">
        <w:rPr>
          <w:color w:val="000000" w:themeColor="text1"/>
        </w:rPr>
        <w:t>Rast ekonomiky sa predpokladal 4,2</w:t>
      </w:r>
      <w:r w:rsidR="004C4AFD" w:rsidRPr="004C4AFD">
        <w:rPr>
          <w:color w:val="000000" w:themeColor="text1"/>
        </w:rPr>
        <w:t xml:space="preserve"> </w:t>
      </w:r>
      <w:r w:rsidR="00522BC2">
        <w:rPr>
          <w:color w:val="000000" w:themeColor="text1"/>
        </w:rPr>
        <w:t>%</w:t>
      </w:r>
      <w:r w:rsidR="0099001A" w:rsidRPr="0056671F">
        <w:rPr>
          <w:color w:val="000000" w:themeColor="text1"/>
        </w:rPr>
        <w:t>.</w:t>
      </w:r>
      <w:r w:rsidR="0056671F">
        <w:rPr>
          <w:color w:val="000000" w:themeColor="text1"/>
        </w:rPr>
        <w:t xml:space="preserve"> </w:t>
      </w:r>
      <w:r w:rsidR="0099001A" w:rsidRPr="0056671F">
        <w:rPr>
          <w:color w:val="000000" w:themeColor="text1"/>
        </w:rPr>
        <w:t>H</w:t>
      </w:r>
      <w:r w:rsidR="00425AF2" w:rsidRPr="0056671F">
        <w:rPr>
          <w:color w:val="000000" w:themeColor="text1"/>
        </w:rPr>
        <w:t>otovostný schodok štátneho rozpočtu bol schválený vo výške</w:t>
      </w:r>
      <w:r w:rsidR="0056671F" w:rsidRPr="0056671F">
        <w:rPr>
          <w:color w:val="000000" w:themeColor="text1"/>
        </w:rPr>
        <w:t xml:space="preserve"> </w:t>
      </w:r>
      <w:r w:rsidR="00D55125">
        <w:rPr>
          <w:color w:val="000000" w:themeColor="text1"/>
        </w:rPr>
        <w:t>5,47</w:t>
      </w:r>
      <w:r w:rsidR="0099001A" w:rsidRPr="0056671F">
        <w:rPr>
          <w:color w:val="000000" w:themeColor="text1"/>
        </w:rPr>
        <w:t xml:space="preserve"> mld</w:t>
      </w:r>
      <w:r w:rsidR="00425AF2" w:rsidRPr="0056671F">
        <w:rPr>
          <w:color w:val="000000" w:themeColor="text1"/>
        </w:rPr>
        <w:t xml:space="preserve">. </w:t>
      </w:r>
      <w:r w:rsidR="00425AF2" w:rsidRPr="00804390">
        <w:rPr>
          <w:color w:val="000000" w:themeColor="text1"/>
        </w:rPr>
        <w:t>eur.</w:t>
      </w:r>
      <w:r w:rsidR="0099001A" w:rsidRPr="00804390">
        <w:rPr>
          <w:color w:val="000000" w:themeColor="text1"/>
        </w:rPr>
        <w:t xml:space="preserve"> Novela zákona o štátnom rozpočte </w:t>
      </w:r>
      <w:r w:rsidR="00722CA3">
        <w:rPr>
          <w:color w:val="000000" w:themeColor="text1"/>
        </w:rPr>
        <w:t>z 18. októbra 2022</w:t>
      </w:r>
      <w:r w:rsidR="0099001A" w:rsidRPr="00804390">
        <w:rPr>
          <w:color w:val="000000" w:themeColor="text1"/>
        </w:rPr>
        <w:t xml:space="preserve"> </w:t>
      </w:r>
      <w:r w:rsidR="004562E3" w:rsidRPr="00804390">
        <w:rPr>
          <w:color w:val="000000" w:themeColor="text1"/>
        </w:rPr>
        <w:t>zvýšila hotov</w:t>
      </w:r>
      <w:r w:rsidR="00722CA3">
        <w:rPr>
          <w:color w:val="000000" w:themeColor="text1"/>
        </w:rPr>
        <w:t>ostné príjmy ako aj výdavky o 1,</w:t>
      </w:r>
      <w:r w:rsidR="007A435F">
        <w:rPr>
          <w:color w:val="000000" w:themeColor="text1"/>
        </w:rPr>
        <w:t>5</w:t>
      </w:r>
      <w:r w:rsidR="00722CA3">
        <w:rPr>
          <w:color w:val="000000" w:themeColor="text1"/>
        </w:rPr>
        <w:t xml:space="preserve"> mld. eur, pričom výsledné saldo hotovostného rozpočtu sa nezmenilo.</w:t>
      </w:r>
      <w:r w:rsidR="007A435F">
        <w:rPr>
          <w:color w:val="000000" w:themeColor="text1"/>
        </w:rPr>
        <w:t xml:space="preserve"> Zmena príjmov zohľadňovala septembrovú prognózu Výboru pre daňové prognózy. Vyššie príjmy mali umožniť kryť vyššie výdavky štátneho rozpočtu v reakcii na prudký nárast cien en</w:t>
      </w:r>
      <w:r w:rsidR="00515258">
        <w:rPr>
          <w:color w:val="000000" w:themeColor="text1"/>
        </w:rPr>
        <w:t>ergií, výrazný nárast inflácie, vojenský</w:t>
      </w:r>
      <w:r w:rsidR="007A435F" w:rsidRPr="007A435F">
        <w:rPr>
          <w:color w:val="000000" w:themeColor="text1"/>
        </w:rPr>
        <w:t xml:space="preserve"> konflikt na Ukrajine, ako </w:t>
      </w:r>
      <w:r w:rsidR="007A435F" w:rsidRPr="007A435F">
        <w:rPr>
          <w:color w:val="000000" w:themeColor="text1"/>
        </w:rPr>
        <w:lastRenderedPageBreak/>
        <w:t>aj zabezpečenie zvýšených finančných n</w:t>
      </w:r>
      <w:r w:rsidR="00625315">
        <w:rPr>
          <w:color w:val="000000" w:themeColor="text1"/>
        </w:rPr>
        <w:t>á</w:t>
      </w:r>
      <w:r w:rsidR="007A435F" w:rsidRPr="007A435F">
        <w:rPr>
          <w:color w:val="000000" w:themeColor="text1"/>
        </w:rPr>
        <w:t>kladov súvisiacich s výrazným nárastom cien tovarov a služieb pre poberateľov dôchodkových dávok.</w:t>
      </w:r>
    </w:p>
    <w:p w14:paraId="4DD3103B" w14:textId="19DADBD5" w:rsidR="00B32F25" w:rsidRPr="001D3556" w:rsidRDefault="00B32F25" w:rsidP="00890796">
      <w:pPr>
        <w:spacing w:before="60" w:after="60" w:line="336" w:lineRule="auto"/>
        <w:ind w:firstLine="426"/>
        <w:jc w:val="both"/>
      </w:pPr>
      <w:r w:rsidRPr="00625315">
        <w:t xml:space="preserve">Výsledný deficit verejných financií na </w:t>
      </w:r>
      <w:r w:rsidRPr="001D3556">
        <w:t>úrovni 2,</w:t>
      </w:r>
      <w:r w:rsidR="0085324B" w:rsidRPr="001D3556">
        <w:t>0</w:t>
      </w:r>
      <w:r w:rsidRPr="001D3556">
        <w:t xml:space="preserve"> % dosiahnutého HDP v roku 2022 je nižší oproti rozpočtu o</w:t>
      </w:r>
      <w:r w:rsidR="00625315" w:rsidRPr="001D3556">
        <w:t> 3,2 p. b.</w:t>
      </w:r>
      <w:r w:rsidRPr="001D3556">
        <w:t xml:space="preserve">, premietnuté do absolútnej sumy </w:t>
      </w:r>
      <w:r w:rsidR="00625315" w:rsidRPr="001D3556">
        <w:t>3,43 mld. eur.</w:t>
      </w:r>
      <w:r w:rsidRPr="001D3556">
        <w:t xml:space="preserve"> Dlh verejnej správy Slovenska dosiahol </w:t>
      </w:r>
      <w:r w:rsidR="00625315" w:rsidRPr="001D3556">
        <w:t>57</w:t>
      </w:r>
      <w:r w:rsidR="00F40143" w:rsidRPr="001D3556">
        <w:t>,8 % HDP</w:t>
      </w:r>
      <w:r w:rsidR="00625315" w:rsidRPr="001D3556">
        <w:t xml:space="preserve"> a </w:t>
      </w:r>
      <w:r w:rsidRPr="001D3556">
        <w:t>oproti predpokladom</w:t>
      </w:r>
      <w:r w:rsidR="00625315" w:rsidRPr="001D3556">
        <w:t xml:space="preserve"> bol nižší</w:t>
      </w:r>
      <w:r w:rsidRPr="001D3556">
        <w:t xml:space="preserve"> o</w:t>
      </w:r>
      <w:r w:rsidR="00625315" w:rsidRPr="001D3556">
        <w:t> 1,5 mld. eur</w:t>
      </w:r>
      <w:r w:rsidR="00F40143" w:rsidRPr="001D3556">
        <w:t>.</w:t>
      </w:r>
      <w:r w:rsidR="00B3543B" w:rsidRPr="001D3556">
        <w:t xml:space="preserve"> V rámci krajín EÚ si Slovenská republika zlepšila </w:t>
      </w:r>
      <w:r w:rsidR="007A705F" w:rsidRPr="001D3556">
        <w:t>pozíciu ako v deficite tak aj v hodnote hrubého dlhu. Priemerný schodok krajín EÚ 27 bol</w:t>
      </w:r>
      <w:r w:rsidR="001D3556" w:rsidRPr="001D3556">
        <w:t xml:space="preserve"> 3,4 % </w:t>
      </w:r>
      <w:r w:rsidR="007A705F" w:rsidRPr="001D3556">
        <w:t>a priemerný hrubý dlh krajín EÚ dosiahol</w:t>
      </w:r>
      <w:r w:rsidR="001D3556" w:rsidRPr="001D3556">
        <w:t xml:space="preserve"> 84 %</w:t>
      </w:r>
      <w:r w:rsidR="006A403E">
        <w:t xml:space="preserve"> HDP.</w:t>
      </w:r>
      <w:bookmarkStart w:id="0" w:name="_GoBack"/>
      <w:bookmarkEnd w:id="0"/>
    </w:p>
    <w:p w14:paraId="342AB46E" w14:textId="7DB96E8D" w:rsidR="003D05F8" w:rsidRPr="006B3221" w:rsidRDefault="003D05F8" w:rsidP="00890796">
      <w:pPr>
        <w:spacing w:before="60" w:after="60" w:line="336" w:lineRule="auto"/>
        <w:ind w:firstLine="426"/>
        <w:jc w:val="both"/>
      </w:pPr>
      <w:r w:rsidRPr="001D3556">
        <w:t>Návrh štátneho záverečného účtu je nelegislatívnym materiálom, ktorý obsahuje faktografické údaje z účtovného a finančného výkazníctva štátnych rozpočtových organizácií, príspevkových organizácií, štátnych fondov, subjektov územnej samosprávy a ďa</w:t>
      </w:r>
      <w:r w:rsidR="00001C79" w:rsidRPr="001D3556">
        <w:t>lších subjektov verejnej správy.</w:t>
      </w:r>
      <w:r w:rsidRPr="001D3556">
        <w:t xml:space="preserve"> V súlade s čl. 10 ods. </w:t>
      </w:r>
      <w:r w:rsidR="009B0122" w:rsidRPr="001D3556">
        <w:t>6</w:t>
      </w:r>
      <w:r w:rsidRPr="001D3556">
        <w:t xml:space="preserve"> smernice Úradu vlády SR n</w:t>
      </w:r>
      <w:r w:rsidRPr="001D3556">
        <w:rPr>
          <w:bCs/>
        </w:rPr>
        <w:t>a prípravu a predkladanie materiálov</w:t>
      </w:r>
      <w:r w:rsidRPr="006B3221">
        <w:rPr>
          <w:bCs/>
        </w:rPr>
        <w:t xml:space="preserve"> na rokovanie vlády SR nebol predmetom medzirezo</w:t>
      </w:r>
      <w:r w:rsidR="008E540C">
        <w:rPr>
          <w:bCs/>
        </w:rPr>
        <w:t>rtného pripomienkového konania.</w:t>
      </w:r>
      <w:r w:rsidR="002C194C">
        <w:rPr>
          <w:bCs/>
        </w:rPr>
        <w:t xml:space="preserve"> </w:t>
      </w:r>
      <w:r w:rsidRPr="006B3221">
        <w:t xml:space="preserve">Nemá žiadne vplyvy na rozpočet verejnej správy, </w:t>
      </w:r>
      <w:r w:rsidR="00001C79">
        <w:t>na podnikateľské prostredie, na životné prostredie, na informatizáciu spoločnosti, sociálne vplyvy a vplyvy na služby verejnej správy pre občana.</w:t>
      </w:r>
      <w:r w:rsidRPr="006B3221">
        <w:t xml:space="preserve"> </w:t>
      </w:r>
    </w:p>
    <w:p w14:paraId="6558BBAC" w14:textId="77777777" w:rsidR="00730957" w:rsidRPr="006B3221" w:rsidRDefault="003D05F8" w:rsidP="00890796">
      <w:pPr>
        <w:spacing w:before="60" w:after="60" w:line="336" w:lineRule="auto"/>
        <w:ind w:firstLine="426"/>
        <w:jc w:val="both"/>
      </w:pPr>
      <w:r w:rsidRPr="006B3221">
        <w:t>Taktiež neobsahuje skutočnosti, ktoré sú predmetom utajenia podľa zákona č. 215/2004 Z. z. o ochrane utajovaných skutočností a o zmene a doplnení niektorých zákonov v znení neskorších predpisov a Nariadenia vlády Slovenskej republiky č. 216/2004 Z. z., ktorým sa ustanovujú oblasti utajovaných skutočností. Je možné sprístupniť ho podľa zákona č. 211/2000 Z. z. o slobodnom prístupe k informáciám a o zmene a doplnení niektorých zákono</w:t>
      </w:r>
      <w:r w:rsidR="00730957" w:rsidRPr="006B3221">
        <w:t>v v znení neskorších predpisov.</w:t>
      </w:r>
    </w:p>
    <w:p w14:paraId="18249BEA" w14:textId="3484BBCD" w:rsidR="003D05F8" w:rsidRDefault="003D05F8" w:rsidP="00890796">
      <w:pPr>
        <w:spacing w:before="60" w:after="60" w:line="336" w:lineRule="auto"/>
        <w:ind w:firstLine="426"/>
        <w:jc w:val="both"/>
      </w:pPr>
      <w:r w:rsidRPr="006B3221">
        <w:t xml:space="preserve">Podľa § 29 ods. 6 zákona o rozpočtových pravidlách verejnej správy </w:t>
      </w:r>
      <w:r w:rsidR="009B0122">
        <w:t>v</w:t>
      </w:r>
      <w:r w:rsidR="00401720" w:rsidRPr="00401720">
        <w:t>láda predkladá návrh štátneho záverečného účtu národnej rade a Najvyššiemu kontrolnému úradu Slovenskej republiky do 20. mája bežného roka</w:t>
      </w:r>
      <w:r w:rsidR="00401720">
        <w:t>.</w:t>
      </w:r>
    </w:p>
    <w:sectPr w:rsidR="003D05F8" w:rsidSect="005E0A1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907"/>
    <w:multiLevelType w:val="hybridMultilevel"/>
    <w:tmpl w:val="E4B6CE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F8"/>
    <w:rsid w:val="00001707"/>
    <w:rsid w:val="00001C79"/>
    <w:rsid w:val="0000279F"/>
    <w:rsid w:val="000135BD"/>
    <w:rsid w:val="00027D9D"/>
    <w:rsid w:val="000510FA"/>
    <w:rsid w:val="000B3BB0"/>
    <w:rsid w:val="000C2CA6"/>
    <w:rsid w:val="000D3A07"/>
    <w:rsid w:val="00132440"/>
    <w:rsid w:val="0015112C"/>
    <w:rsid w:val="00162AB7"/>
    <w:rsid w:val="00181B6D"/>
    <w:rsid w:val="0019355C"/>
    <w:rsid w:val="001B4669"/>
    <w:rsid w:val="001C48C5"/>
    <w:rsid w:val="001D3556"/>
    <w:rsid w:val="002014C7"/>
    <w:rsid w:val="002569AC"/>
    <w:rsid w:val="00267CE7"/>
    <w:rsid w:val="002768F5"/>
    <w:rsid w:val="00284EF6"/>
    <w:rsid w:val="0029180C"/>
    <w:rsid w:val="00293FEA"/>
    <w:rsid w:val="002C194C"/>
    <w:rsid w:val="002E4239"/>
    <w:rsid w:val="003036E2"/>
    <w:rsid w:val="003115C3"/>
    <w:rsid w:val="00341A13"/>
    <w:rsid w:val="0038431D"/>
    <w:rsid w:val="003860CF"/>
    <w:rsid w:val="003A08BD"/>
    <w:rsid w:val="003A0971"/>
    <w:rsid w:val="003B07C9"/>
    <w:rsid w:val="003B2A61"/>
    <w:rsid w:val="003D05F8"/>
    <w:rsid w:val="00401720"/>
    <w:rsid w:val="004079CE"/>
    <w:rsid w:val="00415877"/>
    <w:rsid w:val="004179E9"/>
    <w:rsid w:val="00425AF2"/>
    <w:rsid w:val="00426E25"/>
    <w:rsid w:val="00431D3D"/>
    <w:rsid w:val="004373FF"/>
    <w:rsid w:val="004533EE"/>
    <w:rsid w:val="004562E3"/>
    <w:rsid w:val="00465BA2"/>
    <w:rsid w:val="00470A3B"/>
    <w:rsid w:val="004A5485"/>
    <w:rsid w:val="004C19C7"/>
    <w:rsid w:val="004C4AFD"/>
    <w:rsid w:val="00515258"/>
    <w:rsid w:val="00522BC2"/>
    <w:rsid w:val="0054162E"/>
    <w:rsid w:val="0056671F"/>
    <w:rsid w:val="005755D6"/>
    <w:rsid w:val="005767EE"/>
    <w:rsid w:val="0058574C"/>
    <w:rsid w:val="00593F3F"/>
    <w:rsid w:val="005B5B84"/>
    <w:rsid w:val="005E0A1F"/>
    <w:rsid w:val="005F2861"/>
    <w:rsid w:val="006009D9"/>
    <w:rsid w:val="00614877"/>
    <w:rsid w:val="00625315"/>
    <w:rsid w:val="00662F9D"/>
    <w:rsid w:val="00680980"/>
    <w:rsid w:val="006A403E"/>
    <w:rsid w:val="006B2230"/>
    <w:rsid w:val="006B3221"/>
    <w:rsid w:val="006B42FA"/>
    <w:rsid w:val="006C480D"/>
    <w:rsid w:val="006E1ACD"/>
    <w:rsid w:val="006F2162"/>
    <w:rsid w:val="00701060"/>
    <w:rsid w:val="00702856"/>
    <w:rsid w:val="00722CA3"/>
    <w:rsid w:val="00730957"/>
    <w:rsid w:val="00740A0D"/>
    <w:rsid w:val="00746A69"/>
    <w:rsid w:val="007831FF"/>
    <w:rsid w:val="007A288B"/>
    <w:rsid w:val="007A30D6"/>
    <w:rsid w:val="007A435F"/>
    <w:rsid w:val="007A705F"/>
    <w:rsid w:val="007B0EE9"/>
    <w:rsid w:val="007C35D4"/>
    <w:rsid w:val="007C7FB4"/>
    <w:rsid w:val="00804390"/>
    <w:rsid w:val="0085324B"/>
    <w:rsid w:val="00873FFE"/>
    <w:rsid w:val="00875A19"/>
    <w:rsid w:val="008813C9"/>
    <w:rsid w:val="00886ED3"/>
    <w:rsid w:val="00890796"/>
    <w:rsid w:val="008A224E"/>
    <w:rsid w:val="008B6FBA"/>
    <w:rsid w:val="008D6998"/>
    <w:rsid w:val="008E4D71"/>
    <w:rsid w:val="008E540C"/>
    <w:rsid w:val="008F6405"/>
    <w:rsid w:val="008F6EE4"/>
    <w:rsid w:val="0090251F"/>
    <w:rsid w:val="00905109"/>
    <w:rsid w:val="009109FF"/>
    <w:rsid w:val="0091698D"/>
    <w:rsid w:val="00935AC9"/>
    <w:rsid w:val="00982601"/>
    <w:rsid w:val="00983330"/>
    <w:rsid w:val="009845F0"/>
    <w:rsid w:val="00986AEA"/>
    <w:rsid w:val="0099001A"/>
    <w:rsid w:val="009A2F56"/>
    <w:rsid w:val="009B0122"/>
    <w:rsid w:val="009B4BA6"/>
    <w:rsid w:val="009C0BE7"/>
    <w:rsid w:val="00A22759"/>
    <w:rsid w:val="00A3358F"/>
    <w:rsid w:val="00A35283"/>
    <w:rsid w:val="00A50823"/>
    <w:rsid w:val="00A71B09"/>
    <w:rsid w:val="00A71F73"/>
    <w:rsid w:val="00A92C46"/>
    <w:rsid w:val="00AA3F43"/>
    <w:rsid w:val="00AB5784"/>
    <w:rsid w:val="00AB665A"/>
    <w:rsid w:val="00AF64F4"/>
    <w:rsid w:val="00AF7E82"/>
    <w:rsid w:val="00B125FB"/>
    <w:rsid w:val="00B312E9"/>
    <w:rsid w:val="00B32F25"/>
    <w:rsid w:val="00B3543B"/>
    <w:rsid w:val="00B41A7B"/>
    <w:rsid w:val="00B725DE"/>
    <w:rsid w:val="00BA7A70"/>
    <w:rsid w:val="00BB03D3"/>
    <w:rsid w:val="00BE1241"/>
    <w:rsid w:val="00BF09B1"/>
    <w:rsid w:val="00C032E3"/>
    <w:rsid w:val="00C07AC7"/>
    <w:rsid w:val="00C10A23"/>
    <w:rsid w:val="00C22F3F"/>
    <w:rsid w:val="00C3172A"/>
    <w:rsid w:val="00C57E88"/>
    <w:rsid w:val="00C607FB"/>
    <w:rsid w:val="00C668F2"/>
    <w:rsid w:val="00CA16C0"/>
    <w:rsid w:val="00CE5E2B"/>
    <w:rsid w:val="00D16B7F"/>
    <w:rsid w:val="00D221CB"/>
    <w:rsid w:val="00D23234"/>
    <w:rsid w:val="00D23CE7"/>
    <w:rsid w:val="00D5495A"/>
    <w:rsid w:val="00D55125"/>
    <w:rsid w:val="00D64C8A"/>
    <w:rsid w:val="00D80550"/>
    <w:rsid w:val="00D811D7"/>
    <w:rsid w:val="00D82012"/>
    <w:rsid w:val="00D822DE"/>
    <w:rsid w:val="00DA3F54"/>
    <w:rsid w:val="00DC6675"/>
    <w:rsid w:val="00E00519"/>
    <w:rsid w:val="00E526F3"/>
    <w:rsid w:val="00E84C8C"/>
    <w:rsid w:val="00E951B4"/>
    <w:rsid w:val="00EB3A5E"/>
    <w:rsid w:val="00EF2975"/>
    <w:rsid w:val="00F1356F"/>
    <w:rsid w:val="00F40143"/>
    <w:rsid w:val="00F44736"/>
    <w:rsid w:val="00F56C0B"/>
    <w:rsid w:val="00F948E0"/>
    <w:rsid w:val="00FA3815"/>
    <w:rsid w:val="00FB0225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845EA"/>
  <w14:defaultImageDpi w14:val="0"/>
  <w15:docId w15:val="{B172562C-AE0B-4266-BDEA-B2283512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5F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0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A30D6"/>
    <w:rPr>
      <w:rFonts w:ascii="Segoe UI" w:hAnsi="Segoe UI" w:cs="Segoe UI"/>
      <w:sz w:val="18"/>
      <w:szCs w:val="18"/>
      <w:lang w:val="x-none" w:eastAsia="sk-SK"/>
    </w:rPr>
  </w:style>
  <w:style w:type="character" w:customStyle="1" w:styleId="awspan">
    <w:name w:val="awspan"/>
    <w:basedOn w:val="Predvolenpsmoodseku"/>
    <w:rsid w:val="00BA7A70"/>
  </w:style>
  <w:style w:type="character" w:styleId="Odkaznakomentr">
    <w:name w:val="annotation reference"/>
    <w:basedOn w:val="Predvolenpsmoodseku"/>
    <w:uiPriority w:val="99"/>
    <w:semiHidden/>
    <w:unhideWhenUsed/>
    <w:rsid w:val="002768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68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68F5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8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8F5"/>
    <w:rPr>
      <w:rFonts w:ascii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5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4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Rockar Marek</dc:creator>
  <cp:keywords/>
  <dc:description/>
  <cp:lastModifiedBy>Ivanek Peter</cp:lastModifiedBy>
  <cp:revision>6</cp:revision>
  <cp:lastPrinted>2019-04-30T05:30:00Z</cp:lastPrinted>
  <dcterms:created xsi:type="dcterms:W3CDTF">2023-04-20T19:14:00Z</dcterms:created>
  <dcterms:modified xsi:type="dcterms:W3CDTF">2023-04-26T14:45:00Z</dcterms:modified>
</cp:coreProperties>
</file>